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1C3D3A"/>
          <w:sz w:val="40"/>
          <w:szCs w:val="40"/>
        </w:rPr>
        <w:t xml:space="preserve">Image Tagger (v3.4.7x): Executive Summary</w:t>
      </w:r>
    </w:p>
    <w:p>
      <w:pPr>
        <w:spacing w:after="60"/>
      </w:pPr>
      <w:r>
        <w:rPr>
          <w:rFonts w:ascii="Calibri" w:cs="Calibri" w:eastAsia="Calibri" w:hAnsi="Calibri"/>
          <w:i/>
          <w:iCs/>
          <w:color w:val="2A7868"/>
          <w:sz w:val="24"/>
          <w:szCs w:val="24"/>
        </w:rPr>
        <w:t xml:space="preserve">Evidence-grounded image understanding for Cognitive &amp; Neuroscience for Architecture (CNfA) Bayesian reasoning</w:t>
      </w:r>
    </w:p>
    <w:p>
      <w:pPr>
        <w:spacing w:after="300"/>
      </w:pPr>
      <w:r>
        <w:rPr>
          <w:rFonts w:ascii="Calibri" w:cs="Calibri" w:eastAsia="Calibri" w:hAnsi="Calibri"/>
          <w:b/>
          <w:bCs/>
          <w:sz w:val="20"/>
          <w:szCs w:val="20"/>
        </w:rPr>
        <w:t xml:space="preserve">Audience: </w:t>
      </w:r>
      <w:r>
        <w:rPr>
          <w:rFonts w:ascii="Calibri" w:cs="Calibri" w:eastAsia="Calibri" w:hAnsi="Calibri"/>
          <w:sz w:val="20"/>
          <w:szCs w:val="20"/>
        </w:rPr>
        <w:t xml:space="preserve">internal collaborators and prospective funders</w:t>
      </w:r>
      <w:r>
        <w:rPr>
          <w:rFonts w:ascii="Calibri" w:cs="Calibri" w:eastAsia="Calibri" w:hAnsi="Calibri"/>
          <w:color w:val="6A5E50"/>
          <w:sz w:val="20"/>
          <w:szCs w:val="20"/>
        </w:rPr>
        <w:t xml:space="preserve">    ·    Version 1.2    ·    April 2026</w:t>
      </w:r>
    </w:p>
    <w:p>
      <w:pPr>
        <w:pStyle w:val="Heading1"/>
        <w:spacing w:after="160" w:before="320"/>
      </w:pPr>
      <w:r>
        <w:rPr>
          <w:rFonts w:ascii="Calibri" w:cs="Calibri" w:eastAsia="Calibri" w:hAnsi="Calibri"/>
          <w:b/>
          <w:bCs/>
          <w:color w:val="1C3D3A"/>
          <w:sz w:val="34"/>
          <w:szCs w:val="34"/>
        </w:rPr>
        <w:t xml:space="preserve">1. What this module does</w:t>
      </w:r>
    </w:p>
    <w:p>
      <w:pPr>
        <w:spacing w:after="140" w:line="300"/>
      </w:pPr>
      <w:r>
        <w:rPr>
          <w:rFonts w:ascii="Calibri" w:cs="Calibri" w:eastAsia="Calibri" w:hAnsi="Calibri"/>
          <w:sz w:val="22"/>
          <w:szCs w:val="22"/>
        </w:rPr>
        <w:t xml:space="preserve">Image Tagger converts photographs of architectural interiors into structured, machine-readable descriptions that a Bayesian Network (BN) can reason over. For each image the system produces three kinds of output: observable physical and visual attributes (for example, clutter proxies, organized complexity, and material categories); inferred psychological latents (for example, restorativeness and coziness); and a BN-ready export that carries these variables, with version and confidence metadata, into downstream causal analysis.</w:t>
      </w:r>
    </w:p>
    <w:p>
      <w:pPr>
        <w:spacing w:after="140" w:line="300"/>
      </w:pPr>
      <w:r>
        <w:rPr>
          <w:rFonts w:ascii="Calibri" w:cs="Calibri" w:eastAsia="Calibri" w:hAnsi="Calibri"/>
          <w:sz w:val="22"/>
          <w:szCs w:val="22"/>
        </w:rPr>
        <w:t xml:space="preserve">The goal is not generic scene recognition. It is to feed a causal reasoning layer — driven by rules from the Cognitive and Neuroscience for Architecture literature — with observables that are reliable, auditable, and versioned. Concretely, the module does four things:</w:t>
      </w:r>
    </w:p>
    <w:p>
      <w:pPr>
        <w:pStyle w:val="ListParagraph"/>
        <w:numPr>
          <w:ilvl w:val="0"/>
          <w:numId w:val="2"/>
        </w:numPr>
        <w:spacing w:after="100" w:line="300"/>
      </w:pPr>
      <w:r>
        <w:rPr>
          <w:rFonts w:ascii="Calibri" w:cs="Calibri" w:eastAsia="Calibri" w:hAnsi="Calibri"/>
          <w:sz w:val="22"/>
          <w:szCs w:val="22"/>
        </w:rPr>
        <w:t xml:space="preserve">Turns each image into a stable vector of tag keys and continuous or ordinal measures that downstream reasoning tools can consume.</w:t>
      </w:r>
    </w:p>
    <w:p>
      <w:pPr>
        <w:pStyle w:val="ListParagraph"/>
        <w:numPr>
          <w:ilvl w:val="0"/>
          <w:numId w:val="2"/>
        </w:numPr>
        <w:spacing w:after="100" w:line="300"/>
      </w:pPr>
      <w:r>
        <w:rPr>
          <w:rFonts w:ascii="Calibri" w:cs="Calibri" w:eastAsia="Calibri" w:hAnsi="Calibri"/>
          <w:sz w:val="22"/>
          <w:szCs w:val="22"/>
        </w:rPr>
        <w:t xml:space="preserve">Provides role-specific interfaces — Workbench, Explorer, and Admin — to upload, inspect, filter, and monitor tagging at scale.</w:t>
      </w:r>
    </w:p>
    <w:p>
      <w:pPr>
        <w:pStyle w:val="ListParagraph"/>
        <w:numPr>
          <w:ilvl w:val="0"/>
          <w:numId w:val="2"/>
        </w:numPr>
        <w:spacing w:after="100" w:line="300"/>
      </w:pPr>
      <w:r>
        <w:rPr>
          <w:rFonts w:ascii="Calibri" w:cs="Calibri" w:eastAsia="Calibri" w:hAnsi="Calibri"/>
          <w:sz w:val="22"/>
          <w:szCs w:val="22"/>
        </w:rPr>
        <w:t xml:space="preserve">Supports both deterministic, transparent metrics (fast and teachable) and Vision-Language-Model (VLM) judgments (rich semantics) behind a single unified engine.</w:t>
      </w:r>
    </w:p>
    <w:p>
      <w:pPr>
        <w:pStyle w:val="ListParagraph"/>
        <w:numPr>
          <w:ilvl w:val="0"/>
          <w:numId w:val="2"/>
        </w:numPr>
        <w:spacing w:after="100" w:line="300"/>
      </w:pPr>
      <w:r>
        <w:rPr>
          <w:rFonts w:ascii="Calibri" w:cs="Calibri" w:eastAsia="Calibri" w:hAnsi="Calibri"/>
          <w:sz w:val="22"/>
          <w:szCs w:val="22"/>
        </w:rPr>
        <w:t xml:space="preserve">Exports BN-ready snapshots, so rules can be tested, sensitivity-analyzed, and validated against large image corpora.</w:t>
      </w:r>
    </w:p>
    <w:p>
      <w:pPr>
        <w:pStyle w:val="Heading1"/>
        <w:spacing w:after="160" w:before="320"/>
      </w:pPr>
      <w:r>
        <w:rPr>
          <w:rFonts w:ascii="Calibri" w:cs="Calibri" w:eastAsia="Calibri" w:hAnsi="Calibri"/>
          <w:b/>
          <w:bCs/>
          <w:color w:val="1C3D3A"/>
          <w:sz w:val="34"/>
          <w:szCs w:val="34"/>
        </w:rPr>
        <w:t xml:space="preserve">2. How it works in practice</w:t>
      </w:r>
    </w:p>
    <w:p>
      <w:pPr>
        <w:spacing w:after="140" w:line="300"/>
      </w:pPr>
      <w:r>
        <w:rPr>
          <w:rFonts w:ascii="Calibri" w:cs="Calibri" w:eastAsia="Calibri" w:hAnsi="Calibri"/>
          <w:sz w:val="22"/>
          <w:szCs w:val="22"/>
        </w:rPr>
        <w:t xml:space="preserve">The repository is a full-stack system — backend services plus web frontends — wrapped around a science pipeline that computes attributes per image and persists them as validation rows. The same codebase also supports a lighter notebook workflow for labs focused on the science layer and on monitoring VLM health.</w:t>
      </w:r>
    </w:p>
    <w:p>
      <w:pPr>
        <w:pStyle w:val="Heading2"/>
        <w:spacing w:after="160" w:before="320"/>
      </w:pPr>
      <w:r>
        <w:rPr>
          <w:rFonts w:ascii="Calibri" w:cs="Calibri" w:eastAsia="Calibri" w:hAnsi="Calibri"/>
          <w:b/>
          <w:bCs/>
          <w:color w:val="1C3D3A"/>
          <w:sz w:val="28"/>
          <w:szCs w:val="28"/>
        </w:rPr>
        <w:t xml:space="preserve">2.1 Pipeline: deterministic primitives plus optional VLM semantics</w:t>
      </w:r>
    </w:p>
    <w:p>
      <w:pPr>
        <w:spacing w:after="140" w:line="300"/>
      </w:pPr>
      <w:r>
        <w:rPr>
          <w:rFonts w:ascii="Calibri" w:cs="Calibri" w:eastAsia="Calibri" w:hAnsi="Calibri"/>
          <w:sz w:val="22"/>
          <w:szCs w:val="22"/>
        </w:rPr>
        <w:t xml:space="preserve">The science pipeline builds an analysis frame for each image and runs analyzers in three families. Low-level image statistics cover color, luminance, texture, and edge density. Structural measures capture organized complexity and fractal-like properties. Higher-level scene judgments address the full experiential character of the space. When API keys are available, a unified VLM service rates each image on well-studied environmental-psychology dimensions — coherence, complexity, legibility, mystery, and restoration — along with affective tones such as cozy, welcoming, tranquil, scary, and jarring. These constructs have long empirical histories in environmental preference and restoration research (Kaplan &amp; Kaplan, 1989; Stamps, 2004; Ulrich, 1984).</w:t>
      </w:r>
    </w:p>
    <w:p>
      <w:pPr>
        <w:pStyle w:val="ListParagraph"/>
        <w:numPr>
          <w:ilvl w:val="0"/>
          <w:numId w:val="2"/>
        </w:numPr>
        <w:spacing w:after="100" w:line="300"/>
      </w:pPr>
      <w:r>
        <w:rPr>
          <w:rFonts w:ascii="Calibri" w:cs="Calibri" w:eastAsia="Calibri" w:hAnsi="Calibri"/>
          <w:b/>
          <w:bCs/>
          <w:sz w:val="22"/>
          <w:szCs w:val="22"/>
        </w:rPr>
        <w:t xml:space="preserve">Deterministic metrics </w:t>
      </w:r>
      <w:r>
        <w:rPr>
          <w:rFonts w:ascii="Calibri" w:cs="Calibri" w:eastAsia="Calibri" w:hAnsi="Calibri"/>
          <w:sz w:val="22"/>
          <w:szCs w:val="22"/>
        </w:rPr>
        <w:t xml:space="preserve">are transparent building blocks. The code is short enough to be inspected in a seminar and can be tuned to fit new research goals.</w:t>
      </w:r>
    </w:p>
    <w:p>
      <w:pPr>
        <w:pStyle w:val="ListParagraph"/>
        <w:numPr>
          <w:ilvl w:val="0"/>
          <w:numId w:val="2"/>
        </w:numPr>
        <w:spacing w:after="100" w:line="300"/>
      </w:pPr>
      <w:r>
        <w:rPr>
          <w:rFonts w:ascii="Calibri" w:cs="Calibri" w:eastAsia="Calibri" w:hAnsi="Calibri"/>
          <w:b/>
          <w:bCs/>
          <w:sz w:val="22"/>
          <w:szCs w:val="22"/>
        </w:rPr>
        <w:t xml:space="preserve">VLM metrics </w:t>
      </w:r>
      <w:r>
        <w:rPr>
          <w:rFonts w:ascii="Calibri" w:cs="Calibri" w:eastAsia="Calibri" w:hAnsi="Calibri"/>
          <w:sz w:val="22"/>
          <w:szCs w:val="22"/>
        </w:rPr>
        <w:t xml:space="preserve">pass through a single provider-agnostic interface — "the Brain" — which swaps between OpenAI, Gemini, Anthropic, and a local stub without altering any science code.</w:t>
      </w:r>
    </w:p>
    <w:p>
      <w:pPr>
        <w:pStyle w:val="ListParagraph"/>
        <w:numPr>
          <w:ilvl w:val="0"/>
          <w:numId w:val="2"/>
        </w:numPr>
        <w:spacing w:after="100" w:line="300"/>
      </w:pPr>
      <w:r>
        <w:rPr>
          <w:rFonts w:ascii="Calibri" w:cs="Calibri" w:eastAsia="Calibri" w:hAnsi="Calibri"/>
          <w:b/>
          <w:bCs/>
          <w:sz w:val="22"/>
          <w:szCs w:val="22"/>
        </w:rPr>
        <w:t xml:space="preserve">Stub mode </w:t>
      </w:r>
      <w:r>
        <w:rPr>
          <w:rFonts w:ascii="Calibri" w:cs="Calibri" w:eastAsia="Calibri" w:hAnsi="Calibri"/>
          <w:sz w:val="22"/>
          <w:szCs w:val="22"/>
        </w:rPr>
        <w:t xml:space="preserve">lets teachers and tests run the full pipeline with no network calls, so the pipeline keeps its shape even when VLM access is unavailable.</w:t>
      </w:r>
    </w:p>
    <w:p>
      <w:pPr>
        <w:pStyle w:val="Heading2"/>
        <w:spacing w:after="160" w:before="320"/>
      </w:pPr>
      <w:r>
        <w:rPr>
          <w:rFonts w:ascii="Calibri" w:cs="Calibri" w:eastAsia="Calibri" w:hAnsi="Calibri"/>
          <w:b/>
          <w:bCs/>
          <w:color w:val="1C3D3A"/>
          <w:sz w:val="28"/>
          <w:szCs w:val="28"/>
        </w:rPr>
        <w:t xml:space="preserve">2.2 Two deployment modes</w:t>
      </w:r>
    </w:p>
    <w:p>
      <w:pPr>
        <w:spacing w:after="140" w:line="300"/>
      </w:pPr>
      <w:r>
        <w:rPr>
          <w:rFonts w:ascii="Calibri" w:cs="Calibri" w:eastAsia="Calibri" w:hAnsi="Calibri"/>
          <w:sz w:val="22"/>
          <w:szCs w:val="22"/>
        </w:rPr>
        <w:t xml:space="preserve">Image Tagger runs in two complementary modes, designed to reduce friction for classrooms and research labs.</w:t>
      </w:r>
    </w:p>
    <w:p>
      <w:pPr>
        <w:pStyle w:val="ListParagraph"/>
        <w:numPr>
          <w:ilvl w:val="0"/>
          <w:numId w:val="2"/>
        </w:numPr>
        <w:spacing w:after="100" w:line="300"/>
      </w:pPr>
      <w:r>
        <w:rPr>
          <w:rFonts w:ascii="Calibri" w:cs="Calibri" w:eastAsia="Calibri" w:hAnsi="Calibri"/>
          <w:b/>
          <w:bCs/>
          <w:sz w:val="22"/>
          <w:szCs w:val="22"/>
        </w:rPr>
        <w:t xml:space="preserve">Full stack (persistent). </w:t>
      </w:r>
      <w:r>
        <w:rPr>
          <w:rFonts w:ascii="Calibri" w:cs="Calibri" w:eastAsia="Calibri" w:hAnsi="Calibri"/>
          <w:sz w:val="22"/>
          <w:szCs w:val="22"/>
        </w:rPr>
        <w:t xml:space="preserve">A Docker-based deployment providing Workbench, Explorer, and Admin for multi-week projects on real image sets.</w:t>
      </w:r>
    </w:p>
    <w:p>
      <w:pPr>
        <w:pStyle w:val="ListParagraph"/>
        <w:numPr>
          <w:ilvl w:val="0"/>
          <w:numId w:val="2"/>
        </w:numPr>
        <w:spacing w:after="100" w:line="300"/>
      </w:pPr>
      <w:r>
        <w:rPr>
          <w:rFonts w:ascii="Calibri" w:cs="Calibri" w:eastAsia="Calibri" w:hAnsi="Calibri"/>
          <w:b/>
          <w:bCs/>
          <w:sz w:val="22"/>
          <w:szCs w:val="22"/>
        </w:rPr>
        <w:t xml:space="preserve">Science notebook (ephemeral). </w:t>
      </w:r>
      <w:r>
        <w:rPr>
          <w:rFonts w:ascii="Calibri" w:cs="Calibri" w:eastAsia="Calibri" w:hAnsi="Calibri"/>
          <w:sz w:val="22"/>
          <w:szCs w:val="22"/>
        </w:rPr>
        <w:t xml:space="preserve">A Colab-ready workflow that unpacks the repo zip, builds a tiny toy dataset, runs the science pipeline, and writes audit CSVs ready for analysis.</w:t>
      </w:r>
    </w:p>
    <w:p>
      <w:pPr>
        <w:pStyle w:val="Heading2"/>
        <w:spacing w:after="160" w:before="320"/>
      </w:pPr>
      <w:r>
        <w:rPr>
          <w:rFonts w:ascii="Calibri" w:cs="Calibri" w:eastAsia="Calibri" w:hAnsi="Calibri"/>
          <w:b/>
          <w:bCs/>
          <w:color w:val="1C3D3A"/>
          <w:sz w:val="28"/>
          <w:szCs w:val="28"/>
        </w:rPr>
        <w:t xml:space="preserve">2.3 Outputs and the Bayesian Network handoff</w:t>
      </w:r>
    </w:p>
    <w:p>
      <w:pPr>
        <w:spacing w:after="140" w:line="300"/>
      </w:pPr>
      <w:r>
        <w:rPr>
          <w:rFonts w:ascii="Calibri" w:cs="Calibri" w:eastAsia="Calibri" w:hAnsi="Calibri"/>
          <w:sz w:val="22"/>
          <w:szCs w:val="22"/>
        </w:rPr>
        <w:t xml:space="preserve">Every run writes version-stamped attribute rows that can be exported as a BN snapshot. This handoff is what lifts Image Tagger above a conventional annotation tool: it emits structured observables with source, version, and confidence metadata, so a downstream BN can be built, calibrated, and evaluated on large image corpora. Existing BN work in related domains links environmental characteristics to outcomes, but typically at the scale of building operations, safety management, or landscape aggregates rather than at the image level and in psychologically interpretable terms (Kerebel et al., 2019).</w:t>
      </w:r>
    </w:p>
    <w:p>
      <w:pPr>
        <w:pStyle w:val="Heading1"/>
        <w:spacing w:after="160" w:before="320"/>
      </w:pPr>
      <w:r>
        <w:rPr>
          <w:rFonts w:ascii="Calibri" w:cs="Calibri" w:eastAsia="Calibri" w:hAnsi="Calibri"/>
          <w:b/>
          <w:bCs/>
          <w:color w:val="1C3D3A"/>
          <w:sz w:val="34"/>
          <w:szCs w:val="34"/>
        </w:rPr>
        <w:t xml:space="preserve">3. Why it is clever — and why it is not yet standard practice</w:t>
      </w:r>
    </w:p>
    <w:p>
      <w:pPr>
        <w:spacing w:after="140" w:line="300"/>
      </w:pPr>
      <w:r>
        <w:rPr>
          <w:rFonts w:ascii="Calibri" w:cs="Calibri" w:eastAsia="Calibri" w:hAnsi="Calibri"/>
          <w:sz w:val="22"/>
          <w:szCs w:val="22"/>
        </w:rPr>
        <w:t xml:space="preserve">Most computer-vision and annotation tools follow one of two patterns: "label what is in the image" (objects, scenes, styles) or "provide a UI for humans to annotate." Image Tagger targets a different problem. It is engineered around the observables that CNfA causal hypotheses actually require. The novelty is not any single component. It is the end-to-end coupling of three design choices:</w:t>
      </w:r>
    </w:p>
    <w:p>
      <w:pPr>
        <w:pStyle w:val="ListParagraph"/>
        <w:numPr>
          <w:ilvl w:val="0"/>
          <w:numId w:val="2"/>
        </w:numPr>
        <w:spacing w:after="100" w:line="300"/>
      </w:pPr>
      <w:r>
        <w:rPr>
          <w:rFonts w:ascii="Calibri" w:cs="Calibri" w:eastAsia="Calibri" w:hAnsi="Calibri"/>
          <w:b/>
          <w:bCs/>
          <w:sz w:val="22"/>
          <w:szCs w:val="22"/>
        </w:rPr>
        <w:t xml:space="preserve">Ontology-first engineering. </w:t>
      </w:r>
      <w:r>
        <w:rPr>
          <w:rFonts w:ascii="Calibri" w:cs="Calibri" w:eastAsia="Calibri" w:hAnsi="Calibri"/>
          <w:sz w:val="22"/>
          <w:szCs w:val="22"/>
        </w:rPr>
        <w:t xml:space="preserve">Constructs such as restorativeness and legibility are treated as first-class citizens of the tag schema rather than as incidental labels. CNfA rules are defined over constructs, not over pixels, so the schema has to agree.</w:t>
      </w:r>
    </w:p>
    <w:p>
      <w:pPr>
        <w:pStyle w:val="ListParagraph"/>
        <w:numPr>
          <w:ilvl w:val="0"/>
          <w:numId w:val="2"/>
        </w:numPr>
        <w:spacing w:after="100" w:line="300"/>
      </w:pPr>
      <w:r>
        <w:rPr>
          <w:rFonts w:ascii="Calibri" w:cs="Calibri" w:eastAsia="Calibri" w:hAnsi="Calibri"/>
          <w:b/>
          <w:bCs/>
          <w:sz w:val="22"/>
          <w:szCs w:val="22"/>
        </w:rPr>
        <w:t xml:space="preserve">Dual evidence channels. </w:t>
      </w:r>
      <w:r>
        <w:rPr>
          <w:rFonts w:ascii="Calibri" w:cs="Calibri" w:eastAsia="Calibri" w:hAnsi="Calibri"/>
          <w:sz w:val="22"/>
          <w:szCs w:val="22"/>
        </w:rPr>
        <w:t xml:space="preserve">Deterministic indices provide a stable, inspectable baseline; VLM judgments add higher-level semantics when they are available. Neither channel depends on the other, which prevents the system from collapsing into a black-box-only pipeline while still letting it draw on modern multimodal models.</w:t>
      </w:r>
    </w:p>
    <w:p>
      <w:pPr>
        <w:pStyle w:val="ListParagraph"/>
        <w:numPr>
          <w:ilvl w:val="0"/>
          <w:numId w:val="2"/>
        </w:numPr>
        <w:spacing w:after="100" w:line="300"/>
      </w:pPr>
      <w:r>
        <w:rPr>
          <w:rFonts w:ascii="Calibri" w:cs="Calibri" w:eastAsia="Calibri" w:hAnsi="Calibri"/>
          <w:b/>
          <w:bCs/>
          <w:sz w:val="22"/>
          <w:szCs w:val="22"/>
        </w:rPr>
        <w:t xml:space="preserve">Operational honesty through coverage registries. </w:t>
      </w:r>
      <w:r>
        <w:rPr>
          <w:rFonts w:ascii="Calibri" w:cs="Calibri" w:eastAsia="Calibri" w:hAnsi="Calibri"/>
          <w:sz w:val="22"/>
          <w:szCs w:val="22"/>
        </w:rPr>
        <w:t xml:space="preserve">A tag-coverage registry records which attributes are real, which are stubbed, and which analyzers support each one. Teams cannot silently assume coverage that does not exist.</w:t>
      </w:r>
    </w:p>
    <w:p>
      <w:pPr>
        <w:pStyle w:val="ListParagraph"/>
        <w:numPr>
          <w:ilvl w:val="0"/>
          <w:numId w:val="2"/>
        </w:numPr>
        <w:spacing w:after="100" w:line="300"/>
      </w:pPr>
      <w:r>
        <w:rPr>
          <w:rFonts w:ascii="Calibri" w:cs="Calibri" w:eastAsia="Calibri" w:hAnsi="Calibri"/>
          <w:b/>
          <w:bCs/>
          <w:sz w:val="22"/>
          <w:szCs w:val="22"/>
        </w:rPr>
        <w:t xml:space="preserve">VLM health protocol. </w:t>
      </w:r>
      <w:r>
        <w:rPr>
          <w:rFonts w:ascii="Calibri" w:cs="Calibri" w:eastAsia="Calibri" w:hAnsi="Calibri"/>
          <w:sz w:val="22"/>
          <w:szCs w:val="22"/>
        </w:rPr>
        <w:t xml:space="preserve">A built-in Standard Operating Procedure detects low-variance or mode-collapsed VLM outputs and compares human and AI labels under blinded conditions. Continuous operational quality assurance of this kind is rare in bespoke research pipelines.</w:t>
      </w:r>
    </w:p>
    <w:p>
      <w:pPr>
        <w:pStyle w:val="ListParagraph"/>
        <w:numPr>
          <w:ilvl w:val="0"/>
          <w:numId w:val="2"/>
        </w:numPr>
        <w:spacing w:after="100" w:line="300"/>
      </w:pPr>
      <w:r>
        <w:rPr>
          <w:rFonts w:ascii="Calibri" w:cs="Calibri" w:eastAsia="Calibri" w:hAnsi="Calibri"/>
          <w:b/>
          <w:bCs/>
          <w:sz w:val="22"/>
          <w:szCs w:val="22"/>
        </w:rPr>
        <w:t xml:space="preserve">Pedagogy and scale in one system. </w:t>
      </w:r>
      <w:r>
        <w:rPr>
          <w:rFonts w:ascii="Calibri" w:cs="Calibri" w:eastAsia="Calibri" w:hAnsi="Calibri"/>
          <w:sz w:val="22"/>
          <w:szCs w:val="22"/>
        </w:rPr>
        <w:t xml:space="preserve">The same codebase can be read and modified by students and deployed to the cloud for production-scale runs.</w:t>
      </w:r>
    </w:p>
    <w:p>
      <w:pPr>
        <w:spacing w:after="140" w:line="300"/>
      </w:pPr>
      <w:r>
        <w:rPr>
          <w:rFonts w:ascii="Calibri" w:cs="Calibri" w:eastAsia="Calibri" w:hAnsi="Calibri"/>
          <w:sz w:val="22"/>
          <w:szCs w:val="22"/>
        </w:rPr>
        <w:t xml:space="preserve">We have not found an off-the-shelf open-source system that combines all three properties we need: it targets environmental-psychology and CNfA constructs as BN observables; it integrates multiple VLM providers behind a unified interface with a stubbed teaching mode; and it operationalizes VLM trust through variance diagnostics and human-blinded comparisons as part of routine releases. Important precursors exist — particularly work that links computer-vision features to restorative-scene judgments (Berman et al., 2014) — but they are narrow, task-specific research prototypes rather than an auditable, full-stack platform.</w:t>
      </w:r>
    </w:p>
    <w:p>
      <w:pPr>
        <w:pStyle w:val="Heading1"/>
        <w:spacing w:after="160" w:before="320"/>
      </w:pPr>
      <w:r>
        <w:rPr>
          <w:rFonts w:ascii="Calibri" w:cs="Calibri" w:eastAsia="Calibri" w:hAnsi="Calibri"/>
          <w:b/>
          <w:bCs/>
          <w:color w:val="1C3D3A"/>
          <w:sz w:val="34"/>
          <w:szCs w:val="34"/>
        </w:rPr>
        <w:t xml:space="preserve">4. Current status</w:t>
      </w:r>
    </w:p>
    <w:p>
      <w:pPr>
        <w:spacing w:after="140" w:line="300"/>
      </w:pPr>
      <w:r>
        <w:rPr>
          <w:rFonts w:ascii="Calibri" w:cs="Calibri" w:eastAsia="Calibri" w:hAnsi="Calibri"/>
          <w:sz w:val="22"/>
          <w:szCs w:val="22"/>
        </w:rPr>
        <w:t xml:space="preserve">The v3.4.74 runbook bundle demonstrates a coherent platform skeleton alongside the features one expects in a system built with adult supervision: runbooks, quickstarts, health audits. It also reveals the usual reality of an evolving research system. Some documents and code paths still refer to earlier minor versions, and several advanced tag families are present as modules but not yet orchestrated in the default pipeline. Treated honestly, this is a feature rather than a bug: the system is already structured to make missing coverage visible and to support staged rollouts. The bundle ships with:</w:t>
      </w:r>
    </w:p>
    <w:p>
      <w:pPr>
        <w:pStyle w:val="ListParagraph"/>
        <w:numPr>
          <w:ilvl w:val="0"/>
          <w:numId w:val="2"/>
        </w:numPr>
        <w:spacing w:after="100" w:line="300"/>
      </w:pPr>
      <w:r>
        <w:rPr>
          <w:rFonts w:ascii="Calibri" w:cs="Calibri" w:eastAsia="Calibri" w:hAnsi="Calibri"/>
          <w:sz w:val="22"/>
          <w:szCs w:val="22"/>
        </w:rPr>
        <w:t xml:space="preserve">A working full-stack deployment path — Docker, Codespaces, or a dedicated VM — alongside a Colab notebook path for science and quality-assurance labs.</w:t>
      </w:r>
    </w:p>
    <w:p>
      <w:pPr>
        <w:pStyle w:val="ListParagraph"/>
        <w:numPr>
          <w:ilvl w:val="0"/>
          <w:numId w:val="2"/>
        </w:numPr>
        <w:spacing w:after="100" w:line="300"/>
      </w:pPr>
      <w:r>
        <w:rPr>
          <w:rFonts w:ascii="Calibri" w:cs="Calibri" w:eastAsia="Calibri" w:hAnsi="Calibri"/>
          <w:sz w:val="22"/>
          <w:szCs w:val="22"/>
        </w:rPr>
        <w:t xml:space="preserve">A unified VLM service with provider selection, key detection, and automatic stub fallback.</w:t>
      </w:r>
    </w:p>
    <w:p>
      <w:pPr>
        <w:pStyle w:val="ListParagraph"/>
        <w:numPr>
          <w:ilvl w:val="0"/>
          <w:numId w:val="2"/>
        </w:numPr>
        <w:spacing w:after="100" w:line="300"/>
      </w:pPr>
      <w:r>
        <w:rPr>
          <w:rFonts w:ascii="Calibri" w:cs="Calibri" w:eastAsia="Calibri" w:hAnsi="Calibri"/>
          <w:sz w:val="22"/>
          <w:szCs w:val="22"/>
        </w:rPr>
        <w:t xml:space="preserve">A VLM health protocol implemented both as scripts and as Standard Operating Procedure documentation.</w:t>
      </w:r>
    </w:p>
    <w:p>
      <w:pPr>
        <w:pStyle w:val="ListParagraph"/>
        <w:numPr>
          <w:ilvl w:val="0"/>
          <w:numId w:val="2"/>
        </w:numPr>
        <w:spacing w:after="100" w:line="300"/>
      </w:pPr>
      <w:r>
        <w:rPr>
          <w:rFonts w:ascii="Calibri" w:cs="Calibri" w:eastAsia="Calibri" w:hAnsi="Calibri"/>
          <w:sz w:val="22"/>
          <w:szCs w:val="22"/>
        </w:rPr>
        <w:t xml:space="preserve">A growing catalog of canonical features, each carrying methods and metadata, ready to expand as CNfA latents and indicator sets mature.</w:t>
      </w:r>
    </w:p>
    <w:p>
      <w:pPr>
        <w:pStyle w:val="Heading1"/>
        <w:spacing w:after="160" w:before="320"/>
      </w:pPr>
      <w:r>
        <w:rPr>
          <w:rFonts w:ascii="Calibri" w:cs="Calibri" w:eastAsia="Calibri" w:hAnsi="Calibri"/>
          <w:b/>
          <w:bCs/>
          <w:color w:val="1C3D3A"/>
          <w:sz w:val="34"/>
          <w:szCs w:val="34"/>
        </w:rPr>
        <w:t xml:space="preserve">5. A fundable roadmap</w:t>
      </w:r>
    </w:p>
    <w:p>
      <w:pPr>
        <w:spacing w:after="140" w:line="300"/>
      </w:pPr>
      <w:r>
        <w:rPr>
          <w:rFonts w:ascii="Calibri" w:cs="Calibri" w:eastAsia="Calibri" w:hAnsi="Calibri"/>
          <w:sz w:val="22"/>
          <w:szCs w:val="22"/>
        </w:rPr>
        <w:t xml:space="preserve">The next phase of development runs along three coupled tracks: hardening the measurement ontology, improving extraction reliability and calibration, and completing the Bayesian Network integration with scientific validation.</w:t>
      </w:r>
    </w:p>
    <w:p>
      <w:pPr>
        <w:pStyle w:val="Heading2"/>
        <w:spacing w:after="160" w:before="320"/>
      </w:pPr>
      <w:r>
        <w:rPr>
          <w:rFonts w:ascii="Calibri" w:cs="Calibri" w:eastAsia="Calibri" w:hAnsi="Calibri"/>
          <w:b/>
          <w:bCs/>
          <w:color w:val="1C3D3A"/>
          <w:sz w:val="28"/>
          <w:szCs w:val="28"/>
        </w:rPr>
        <w:t xml:space="preserve">5.1 Track A — Measurement hardening</w:t>
      </w:r>
    </w:p>
    <w:p>
      <w:pPr>
        <w:pStyle w:val="ListParagraph"/>
        <w:numPr>
          <w:ilvl w:val="0"/>
          <w:numId w:val="2"/>
        </w:numPr>
        <w:spacing w:after="100" w:line="300"/>
      </w:pPr>
      <w:r>
        <w:rPr>
          <w:rFonts w:ascii="Calibri" w:cs="Calibri" w:eastAsia="Calibri" w:hAnsi="Calibri"/>
          <w:sz w:val="22"/>
          <w:szCs w:val="22"/>
        </w:rPr>
        <w:t xml:space="preserve">Finalize tag specifications for each construct: value type (binary, ordinal, or continuous), scale endpoints, and confidence semantics.</w:t>
      </w:r>
    </w:p>
    <w:p>
      <w:pPr>
        <w:pStyle w:val="ListParagraph"/>
        <w:numPr>
          <w:ilvl w:val="0"/>
          <w:numId w:val="2"/>
        </w:numPr>
        <w:spacing w:after="100" w:line="300"/>
      </w:pPr>
      <w:r>
        <w:rPr>
          <w:rFonts w:ascii="Calibri" w:cs="Calibri" w:eastAsia="Calibri" w:hAnsi="Calibri"/>
          <w:sz w:val="22"/>
          <w:szCs w:val="22"/>
        </w:rPr>
        <w:t xml:space="preserve">Attach an indicator set to each latent: three to six image-based rating items plus one or two behavioral proxies, chosen to support reliability analysis (internal consistency and test-retest) and validity analysis (convergent and discriminant).</w:t>
      </w:r>
    </w:p>
    <w:p>
      <w:pPr>
        <w:pStyle w:val="ListParagraph"/>
        <w:numPr>
          <w:ilvl w:val="0"/>
          <w:numId w:val="2"/>
        </w:numPr>
        <w:spacing w:after="100" w:line="300"/>
      </w:pPr>
      <w:r>
        <w:rPr>
          <w:rFonts w:ascii="Calibri" w:cs="Calibri" w:eastAsia="Calibri" w:hAnsi="Calibri"/>
          <w:sz w:val="22"/>
          <w:szCs w:val="22"/>
        </w:rPr>
        <w:t xml:space="preserve">Publish a versioned codebook so external collaborators can interpret BN nodes unambiguously.</w:t>
      </w:r>
    </w:p>
    <w:p>
      <w:pPr>
        <w:pStyle w:val="Heading2"/>
        <w:spacing w:after="160" w:before="320"/>
      </w:pPr>
      <w:r>
        <w:rPr>
          <w:rFonts w:ascii="Calibri" w:cs="Calibri" w:eastAsia="Calibri" w:hAnsi="Calibri"/>
          <w:b/>
          <w:bCs/>
          <w:color w:val="1C3D3A"/>
          <w:sz w:val="28"/>
          <w:szCs w:val="28"/>
        </w:rPr>
        <w:t xml:space="preserve">5.2 Track B — Extraction upgrades</w:t>
      </w:r>
    </w:p>
    <w:p>
      <w:pPr>
        <w:pStyle w:val="ListParagraph"/>
        <w:numPr>
          <w:ilvl w:val="0"/>
          <w:numId w:val="2"/>
        </w:numPr>
        <w:spacing w:after="100" w:line="300"/>
      </w:pPr>
      <w:r>
        <w:rPr>
          <w:rFonts w:ascii="Calibri" w:cs="Calibri" w:eastAsia="Calibri" w:hAnsi="Calibri"/>
          <w:sz w:val="22"/>
          <w:szCs w:val="22"/>
        </w:rPr>
        <w:t xml:space="preserve">Expand deterministic analyzers for geometry and spatial structure — layout cues, openness and occlusion measures — and calibrate each against human judgments.</w:t>
      </w:r>
    </w:p>
    <w:p>
      <w:pPr>
        <w:pStyle w:val="ListParagraph"/>
        <w:numPr>
          <w:ilvl w:val="0"/>
          <w:numId w:val="2"/>
        </w:numPr>
        <w:spacing w:after="100" w:line="300"/>
      </w:pPr>
      <w:r>
        <w:rPr>
          <w:rFonts w:ascii="Calibri" w:cs="Calibri" w:eastAsia="Calibri" w:hAnsi="Calibri"/>
          <w:sz w:val="22"/>
          <w:szCs w:val="22"/>
        </w:rPr>
        <w:t xml:space="preserve">Add monocular depth and layout estimation as optional modules, so the pipeline can approximate three-dimensional properties from a single photograph when no 3D scan is available.</w:t>
      </w:r>
    </w:p>
    <w:p>
      <w:pPr>
        <w:pStyle w:val="ListParagraph"/>
        <w:numPr>
          <w:ilvl w:val="0"/>
          <w:numId w:val="2"/>
        </w:numPr>
        <w:spacing w:after="100" w:line="300"/>
      </w:pPr>
      <w:r>
        <w:rPr>
          <w:rFonts w:ascii="Calibri" w:cs="Calibri" w:eastAsia="Calibri" w:hAnsi="Calibri"/>
          <w:sz w:val="22"/>
          <w:szCs w:val="22"/>
        </w:rPr>
        <w:t xml:space="preserve">Apply active learning to images where the model is uncertain or where tag disagreements run high, improving dataset efficiency with each labeling round.</w:t>
      </w:r>
    </w:p>
    <w:p>
      <w:pPr>
        <w:pStyle w:val="Heading2"/>
        <w:spacing w:after="160" w:before="320"/>
      </w:pPr>
      <w:r>
        <w:rPr>
          <w:rFonts w:ascii="Calibri" w:cs="Calibri" w:eastAsia="Calibri" w:hAnsi="Calibri"/>
          <w:b/>
          <w:bCs/>
          <w:color w:val="1C3D3A"/>
          <w:sz w:val="28"/>
          <w:szCs w:val="28"/>
        </w:rPr>
        <w:t xml:space="preserve">5.3 Track C — Bayesian Network integration</w:t>
      </w:r>
    </w:p>
    <w:p>
      <w:pPr>
        <w:pStyle w:val="ListParagraph"/>
        <w:numPr>
          <w:ilvl w:val="0"/>
          <w:numId w:val="2"/>
        </w:numPr>
        <w:spacing w:after="100" w:line="300"/>
      </w:pPr>
      <w:r>
        <w:rPr>
          <w:rFonts w:ascii="Calibri" w:cs="Calibri" w:eastAsia="Calibri" w:hAnsi="Calibri"/>
          <w:sz w:val="22"/>
          <w:szCs w:val="22"/>
        </w:rPr>
        <w:t xml:space="preserve">Complete the crosswalk that maps CNfA constructs to Image Tagger tag keys and to Article Eater BN variable names.</w:t>
      </w:r>
    </w:p>
    <w:p>
      <w:pPr>
        <w:pStyle w:val="ListParagraph"/>
        <w:numPr>
          <w:ilvl w:val="0"/>
          <w:numId w:val="2"/>
        </w:numPr>
        <w:spacing w:after="100" w:line="300"/>
      </w:pPr>
      <w:r>
        <w:rPr>
          <w:rFonts w:ascii="Calibri" w:cs="Calibri" w:eastAsia="Calibri" w:hAnsi="Calibri"/>
          <w:sz w:val="22"/>
          <w:szCs w:val="22"/>
        </w:rPr>
        <w:t xml:space="preserve">Version priors and provenance fields so BN behavior remains reproducible and auditable over time.</w:t>
      </w:r>
    </w:p>
    <w:p>
      <w:pPr>
        <w:pStyle w:val="ListParagraph"/>
        <w:numPr>
          <w:ilvl w:val="0"/>
          <w:numId w:val="2"/>
        </w:numPr>
        <w:spacing w:after="100" w:line="300"/>
      </w:pPr>
      <w:r>
        <w:rPr>
          <w:rFonts w:ascii="Calibri" w:cs="Calibri" w:eastAsia="Calibri" w:hAnsi="Calibri"/>
          <w:sz w:val="22"/>
          <w:szCs w:val="22"/>
        </w:rPr>
        <w:t xml:space="preserve">Run end-to-end hypothesis probes: pick a small rule family — restorativeness and stress recovery, say — and validate predictions against curated image sets.</w:t>
      </w:r>
    </w:p>
    <w:p>
      <w:pPr>
        <w:pStyle w:val="Heading1"/>
        <w:spacing w:after="160" w:before="320"/>
      </w:pPr>
      <w:r>
        <w:rPr>
          <w:rFonts w:ascii="Calibri" w:cs="Calibri" w:eastAsia="Calibri" w:hAnsi="Calibri"/>
          <w:b/>
          <w:bCs/>
          <w:color w:val="1C3D3A"/>
          <w:sz w:val="34"/>
          <w:szCs w:val="34"/>
        </w:rPr>
        <w:t xml:space="preserve">6. Why funding matters</w:t>
      </w:r>
    </w:p>
    <w:p>
      <w:pPr>
        <w:spacing w:after="140" w:line="300"/>
      </w:pPr>
      <w:r>
        <w:rPr>
          <w:rFonts w:ascii="Calibri" w:cs="Calibri" w:eastAsia="Calibri" w:hAnsi="Calibri"/>
          <w:sz w:val="22"/>
          <w:szCs w:val="22"/>
        </w:rPr>
        <w:t xml:space="preserve">The bottleneck is not compute. It is scientific operationalization: defining constructs precisely enough that humans can label them consistently, algorithms can estimate them reliably, and Bayesian Networks can treat them as evidence with calibrated uncertainty. Funding accelerates four kinds of work: systematic indicator development and validation studies; engineering of extraction modules for the most decision-relevant latents; dataset curation with known ground truth or targeted human labeling; and the governance and evaluation infrastructure that makes the outputs credible to external users.</w:t>
      </w:r>
    </w:p>
    <w:p>
      <w:pPr>
        <w:spacing w:after="140" w:line="300"/>
      </w:pPr>
      <w:r>
        <w:rPr>
          <w:rFonts w:ascii="Calibri" w:cs="Calibri" w:eastAsia="Calibri" w:hAnsi="Calibri"/>
          <w:sz w:val="22"/>
          <w:szCs w:val="22"/>
        </w:rPr>
        <w:t xml:space="preserve">If the program succeeds, Image Tagger becomes a reusable research instrument — a way to convert photographs of interiors into a standardized evidence vector for CNfA reasoning. That opens the door to fast hypothesis generation, cross-study synthesis, and forms of design evaluation that are currently hard to carry out at scale, whether through manual annotation or through generic computer-vision tagging alone.</w:t>
      </w:r>
    </w:p>
    <w:p>
      <w:pPr>
        <w:pStyle w:val="Heading1"/>
        <w:spacing w:after="160" w:before="320"/>
      </w:pPr>
      <w:r>
        <w:rPr>
          <w:rFonts w:ascii="Calibri" w:cs="Calibri" w:eastAsia="Calibri" w:hAnsi="Calibri"/>
          <w:b/>
          <w:bCs/>
          <w:color w:val="1C3D3A"/>
          <w:sz w:val="34"/>
          <w:szCs w:val="34"/>
        </w:rPr>
        <w:t xml:space="preserve">References</w:t>
      </w:r>
    </w:p>
    <w:p>
      <w:pPr>
        <w:spacing w:after="100" w:line="280"/>
        <w:ind w:left="360" w:hanging="360"/>
      </w:pPr>
      <w:r>
        <w:rPr>
          <w:rFonts w:ascii="Calibri" w:cs="Calibri" w:eastAsia="Calibri" w:hAnsi="Calibri"/>
          <w:sz w:val="20"/>
          <w:szCs w:val="20"/>
        </w:rPr>
        <w:t xml:space="preserve">Berman, M. G., Stier, A. J., &amp; Akçay, Ç. (2014). The perception of naturalness correlates with low-level visual features of environmental scenes. PLoS ONE, 9(12), e114572. https://doi.org/10.1371/journal.pone.0114572</w:t>
      </w:r>
    </w:p>
    <w:p>
      <w:pPr>
        <w:spacing w:after="100" w:line="280"/>
        <w:ind w:left="360" w:hanging="360"/>
      </w:pPr>
      <w:r>
        <w:rPr>
          <w:rFonts w:ascii="Calibri" w:cs="Calibri" w:eastAsia="Calibri" w:hAnsi="Calibri"/>
          <w:sz w:val="20"/>
          <w:szCs w:val="20"/>
        </w:rPr>
        <w:t xml:space="preserve">Kaplan, R., &amp; Kaplan, S. (1989). The experience of nature: A psychological perspective. Cambridge University Press.</w:t>
      </w:r>
    </w:p>
    <w:p>
      <w:pPr>
        <w:spacing w:after="100" w:line="280"/>
        <w:ind w:left="360" w:hanging="360"/>
      </w:pPr>
      <w:r>
        <w:rPr>
          <w:rFonts w:ascii="Calibri" w:cs="Calibri" w:eastAsia="Calibri" w:hAnsi="Calibri"/>
          <w:sz w:val="20"/>
          <w:szCs w:val="20"/>
        </w:rPr>
        <w:t xml:space="preserve">Kerebel, A., Gélinas, N., Déry, S., Voigt, B., &amp; Munson, A. (2019). Landscape aesthetic modelling using Bayesian networks: Conceptual framework and participatory indicator weighting. Landscape and Urban Planning, 185, 258–271. https://doi.org/10.1016/j.landurbplan.2019.02.001</w:t>
      </w:r>
    </w:p>
    <w:p>
      <w:pPr>
        <w:spacing w:after="100" w:line="280"/>
        <w:ind w:left="360" w:hanging="360"/>
      </w:pPr>
      <w:r>
        <w:rPr>
          <w:rFonts w:ascii="Calibri" w:cs="Calibri" w:eastAsia="Calibri" w:hAnsi="Calibri"/>
          <w:sz w:val="20"/>
          <w:szCs w:val="20"/>
        </w:rPr>
        <w:t xml:space="preserve">Stamps, A. E. (2004). Mystery, complexity, legibility and coherence: A meta-analysis. Journal of Environmental Psychology, 24(1), 1–16. https://doi.org/10.1016/S0272-4944(03)00023-9</w:t>
      </w:r>
    </w:p>
    <w:p>
      <w:pPr>
        <w:spacing w:after="100" w:line="280"/>
        <w:ind w:left="360" w:hanging="360"/>
      </w:pPr>
      <w:r>
        <w:rPr>
          <w:rFonts w:ascii="Calibri" w:cs="Calibri" w:eastAsia="Calibri" w:hAnsi="Calibri"/>
          <w:sz w:val="20"/>
          <w:szCs w:val="20"/>
        </w:rPr>
        <w:t xml:space="preserve">Ulrich, R. S. (1984). View through a window may influence recovery from surgery. Science, 224(4647), 420–421. https://doi.org/10.1126/science.6143402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C3D3A"/>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C3D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Tagger v3.4.7x — Executive Summary (v1.2)</dc:title>
  <dc:creator>Claude</dc:creator>
  <cp:lastModifiedBy>Un-named</cp:lastModifiedBy>
  <cp:revision>1</cp:revision>
  <dcterms:created xsi:type="dcterms:W3CDTF">2026-04-14T03:09:36.099Z</dcterms:created>
  <dcterms:modified xsi:type="dcterms:W3CDTF">2026-04-14T03:09:36.100Z</dcterms:modified>
</cp:coreProperties>
</file>

<file path=docProps/custom.xml><?xml version="1.0" encoding="utf-8"?>
<Properties xmlns="http://schemas.openxmlformats.org/officeDocument/2006/custom-properties" xmlns:vt="http://schemas.openxmlformats.org/officeDocument/2006/docPropsVTypes"/>
</file>