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云环境访问控制</w:t>
      </w:r>
    </w:p>
    <w:p>
      <w:r>
        <w:t xml:space="preserve">在多云环境中，身份与权限管理往往比单一平台更复杂。企业既要管理控制台用户、API 密钥和临时令牌，也要兼顾不同云厂商对角色继承、资源策略和组织边界的实现差异。</w:t>
      </w:r>
    </w:p>
    <w:p>
      <w:r>
        <w:t xml:space="preserve">如果缺少统一的权限治理视图，团队很容易在项目推进中不断叠加临时授权，最终形成“谁都可以做一点高风险操作，但没有人能完整解释这些授权为什么存在”的局面。</w:t>
      </w:r>
    </w:p>
    <w:p>
      <w:r>
        <w:t xml:space="preserve">因此，访问控制治理不应只停留在开通账号和分配角色层面，还应覆盖权限定期回收、异常授权检测、跨账号信任审计和高危操作双人复核。这样才能把权限体系从静态配置，逐步变成动态、可验证、可审计的控制机制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SecKnow Test Document</dc:title>
  <dc:creator>Codex</dc:creator>
</cp:coreProperties>
</file>