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漏洞修复流程</w:t>
      </w:r>
    </w:p>
    <w:p>
      <w:r>
        <w:t xml:space="preserve">发现高危漏洞后，应先确认影响范围，再根据业务窗口安排修复。</w:t>
      </w:r>
    </w:p>
    <w:p>
      <w:r>
        <w:t xml:space="preserve">如果当前无法立即升级，需要提供临时缓解方案，并记录风险接受人。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SecKnow Test Document</dc:title>
  <dc:creator>Codex</dc:creator>
</cp:coreProperties>
</file>