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供应链安全</w:t>
      </w:r>
    </w:p>
    <w:p>
      <w:r>
        <w:t xml:space="preserve">第三方组件引入前需要核对来源、版本、许可证和已知漏洞。</w:t>
      </w:r>
    </w:p>
    <w:p>
      <w:r>
        <w:t xml:space="preserve">对于长期无人维护的组件，应评估替换成本，避免成为持续风险入口。</w:t>
      </w:r>
    </w:p>
    <w:sectPr>
      <w:pgSz w:w="11906" w:h="16838"/>
      <w:pgMar w:top="1440" w:right="1440" w:bottom="1440" w:left="1440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SecKnow Test Document</dc:title>
  <dc:creator>Codex</dc:creator>
</cp:coreProperties>
</file>