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密码策略</w:t>
      </w:r>
    </w:p>
    <w:p>
      <w:r>
        <w:t xml:space="preserve">所有运维账号必须启用多因素认证。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SecKnow Test Document</dc:title>
  <dc:creator>Codex</dc:creator>
</cp:coreProperties>
</file>