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075" w:rsidRDefault="00FD3075" w:rsidP="00FD3075">
      <w:pPr>
        <w:pStyle w:val="Title"/>
      </w:pPr>
    </w:p>
    <w:p w:rsidR="00FD3075" w:rsidRDefault="00FD3075" w:rsidP="00FD3075">
      <w:pPr>
        <w:rPr>
          <w:b/>
        </w:rPr>
      </w:pPr>
    </w:p>
    <w:p w:rsidR="00FD3075" w:rsidRDefault="00FD3075" w:rsidP="00FD3075">
      <w:pPr>
        <w:rPr>
          <w:b/>
        </w:rPr>
      </w:pPr>
    </w:p>
    <w:p w:rsidR="00FD3075" w:rsidRDefault="00FD3075" w:rsidP="00FD3075">
      <w:pPr>
        <w:rPr>
          <w:b/>
        </w:rPr>
      </w:pPr>
    </w:p>
    <w:p w:rsidR="00FD3075" w:rsidRDefault="00FD3075" w:rsidP="00FD3075">
      <w:pPr>
        <w:rPr>
          <w:b/>
        </w:rPr>
      </w:pPr>
    </w:p>
    <w:p w:rsidR="00FD3075" w:rsidRDefault="00FD3075" w:rsidP="00FD3075">
      <w:pPr>
        <w:rPr>
          <w:b/>
        </w:rPr>
      </w:pPr>
    </w:p>
    <w:p w:rsidR="00FD3075" w:rsidRDefault="00FD3075" w:rsidP="00FD3075">
      <w:pPr>
        <w:pStyle w:val="Heading1"/>
      </w:pPr>
    </w:p>
    <w:p w:rsidR="00FD3075" w:rsidRDefault="00FD3075" w:rsidP="00FD3075"/>
    <w:p w:rsidR="00FD3075" w:rsidRDefault="00FD3075" w:rsidP="00FD3075">
      <w:pPr>
        <w:pStyle w:val="Heading1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FD3075" w:rsidTr="00FD3075">
        <w:tc>
          <w:tcPr>
            <w:tcW w:w="3008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ID</w:t>
            </w:r>
          </w:p>
        </w:tc>
        <w:tc>
          <w:tcPr>
            <w:tcW w:w="3009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Requirement</w:t>
            </w:r>
          </w:p>
        </w:tc>
        <w:tc>
          <w:tcPr>
            <w:tcW w:w="3009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Target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FR-PERF-01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S</w:t>
            </w:r>
            <w:r w:rsidRPr="00FD3075">
              <w:t>earch results shall return quickly under normal load.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&lt;</w:t>
            </w:r>
            <w:r w:rsidRPr="00FD3075">
              <w:t>= 2 seconds (95th percentile)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FR-PERF-02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P</w:t>
            </w:r>
            <w:r w:rsidRPr="00FD3075">
              <w:t>age/screen load on 3G mobile networks shall remain usable.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&lt;</w:t>
            </w:r>
            <w:r w:rsidRPr="00FD3075">
              <w:t>= 4 seconds first meaningful content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FR-PERF-03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P</w:t>
            </w:r>
            <w:r w:rsidRPr="00FD3075">
              <w:t>ayment authorization round-trip shall complete promptly.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&lt;</w:t>
            </w:r>
            <w:r w:rsidRPr="00FD3075">
              <w:t>= 5 seconds excluding provider latency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FR-PERF-04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R</w:t>
            </w:r>
            <w:r w:rsidRPr="00FD3075">
              <w:t>eal-time delivery tracking updates shall refresh frequently.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&lt;</w:t>
            </w:r>
            <w:r w:rsidRPr="00FD3075">
              <w:t>= 10 seconds update interval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FR-PERF-05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support concurrent users at launch scale.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&gt;</w:t>
            </w:r>
            <w:r w:rsidRPr="00FD3075">
              <w:t>= 10,000 concurrent users</w:t>
            </w:r>
          </w:p>
        </w:tc>
      </w:tr>
    </w:tbl>
    <w:p w:rsidR="00516835" w:rsidRDefault="00FD3075" w:rsidP="00FD3075">
      <w:r w:rsidRPr="00FD3075">
        <w:t>2. Performance (NFR-PERF)This document specifies quality attributes and constraints the platform must satisfy. Each NFR is measurable and verifiable. NFRs are critical because the platform handles health data, payments, and safety-sensitive workflows.1. Purpose</w:t>
      </w:r>
      <w:r w:rsidRPr="00FD3075">
        <w:rPr>
          <w:b/>
        </w:rPr>
        <w:t>Status:</w:t>
      </w:r>
      <w:r w:rsidRPr="00FD3075">
        <w:t xml:space="preserve"> Draft for Review</w:t>
      </w:r>
      <w:r w:rsidRPr="00FD3075">
        <w:rPr>
          <w:b/>
        </w:rPr>
        <w:t>Prepared by:</w:t>
      </w:r>
      <w:r w:rsidRPr="00FD3075">
        <w:t xml:space="preserve"> Senior Business Analyst</w:t>
      </w:r>
      <w:r w:rsidRPr="00FD3075">
        <w:rPr>
          <w:b/>
        </w:rPr>
        <w:t>Version:</w:t>
      </w:r>
      <w:r w:rsidRPr="00FD3075">
        <w:t xml:space="preserve"> 1.0</w:t>
      </w:r>
      <w:r w:rsidRPr="00FD3075">
        <w:rPr>
          <w:b/>
        </w:rPr>
        <w:t>Product:</w:t>
      </w:r>
      <w:r w:rsidRPr="00FD3075">
        <w:t xml:space="preserve"> PharmaLink Ethiopia — Digital Healthcare Marketplace</w:t>
      </w:r>
      <w:r w:rsidRPr="00FD3075">
        <w:rPr>
          <w:b/>
        </w:rPr>
        <w:t>Document Type:</w:t>
      </w:r>
      <w:r w:rsidRPr="00FD3075">
        <w:t xml:space="preserve"> Non-Functional Requirements SpecificationPharmaLink Ethiopia — Non-Functional Requirements (NFR)</w:t>
      </w:r>
    </w:p>
    <w:p w:rsidR="00FD3075" w:rsidRDefault="00FD3075" w:rsidP="00FD3075">
      <w:pPr>
        <w:pStyle w:val="Heading1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FD3075" w:rsidTr="00FD3075">
        <w:tc>
          <w:tcPr>
            <w:tcW w:w="3008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ID</w:t>
            </w:r>
          </w:p>
        </w:tc>
        <w:tc>
          <w:tcPr>
            <w:tcW w:w="3009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Requirement</w:t>
            </w:r>
          </w:p>
        </w:tc>
        <w:tc>
          <w:tcPr>
            <w:tcW w:w="3009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Target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FR-SCAL-01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scale horizontally to meet demand.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A</w:t>
            </w:r>
            <w:r w:rsidRPr="00FD3075">
              <w:t>uto-scale on load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FR-SCAL-02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architecture shall support growth without redesign.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U</w:t>
            </w:r>
            <w:r w:rsidRPr="00FD3075">
              <w:t>p to 5M registered users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FR-SCAL-03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handle peak order volumes (campaigns, outbreaks).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1</w:t>
            </w:r>
            <w:r w:rsidRPr="00FD3075">
              <w:t>0x baseline peak</w:t>
            </w:r>
          </w:p>
        </w:tc>
      </w:tr>
    </w:tbl>
    <w:p w:rsidR="00FD3075" w:rsidRDefault="00FD3075" w:rsidP="00FD3075">
      <w:r w:rsidRPr="00FD3075">
        <w:t>3. Scalability (NFR-SCAL)</w:t>
      </w:r>
    </w:p>
    <w:p w:rsidR="00FD3075" w:rsidRDefault="00FD3075" w:rsidP="00FD3075">
      <w:pPr>
        <w:pStyle w:val="Heading1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FD3075" w:rsidTr="00FD3075">
        <w:tc>
          <w:tcPr>
            <w:tcW w:w="3008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ID</w:t>
            </w:r>
          </w:p>
        </w:tc>
        <w:tc>
          <w:tcPr>
            <w:tcW w:w="3009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Requirement</w:t>
            </w:r>
          </w:p>
        </w:tc>
        <w:tc>
          <w:tcPr>
            <w:tcW w:w="3009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Target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FR-AVAIL-01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platform shall maintain high uptime.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&gt;</w:t>
            </w:r>
            <w:r w:rsidRPr="00FD3075">
              <w:t>= 99.9% monthly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FR-AVAIL-02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C</w:t>
            </w:r>
            <w:r w:rsidRPr="00FD3075">
              <w:t>ritical services (orders, payments) shall have no single point of failure.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R</w:t>
            </w:r>
            <w:r w:rsidRPr="00FD3075">
              <w:t>edundant deployment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FR-AVAIL-03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recover from failures within a defined RTO.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R</w:t>
            </w:r>
            <w:r w:rsidRPr="00FD3075">
              <w:t>TO &lt;= 1 hour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FR-AVAIL-04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D</w:t>
            </w:r>
            <w:r w:rsidRPr="00FD3075">
              <w:t>ata loss on failure shall be bounded by a defined RPO.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R</w:t>
            </w:r>
            <w:r w:rsidRPr="00FD3075">
              <w:t>PO &lt;= 15 minutes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FR-AVAIL-05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P</w:t>
            </w:r>
            <w:r w:rsidRPr="00FD3075">
              <w:t>lanned maintenance shall use low-traffic windows with notice.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A</w:t>
            </w:r>
            <w:r w:rsidRPr="00FD3075">
              <w:t>dvance notice, minimal downtime</w:t>
            </w:r>
          </w:p>
        </w:tc>
      </w:tr>
    </w:tbl>
    <w:p w:rsidR="00FD3075" w:rsidRDefault="00FD3075" w:rsidP="00FD3075">
      <w:r w:rsidRPr="00FD3075">
        <w:t>4. Availability &amp; Reliability (NFR-AVAIL)</w:t>
      </w:r>
    </w:p>
    <w:p w:rsidR="00FD3075" w:rsidRDefault="00FD3075" w:rsidP="00FD3075">
      <w:pPr>
        <w:pStyle w:val="Heading1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FD3075" w:rsidTr="00FD3075">
        <w:tc>
          <w:tcPr>
            <w:tcW w:w="3008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ID</w:t>
            </w:r>
          </w:p>
        </w:tc>
        <w:tc>
          <w:tcPr>
            <w:tcW w:w="3009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Requirement</w:t>
            </w:r>
          </w:p>
        </w:tc>
        <w:tc>
          <w:tcPr>
            <w:tcW w:w="3009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Target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FR-SEC-01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A</w:t>
            </w:r>
            <w:r w:rsidRPr="00FD3075">
              <w:t>ll data in transit shall be encrypted.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LS 1.2+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FR-SEC-02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S</w:t>
            </w:r>
            <w:r w:rsidRPr="00FD3075">
              <w:t>ensitive data at rest shall be encrypted.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A</w:t>
            </w:r>
            <w:r w:rsidRPr="00FD3075">
              <w:t>ES-256 or equivalent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FR-SEC-03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enforce role-based access control (RBAC).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L</w:t>
            </w:r>
            <w:r w:rsidRPr="00FD3075">
              <w:t>east privilege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FR-SEC-04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not store raw card data; use PCI-compliant provider.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P</w:t>
            </w:r>
            <w:r w:rsidRPr="00FD3075">
              <w:t>CI DSS via provider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FR-SEC-05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protect against OWASP Top 10 vulnerabilities.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V</w:t>
            </w:r>
            <w:r w:rsidRPr="00FD3075">
              <w:t>erified by testing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FR-SEC-06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support MFA/OTP for sensitive actions.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E</w:t>
            </w:r>
            <w:r w:rsidRPr="00FD3075">
              <w:t>nabled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FR-SEC-07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log and monitor security events.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C</w:t>
            </w:r>
            <w:r w:rsidRPr="00FD3075">
              <w:t>entral audit logging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FR-SEC-08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undergo periodic security testing.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P</w:t>
            </w:r>
            <w:r w:rsidRPr="00FD3075">
              <w:t>en test before major release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FR-SEC-09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enforce strong password and session policies.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C</w:t>
            </w:r>
            <w:r w:rsidRPr="00FD3075">
              <w:t>onfigurable policy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FR-SEC-10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P</w:t>
            </w:r>
            <w:r w:rsidRPr="00FD3075">
              <w:t>rescriptions and health records shall be access-controlled and audited.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F</w:t>
            </w:r>
            <w:r w:rsidRPr="00FD3075">
              <w:t>ull audit trail</w:t>
            </w:r>
          </w:p>
        </w:tc>
      </w:tr>
    </w:tbl>
    <w:p w:rsidR="00FD3075" w:rsidRDefault="00FD3075" w:rsidP="00FD3075">
      <w:r w:rsidRPr="00FD3075">
        <w:t>5. Security (NFR-SEC)</w:t>
      </w:r>
    </w:p>
    <w:p w:rsidR="00FD3075" w:rsidRDefault="00FD3075" w:rsidP="00FD3075">
      <w:pPr>
        <w:pStyle w:val="Heading1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FD3075" w:rsidTr="00FD3075">
        <w:tc>
          <w:tcPr>
            <w:tcW w:w="3008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ID</w:t>
            </w:r>
          </w:p>
        </w:tc>
        <w:tc>
          <w:tcPr>
            <w:tcW w:w="3009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Requirement</w:t>
            </w:r>
          </w:p>
        </w:tc>
        <w:tc>
          <w:tcPr>
            <w:tcW w:w="3009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Target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FR-PRIV-01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comply with applicable Ethiopian data-protection law.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C</w:t>
            </w:r>
            <w:r w:rsidRPr="00FD3075">
              <w:t>ompliant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lastRenderedPageBreak/>
              <w:t>N</w:t>
            </w:r>
            <w:r w:rsidRPr="00FD3075">
              <w:t>FR-PRIV-02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collect only necessary personal/medical data.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D</w:t>
            </w:r>
            <w:r w:rsidRPr="00FD3075">
              <w:t>ata minimization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FR-PRIV-03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obtain user consent for data processing.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E</w:t>
            </w:r>
            <w:r w:rsidRPr="00FD3075">
              <w:t>xplicit consent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FR-PRIV-04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support data access, correction, and deletion requests.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P</w:t>
            </w:r>
            <w:r w:rsidRPr="00FD3075">
              <w:t>er policy/SLA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FR-PRIV-05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retain health/regulatory records for the required period only.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P</w:t>
            </w:r>
            <w:r w:rsidRPr="00FD3075">
              <w:t>olicy-driven retention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FR-PRIV-06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segregate and protect PII and health data.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L</w:t>
            </w:r>
            <w:r w:rsidRPr="00FD3075">
              <w:t>ogical/physical separation</w:t>
            </w:r>
          </w:p>
        </w:tc>
      </w:tr>
    </w:tbl>
    <w:p w:rsidR="00FD3075" w:rsidRDefault="00FD3075" w:rsidP="00FD3075">
      <w:r w:rsidRPr="00FD3075">
        <w:t>6. Privacy &amp; Data Protection (NFR-PRIV)</w:t>
      </w:r>
    </w:p>
    <w:p w:rsidR="00FD3075" w:rsidRDefault="00FD3075" w:rsidP="00FD3075">
      <w:pPr>
        <w:pStyle w:val="Heading1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FD3075" w:rsidTr="00FD3075">
        <w:tc>
          <w:tcPr>
            <w:tcW w:w="3008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ID</w:t>
            </w:r>
          </w:p>
        </w:tc>
        <w:tc>
          <w:tcPr>
            <w:tcW w:w="3009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Requirement</w:t>
            </w:r>
          </w:p>
        </w:tc>
        <w:tc>
          <w:tcPr>
            <w:tcW w:w="3009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Target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FR-USE-01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UI shall be intuitive for low-tech-literacy users.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ask success in usability tests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FR-USE-02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platform shall support Amharic and English.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F</w:t>
            </w:r>
            <w:r w:rsidRPr="00FD3075">
              <w:t>ull localization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FR-USE-03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UI shall meet accessibility guidelines.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W</w:t>
            </w:r>
            <w:r w:rsidRPr="00FD3075">
              <w:t>CAG 2.1 AA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FR-USE-04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C</w:t>
            </w:r>
            <w:r w:rsidRPr="00FD3075">
              <w:t>ore tasks shall be completable in minimal steps.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O</w:t>
            </w:r>
            <w:r w:rsidRPr="00FD3075">
              <w:t>rder in &lt;= 5 steps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FR-USE-05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UI shall be responsive across common devices/screen sizes.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M</w:t>
            </w:r>
            <w:r w:rsidRPr="00FD3075">
              <w:t>obile-first</w:t>
            </w:r>
          </w:p>
        </w:tc>
      </w:tr>
    </w:tbl>
    <w:p w:rsidR="00FD3075" w:rsidRDefault="00FD3075" w:rsidP="00FD3075">
      <w:r w:rsidRPr="00FD3075">
        <w:t>7. Usability &amp; Accessibility (NFR-USE)</w:t>
      </w:r>
    </w:p>
    <w:p w:rsidR="00FD3075" w:rsidRDefault="00FD3075" w:rsidP="00FD3075">
      <w:pPr>
        <w:pStyle w:val="Heading1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FD3075" w:rsidTr="00FD3075">
        <w:tc>
          <w:tcPr>
            <w:tcW w:w="3008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ID</w:t>
            </w:r>
          </w:p>
        </w:tc>
        <w:tc>
          <w:tcPr>
            <w:tcW w:w="3009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Requirement</w:t>
            </w:r>
          </w:p>
        </w:tc>
        <w:tc>
          <w:tcPr>
            <w:tcW w:w="3009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Target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FR-LOC-01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support Ethiopian currency (ETB) and formats.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E</w:t>
            </w:r>
            <w:r w:rsidRPr="00FD3075">
              <w:t>TB, local formats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FR-LOC-02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support cross-border currency handling for diaspora.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M</w:t>
            </w:r>
            <w:r w:rsidRPr="00FD3075">
              <w:t>ulti-currency payment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FR-LOC-03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handle Ethiopian address/geolocation conventions.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S</w:t>
            </w:r>
            <w:r w:rsidRPr="00FD3075">
              <w:t>upported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FR-LOC-04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function under intermittent connectivity.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G</w:t>
            </w:r>
            <w:r w:rsidRPr="00FD3075">
              <w:t>raceful degradation/offline-tolerant flows</w:t>
            </w:r>
          </w:p>
        </w:tc>
      </w:tr>
    </w:tbl>
    <w:p w:rsidR="00FD3075" w:rsidRDefault="00FD3075" w:rsidP="00FD3075">
      <w:r w:rsidRPr="00FD3075">
        <w:t>8. Localization &amp; Regional (NFR-LOC)</w:t>
      </w:r>
    </w:p>
    <w:p w:rsidR="00FD3075" w:rsidRDefault="00FD3075" w:rsidP="00FD3075">
      <w:pPr>
        <w:pStyle w:val="Heading1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FD3075" w:rsidTr="00FD3075">
        <w:tc>
          <w:tcPr>
            <w:tcW w:w="3008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ID</w:t>
            </w:r>
          </w:p>
        </w:tc>
        <w:tc>
          <w:tcPr>
            <w:tcW w:w="3009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Requirement</w:t>
            </w:r>
          </w:p>
        </w:tc>
        <w:tc>
          <w:tcPr>
            <w:tcW w:w="3009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Target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lastRenderedPageBreak/>
              <w:t>N</w:t>
            </w:r>
            <w:r w:rsidRPr="00FD3075">
              <w:t>FR-MAINT-01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use modular, well-documented services.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D</w:t>
            </w:r>
            <w:r w:rsidRPr="00FD3075">
              <w:t>ocumented APIs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FR-MAINT-02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support CI/CD with automated testing.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A</w:t>
            </w:r>
            <w:r w:rsidRPr="00FD3075">
              <w:t>utomated pipeline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FR-MAINT-03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C</w:t>
            </w:r>
            <w:r w:rsidRPr="00FD3075">
              <w:t>onfiguration (fees, zones, limits) shall be changeable without redeploy.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C</w:t>
            </w:r>
            <w:r w:rsidRPr="00FD3075">
              <w:t>onfig-driven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FR-MAINT-04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provide centralized logging and monitoring.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O</w:t>
            </w:r>
            <w:r w:rsidRPr="00FD3075">
              <w:t>bservability stack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FR-MAINT-05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support feature flags for safe rollout.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E</w:t>
            </w:r>
            <w:r w:rsidRPr="00FD3075">
              <w:t>nabled</w:t>
            </w:r>
          </w:p>
        </w:tc>
      </w:tr>
    </w:tbl>
    <w:p w:rsidR="00FD3075" w:rsidRDefault="00FD3075" w:rsidP="00FD3075">
      <w:r w:rsidRPr="00FD3075">
        <w:t>9. Maintainability &amp; Supportability (NFR-MAINT)</w:t>
      </w:r>
    </w:p>
    <w:p w:rsidR="00FD3075" w:rsidRDefault="00FD3075" w:rsidP="00FD3075">
      <w:pPr>
        <w:pStyle w:val="Heading1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FD3075" w:rsidTr="00FD3075">
        <w:tc>
          <w:tcPr>
            <w:tcW w:w="3008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ID</w:t>
            </w:r>
          </w:p>
        </w:tc>
        <w:tc>
          <w:tcPr>
            <w:tcW w:w="3009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Requirement</w:t>
            </w:r>
          </w:p>
        </w:tc>
        <w:tc>
          <w:tcPr>
            <w:tcW w:w="3009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Target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FR-COMP-01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O</w:t>
            </w:r>
            <w:r w:rsidRPr="00FD3075">
              <w:t>nly license-verified pharmacies/providers shall transact.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E</w:t>
            </w:r>
            <w:r w:rsidRPr="00FD3075">
              <w:t>nforced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FR-COMP-02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R</w:t>
            </w:r>
            <w:r w:rsidRPr="00FD3075">
              <w:t>x medicines shall require verified prescriptions before dispensing.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E</w:t>
            </w:r>
            <w:r w:rsidRPr="00FD3075">
              <w:t>nforced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FR-COMP-03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C</w:t>
            </w:r>
            <w:r w:rsidRPr="00FD3075">
              <w:t>ontrolled substances shall follow strict rules or be excluded.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P</w:t>
            </w:r>
            <w:r w:rsidRPr="00FD3075">
              <w:t>er regulation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FR-COMP-04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maintain auditable records for regulators.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I</w:t>
            </w:r>
            <w:r w:rsidRPr="00FD3075">
              <w:t>mmutable audit logs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FR-COMP-05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support traceability of medicine sourcing where required.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B</w:t>
            </w:r>
            <w:r w:rsidRPr="00FD3075">
              <w:t>atch/source tracking (as feasible)</w:t>
            </w:r>
          </w:p>
        </w:tc>
      </w:tr>
    </w:tbl>
    <w:p w:rsidR="00FD3075" w:rsidRDefault="00FD3075" w:rsidP="00FD3075">
      <w:r w:rsidRPr="00FD3075">
        <w:t>10. Compliance &amp; Regulatory (NFR-COMP)</w:t>
      </w:r>
    </w:p>
    <w:p w:rsidR="00FD3075" w:rsidRDefault="00FD3075" w:rsidP="00FD3075">
      <w:pPr>
        <w:pStyle w:val="Heading1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FD3075" w:rsidTr="00FD3075">
        <w:tc>
          <w:tcPr>
            <w:tcW w:w="3008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ID</w:t>
            </w:r>
          </w:p>
        </w:tc>
        <w:tc>
          <w:tcPr>
            <w:tcW w:w="3009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Requirement</w:t>
            </w:r>
          </w:p>
        </w:tc>
        <w:tc>
          <w:tcPr>
            <w:tcW w:w="3009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Target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FR-INTEROP-01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expose secure APIs for integrations.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R</w:t>
            </w:r>
            <w:r w:rsidRPr="00FD3075">
              <w:t>EST/HTTPS, versioned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FR-INTEROP-02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integrate with Fayda ID, payment, mapping, and notification providers.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D</w:t>
            </w:r>
            <w:r w:rsidRPr="00FD3075">
              <w:t>ocumented adapters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FR-INTEROP-03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support future insurance and distributor integrations.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E</w:t>
            </w:r>
            <w:r w:rsidRPr="00FD3075">
              <w:t>xtensible interfaces</w:t>
            </w:r>
          </w:p>
        </w:tc>
      </w:tr>
    </w:tbl>
    <w:p w:rsidR="00FD3075" w:rsidRDefault="00FD3075" w:rsidP="00FD3075">
      <w:r w:rsidRPr="00FD3075">
        <w:t>11. Interoperability (NFR-INTEROP)</w:t>
      </w:r>
    </w:p>
    <w:p w:rsidR="00FD3075" w:rsidRDefault="00FD3075" w:rsidP="00FD3075">
      <w:pPr>
        <w:pStyle w:val="Heading1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FD3075" w:rsidTr="00FD3075">
        <w:tc>
          <w:tcPr>
            <w:tcW w:w="3008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ID</w:t>
            </w:r>
          </w:p>
        </w:tc>
        <w:tc>
          <w:tcPr>
            <w:tcW w:w="3009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Requirement</w:t>
            </w:r>
          </w:p>
        </w:tc>
        <w:tc>
          <w:tcPr>
            <w:tcW w:w="3009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Target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lastRenderedPageBreak/>
              <w:t>N</w:t>
            </w:r>
            <w:r w:rsidRPr="00FD3075">
              <w:t>FR-AUDIT-01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S</w:t>
            </w:r>
            <w:r w:rsidRPr="00FD3075">
              <w:t>ensitive actions shall be logged with actor, time, and context.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C</w:t>
            </w:r>
            <w:r w:rsidRPr="00FD3075">
              <w:t>omplete audit trail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FR-AUDIT-02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A</w:t>
            </w:r>
            <w:r w:rsidRPr="00FD3075">
              <w:t>udit logs shall be tamper-evident and retained per policy.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I</w:t>
            </w:r>
            <w:r w:rsidRPr="00FD3075">
              <w:t>mmutable storage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FR-AUDIT-03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system shall support end-to-end order and prescription traceability.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raceable lifecycle</w:t>
            </w:r>
          </w:p>
        </w:tc>
      </w:tr>
    </w:tbl>
    <w:p w:rsidR="00FD3075" w:rsidRDefault="00FD3075" w:rsidP="00FD3075">
      <w:r w:rsidRPr="00FD3075">
        <w:t>12. Auditability &amp; Traceability (NFR-AUDIT)</w:t>
      </w:r>
    </w:p>
    <w:p w:rsidR="00FD3075" w:rsidRDefault="00FD3075" w:rsidP="00FD3075">
      <w:pPr>
        <w:pStyle w:val="Heading1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FD3075" w:rsidTr="00FD3075">
        <w:tc>
          <w:tcPr>
            <w:tcW w:w="3008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ID</w:t>
            </w:r>
          </w:p>
        </w:tc>
        <w:tc>
          <w:tcPr>
            <w:tcW w:w="3009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Requirement</w:t>
            </w:r>
          </w:p>
        </w:tc>
        <w:tc>
          <w:tcPr>
            <w:tcW w:w="3009" w:type="dxa"/>
          </w:tcPr>
          <w:p w:rsidR="00FD3075" w:rsidRPr="00FD3075" w:rsidRDefault="00FD3075" w:rsidP="00FD3075">
            <w:pPr>
              <w:rPr>
                <w:b/>
              </w:rPr>
            </w:pPr>
            <w:r w:rsidRPr="00FD3075">
              <w:rPr>
                <w:b/>
              </w:rPr>
              <w:t>Target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FR-PORT-01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T</w:t>
            </w:r>
            <w:r w:rsidRPr="00FD3075">
              <w:t>he backend shall be cloud-agnostic where feasible.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C</w:t>
            </w:r>
            <w:r w:rsidRPr="00FD3075">
              <w:t>ontainerized</w:t>
            </w:r>
          </w:p>
        </w:tc>
      </w:tr>
      <w:tr w:rsidR="00FD3075" w:rsidTr="00FD3075">
        <w:tc>
          <w:tcPr>
            <w:tcW w:w="3008" w:type="dxa"/>
          </w:tcPr>
          <w:p w:rsidR="00FD3075" w:rsidRPr="00FD3075" w:rsidRDefault="00FD3075" w:rsidP="00FD3075">
            <w:r>
              <w:t>N</w:t>
            </w:r>
            <w:r w:rsidRPr="00FD3075">
              <w:t>FR-PORT-02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M</w:t>
            </w:r>
            <w:r w:rsidRPr="00FD3075">
              <w:t>obile apps shall support current Android and iOS versions.</w:t>
            </w:r>
          </w:p>
        </w:tc>
        <w:tc>
          <w:tcPr>
            <w:tcW w:w="3009" w:type="dxa"/>
          </w:tcPr>
          <w:p w:rsidR="00FD3075" w:rsidRPr="00FD3075" w:rsidRDefault="00FD3075" w:rsidP="00FD3075">
            <w:r>
              <w:t>L</w:t>
            </w:r>
            <w:r w:rsidRPr="00FD3075">
              <w:t>atest 2 major versions</w:t>
            </w:r>
          </w:p>
        </w:tc>
      </w:tr>
    </w:tbl>
    <w:p w:rsidR="00FD3075" w:rsidRDefault="00FD3075" w:rsidP="00FD3075">
      <w:r w:rsidRPr="00FD3075">
        <w:t>13. Portability &amp; Environment (NFR-PORT)</w:t>
      </w:r>
    </w:p>
    <w:p w:rsidR="00FD3075" w:rsidRDefault="00FD3075" w:rsidP="00FD3075">
      <w:pPr>
        <w:pStyle w:val="Heading1"/>
      </w:pPr>
    </w:p>
    <w:p w:rsidR="00FD3075" w:rsidRDefault="00FD3075" w:rsidP="00FD3075"/>
    <w:p w:rsidR="00FD3075" w:rsidRDefault="00FD3075" w:rsidP="00FD3075">
      <w:bookmarkStart w:id="0" w:name="_GoBack"/>
      <w:bookmarkEnd w:id="0"/>
      <w:r w:rsidRPr="00FD3075">
        <w:t>Each NFR is validated via load/performance testing, security/penetration testing, usability testing, accessibility audits, chaos/failover testing, and compliance review before major releases. NFRs feed directly into the Acceptance Criteria and QA test plans.14. Verification Approach</w:t>
      </w:r>
    </w:p>
    <w:sectPr w:rsidR="00FD3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075"/>
    <w:rsid w:val="00516835"/>
    <w:rsid w:val="00FD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90EA40-A235-4EB9-80A8-B0664140D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0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30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D30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D30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1013</Words>
  <Characters>5780</Characters>
  <Application>Microsoft Office Word</Application>
  <DocSecurity>0</DocSecurity>
  <Lines>48</Lines>
  <Paragraphs>13</Paragraphs>
  <ScaleCrop>false</ScaleCrop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temam</dc:creator>
  <cp:keywords/>
  <dc:description/>
  <cp:lastModifiedBy>yusuf temam</cp:lastModifiedBy>
  <cp:revision>1</cp:revision>
  <dcterms:created xsi:type="dcterms:W3CDTF">2026-07-12T10:52:00Z</dcterms:created>
  <dcterms:modified xsi:type="dcterms:W3CDTF">2026-07-12T10:52:00Z</dcterms:modified>
</cp:coreProperties>
</file>