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4BF4" w:rsidRDefault="00D04BF4" w:rsidP="00D04BF4">
      <w:pPr>
        <w:pStyle w:val="Title"/>
      </w:pPr>
    </w:p>
    <w:p w:rsidR="00D04BF4" w:rsidRDefault="00D04BF4" w:rsidP="00D04BF4">
      <w:pPr>
        <w:rPr>
          <w:b/>
        </w:rPr>
      </w:pPr>
    </w:p>
    <w:p w:rsidR="00D04BF4" w:rsidRDefault="00D04BF4" w:rsidP="00D04BF4">
      <w:pPr>
        <w:rPr>
          <w:b/>
        </w:rPr>
      </w:pPr>
    </w:p>
    <w:p w:rsidR="00D04BF4" w:rsidRDefault="00D04BF4" w:rsidP="00D04BF4">
      <w:pPr>
        <w:rPr>
          <w:b/>
        </w:rPr>
      </w:pPr>
    </w:p>
    <w:p w:rsidR="00D04BF4" w:rsidRDefault="00D04BF4" w:rsidP="00D04BF4">
      <w:pPr>
        <w:rPr>
          <w:b/>
        </w:rPr>
      </w:pPr>
    </w:p>
    <w:p w:rsidR="00D04BF4" w:rsidRDefault="00D04BF4" w:rsidP="00D04BF4">
      <w:pPr>
        <w:rPr>
          <w:b/>
        </w:rPr>
      </w:pPr>
    </w:p>
    <w:p w:rsidR="00D04BF4" w:rsidRDefault="00D04BF4" w:rsidP="00D04BF4">
      <w:pPr>
        <w:pStyle w:val="Heading1"/>
      </w:pPr>
    </w:p>
    <w:p w:rsidR="00D04BF4" w:rsidRDefault="00D04BF4" w:rsidP="00D04BF4"/>
    <w:p w:rsidR="00D04BF4" w:rsidRDefault="00D04BF4" w:rsidP="00D04BF4">
      <w:pPr>
        <w:pStyle w:val="Heading1"/>
      </w:pPr>
    </w:p>
    <w:p w:rsidR="00D04BF4" w:rsidRPr="00D04BF4" w:rsidRDefault="00D04BF4" w:rsidP="00D04BF4">
      <w:pPr>
        <w:pStyle w:val="ListBullet"/>
      </w:pPr>
    </w:p>
    <w:p w:rsidR="00D04BF4" w:rsidRPr="00D04BF4" w:rsidRDefault="00D04BF4" w:rsidP="00D04BF4">
      <w:pPr>
        <w:pStyle w:val="ListBullet"/>
      </w:pPr>
    </w:p>
    <w:p w:rsidR="00D04BF4" w:rsidRPr="00D04BF4" w:rsidRDefault="00D04BF4" w:rsidP="00D04BF4">
      <w:pPr>
        <w:pStyle w:val="ListBullet"/>
      </w:pPr>
    </w:p>
    <w:p w:rsidR="00D04BF4" w:rsidRPr="00D04BF4" w:rsidRDefault="00D04BF4" w:rsidP="00D04BF4">
      <w:pPr>
        <w:pStyle w:val="ListBullet"/>
      </w:pPr>
    </w:p>
    <w:p w:rsidR="00D04BF4" w:rsidRDefault="00D04BF4" w:rsidP="00D04BF4">
      <w:pPr>
        <w:pStyle w:val="Heading1"/>
      </w:pPr>
    </w:p>
    <w:p w:rsidR="00D04BF4" w:rsidRDefault="00D04BF4" w:rsidP="00D04BF4">
      <w:pPr>
        <w:pStyle w:val="Heading2"/>
      </w:pPr>
    </w:p>
    <w:p w:rsidR="00D04BF4" w:rsidRPr="00D04BF4" w:rsidRDefault="00D04BF4" w:rsidP="00D04BF4">
      <w:pPr>
        <w:pStyle w:val="ListBullet"/>
      </w:pPr>
    </w:p>
    <w:p w:rsidR="00D04BF4" w:rsidRPr="00D04BF4" w:rsidRDefault="00D04BF4" w:rsidP="00D04BF4">
      <w:pPr>
        <w:pStyle w:val="ListBullet"/>
      </w:pPr>
    </w:p>
    <w:p w:rsidR="00D04BF4" w:rsidRPr="00D04BF4" w:rsidRDefault="00D04BF4" w:rsidP="00D04BF4">
      <w:pPr>
        <w:pStyle w:val="ListBullet"/>
      </w:pPr>
    </w:p>
    <w:p w:rsidR="00D04BF4" w:rsidRDefault="00D04BF4" w:rsidP="00D04BF4">
      <w:pPr>
        <w:pStyle w:val="Heading2"/>
      </w:pPr>
    </w:p>
    <w:p w:rsidR="00D04BF4" w:rsidRPr="00D04BF4" w:rsidRDefault="00D04BF4" w:rsidP="00D04BF4">
      <w:pPr>
        <w:pStyle w:val="ListBullet"/>
      </w:pPr>
    </w:p>
    <w:p w:rsidR="00D04BF4" w:rsidRPr="00D04BF4" w:rsidRDefault="00D04BF4" w:rsidP="00D04BF4">
      <w:pPr>
        <w:pStyle w:val="ListBullet"/>
      </w:pPr>
    </w:p>
    <w:p w:rsidR="00D04BF4" w:rsidRPr="00D04BF4" w:rsidRDefault="00D04BF4" w:rsidP="00D04BF4">
      <w:pPr>
        <w:pStyle w:val="ListBullet"/>
      </w:pPr>
    </w:p>
    <w:p w:rsidR="00D04BF4" w:rsidRPr="00D04BF4" w:rsidRDefault="00D04BF4" w:rsidP="00D04BF4">
      <w:pPr>
        <w:pStyle w:val="ListBullet"/>
      </w:pPr>
    </w:p>
    <w:p w:rsidR="00D04BF4" w:rsidRDefault="00D04BF4" w:rsidP="00D04BF4">
      <w:pPr>
        <w:pStyle w:val="Heading2"/>
      </w:pPr>
    </w:p>
    <w:p w:rsidR="00D04BF4" w:rsidRPr="00D04BF4" w:rsidRDefault="00D04BF4" w:rsidP="00D04BF4">
      <w:pPr>
        <w:pStyle w:val="ListBullet"/>
      </w:pPr>
    </w:p>
    <w:p w:rsidR="00D04BF4" w:rsidRPr="00D04BF4" w:rsidRDefault="00D04BF4" w:rsidP="00D04BF4">
      <w:pPr>
        <w:pStyle w:val="ListBullet"/>
      </w:pPr>
    </w:p>
    <w:p w:rsidR="00D04BF4" w:rsidRPr="00D04BF4" w:rsidRDefault="00D04BF4" w:rsidP="00D04BF4">
      <w:pPr>
        <w:pStyle w:val="ListBullet"/>
      </w:pPr>
    </w:p>
    <w:p w:rsidR="00D04BF4" w:rsidRDefault="00D04BF4" w:rsidP="00D04BF4">
      <w:pPr>
        <w:pStyle w:val="Heading2"/>
      </w:pPr>
    </w:p>
    <w:p w:rsidR="00D04BF4" w:rsidRPr="00D04BF4" w:rsidRDefault="00D04BF4" w:rsidP="00D04BF4">
      <w:pPr>
        <w:pStyle w:val="ListBullet"/>
      </w:pPr>
    </w:p>
    <w:p w:rsidR="00D04BF4" w:rsidRPr="00D04BF4" w:rsidRDefault="00D04BF4" w:rsidP="00D04BF4">
      <w:pPr>
        <w:pStyle w:val="ListBullet"/>
      </w:pPr>
    </w:p>
    <w:p w:rsidR="00D04BF4" w:rsidRPr="00D04BF4" w:rsidRDefault="00D04BF4" w:rsidP="00D04BF4">
      <w:pPr>
        <w:pStyle w:val="ListBullet"/>
      </w:pPr>
    </w:p>
    <w:p w:rsidR="00D04BF4" w:rsidRDefault="00D04BF4" w:rsidP="00D04BF4">
      <w:pPr>
        <w:pStyle w:val="Heading2"/>
      </w:pPr>
    </w:p>
    <w:p w:rsidR="00D04BF4" w:rsidRPr="00D04BF4" w:rsidRDefault="00D04BF4" w:rsidP="00D04BF4">
      <w:pPr>
        <w:pStyle w:val="ListBullet"/>
      </w:pPr>
    </w:p>
    <w:p w:rsidR="00D04BF4" w:rsidRPr="00D04BF4" w:rsidRDefault="00D04BF4" w:rsidP="00D04BF4">
      <w:pPr>
        <w:pStyle w:val="ListBullet"/>
      </w:pPr>
    </w:p>
    <w:p w:rsidR="00D04BF4" w:rsidRPr="00D04BF4" w:rsidRDefault="00D04BF4" w:rsidP="00D04BF4">
      <w:pPr>
        <w:pStyle w:val="ListBullet"/>
      </w:pPr>
    </w:p>
    <w:p w:rsidR="00D04BF4" w:rsidRDefault="00D04BF4" w:rsidP="00D04BF4">
      <w:pPr>
        <w:pStyle w:val="Heading2"/>
      </w:pPr>
    </w:p>
    <w:p w:rsidR="00D04BF4" w:rsidRPr="00D04BF4" w:rsidRDefault="00D04BF4" w:rsidP="00D04BF4">
      <w:pPr>
        <w:pStyle w:val="ListBullet"/>
      </w:pPr>
    </w:p>
    <w:p w:rsidR="00D04BF4" w:rsidRPr="00D04BF4" w:rsidRDefault="00D04BF4" w:rsidP="00D04BF4">
      <w:pPr>
        <w:pStyle w:val="ListBullet"/>
      </w:pPr>
    </w:p>
    <w:p w:rsidR="00D04BF4" w:rsidRPr="00D04BF4" w:rsidRDefault="00D04BF4" w:rsidP="00D04BF4">
      <w:pPr>
        <w:pStyle w:val="ListBullet"/>
      </w:pPr>
    </w:p>
    <w:p w:rsidR="00D04BF4" w:rsidRDefault="00D04BF4" w:rsidP="00D04BF4">
      <w:pPr>
        <w:pStyle w:val="Heading1"/>
      </w:pPr>
    </w:p>
    <w:tbl>
      <w:tblPr>
        <w:tblStyle w:val="TableGrid"/>
        <w:tblW w:w="0" w:type="auto"/>
        <w:tblLayout w:type="fixed"/>
        <w:tblLook w:val="04A0" w:firstRow="1" w:lastRow="0" w:firstColumn="1" w:lastColumn="0" w:noHBand="0" w:noVBand="1"/>
      </w:tblPr>
      <w:tblGrid>
        <w:gridCol w:w="2256"/>
        <w:gridCol w:w="2256"/>
        <w:gridCol w:w="2257"/>
        <w:gridCol w:w="2257"/>
      </w:tblGrid>
      <w:tr w:rsidR="00D04BF4" w:rsidTr="00D04BF4">
        <w:tc>
          <w:tcPr>
            <w:tcW w:w="2256" w:type="dxa"/>
          </w:tcPr>
          <w:p w:rsidR="00D04BF4" w:rsidRPr="00D04BF4" w:rsidRDefault="00D04BF4" w:rsidP="00D04BF4">
            <w:pPr>
              <w:rPr>
                <w:b/>
              </w:rPr>
            </w:pPr>
            <w:r w:rsidRPr="00D04BF4">
              <w:rPr>
                <w:b/>
              </w:rPr>
              <w:t>Phase</w:t>
            </w:r>
          </w:p>
        </w:tc>
        <w:tc>
          <w:tcPr>
            <w:tcW w:w="2256" w:type="dxa"/>
          </w:tcPr>
          <w:p w:rsidR="00D04BF4" w:rsidRPr="00D04BF4" w:rsidRDefault="00D04BF4" w:rsidP="00D04BF4">
            <w:pPr>
              <w:rPr>
                <w:b/>
              </w:rPr>
            </w:pPr>
            <w:r w:rsidRPr="00D04BF4">
              <w:rPr>
                <w:b/>
              </w:rPr>
              <w:t>Timeframe</w:t>
            </w:r>
          </w:p>
        </w:tc>
        <w:tc>
          <w:tcPr>
            <w:tcW w:w="2257" w:type="dxa"/>
          </w:tcPr>
          <w:p w:rsidR="00D04BF4" w:rsidRPr="00D04BF4" w:rsidRDefault="00D04BF4" w:rsidP="00D04BF4">
            <w:pPr>
              <w:rPr>
                <w:b/>
              </w:rPr>
            </w:pPr>
            <w:r w:rsidRPr="00D04BF4">
              <w:rPr>
                <w:b/>
              </w:rPr>
              <w:t>Primary Theme</w:t>
            </w:r>
          </w:p>
        </w:tc>
        <w:tc>
          <w:tcPr>
            <w:tcW w:w="2257" w:type="dxa"/>
          </w:tcPr>
          <w:p w:rsidR="00D04BF4" w:rsidRPr="00D04BF4" w:rsidRDefault="00D04BF4" w:rsidP="00D04BF4">
            <w:pPr>
              <w:rPr>
                <w:b/>
              </w:rPr>
            </w:pPr>
            <w:r w:rsidRPr="00D04BF4">
              <w:rPr>
                <w:b/>
              </w:rPr>
              <w:t>Headline Outcome</w:t>
            </w:r>
          </w:p>
        </w:tc>
      </w:tr>
      <w:tr w:rsidR="00D04BF4" w:rsidTr="00D04BF4">
        <w:tc>
          <w:tcPr>
            <w:tcW w:w="2256" w:type="dxa"/>
          </w:tcPr>
          <w:p w:rsidR="00D04BF4" w:rsidRPr="00D04BF4" w:rsidRDefault="00D04BF4" w:rsidP="00D04BF4">
            <w:r>
              <w:t>0</w:t>
            </w:r>
          </w:p>
        </w:tc>
        <w:tc>
          <w:tcPr>
            <w:tcW w:w="2256" w:type="dxa"/>
          </w:tcPr>
          <w:p w:rsidR="00D04BF4" w:rsidRPr="00D04BF4" w:rsidRDefault="00D04BF4" w:rsidP="00D04BF4">
            <w:r>
              <w:t>M</w:t>
            </w:r>
            <w:r w:rsidRPr="00D04BF4">
              <w:t>onths 0–2</w:t>
            </w:r>
          </w:p>
        </w:tc>
        <w:tc>
          <w:tcPr>
            <w:tcW w:w="2257" w:type="dxa"/>
          </w:tcPr>
          <w:p w:rsidR="00D04BF4" w:rsidRPr="00D04BF4" w:rsidRDefault="00D04BF4" w:rsidP="00D04BF4">
            <w:r>
              <w:t>F</w:t>
            </w:r>
            <w:r w:rsidRPr="00D04BF4">
              <w:t>oundation &amp; Compliance</w:t>
            </w:r>
          </w:p>
        </w:tc>
        <w:tc>
          <w:tcPr>
            <w:tcW w:w="2257" w:type="dxa"/>
          </w:tcPr>
          <w:p w:rsidR="00D04BF4" w:rsidRPr="00D04BF4" w:rsidRDefault="00D04BF4" w:rsidP="00D04BF4">
            <w:r>
              <w:t>A</w:t>
            </w:r>
            <w:r w:rsidRPr="00D04BF4">
              <w:t>pproved scope &amp; integrations</w:t>
            </w:r>
          </w:p>
        </w:tc>
      </w:tr>
      <w:tr w:rsidR="00D04BF4" w:rsidTr="00D04BF4">
        <w:tc>
          <w:tcPr>
            <w:tcW w:w="2256" w:type="dxa"/>
          </w:tcPr>
          <w:p w:rsidR="00D04BF4" w:rsidRPr="00D04BF4" w:rsidRDefault="00D04BF4" w:rsidP="00D04BF4">
            <w:r>
              <w:t>1</w:t>
            </w:r>
          </w:p>
        </w:tc>
        <w:tc>
          <w:tcPr>
            <w:tcW w:w="2256" w:type="dxa"/>
          </w:tcPr>
          <w:p w:rsidR="00D04BF4" w:rsidRPr="00D04BF4" w:rsidRDefault="00D04BF4" w:rsidP="00D04BF4">
            <w:r>
              <w:t>M</w:t>
            </w:r>
            <w:r w:rsidRPr="00D04BF4">
              <w:t>onths 2–6</w:t>
            </w:r>
          </w:p>
        </w:tc>
        <w:tc>
          <w:tcPr>
            <w:tcW w:w="2257" w:type="dxa"/>
          </w:tcPr>
          <w:p w:rsidR="00D04BF4" w:rsidRPr="00D04BF4" w:rsidRDefault="00D04BF4" w:rsidP="00D04BF4">
            <w:r>
              <w:t>C</w:t>
            </w:r>
            <w:r w:rsidRPr="00D04BF4">
              <w:t>ore Marketplace</w:t>
            </w:r>
          </w:p>
        </w:tc>
        <w:tc>
          <w:tcPr>
            <w:tcW w:w="2257" w:type="dxa"/>
          </w:tcPr>
          <w:p w:rsidR="00D04BF4" w:rsidRPr="00D04BF4" w:rsidRDefault="00D04BF4" w:rsidP="00D04BF4">
            <w:r>
              <w:t>M</w:t>
            </w:r>
            <w:r w:rsidRPr="00D04BF4">
              <w:t>VP medicine loop live</w:t>
            </w:r>
          </w:p>
        </w:tc>
      </w:tr>
      <w:tr w:rsidR="00D04BF4" w:rsidTr="00D04BF4">
        <w:tc>
          <w:tcPr>
            <w:tcW w:w="2256" w:type="dxa"/>
          </w:tcPr>
          <w:p w:rsidR="00D04BF4" w:rsidRPr="00D04BF4" w:rsidRDefault="00D04BF4" w:rsidP="00D04BF4">
            <w:r>
              <w:t>2</w:t>
            </w:r>
          </w:p>
        </w:tc>
        <w:tc>
          <w:tcPr>
            <w:tcW w:w="2256" w:type="dxa"/>
          </w:tcPr>
          <w:p w:rsidR="00D04BF4" w:rsidRPr="00D04BF4" w:rsidRDefault="00D04BF4" w:rsidP="00D04BF4">
            <w:r>
              <w:t>M</w:t>
            </w:r>
            <w:r w:rsidRPr="00D04BF4">
              <w:t>onths 6–9</w:t>
            </w:r>
          </w:p>
        </w:tc>
        <w:tc>
          <w:tcPr>
            <w:tcW w:w="2257" w:type="dxa"/>
          </w:tcPr>
          <w:p w:rsidR="00D04BF4" w:rsidRPr="00D04BF4" w:rsidRDefault="00D04BF4" w:rsidP="00D04BF4">
            <w:r>
              <w:t>D</w:t>
            </w:r>
            <w:r w:rsidRPr="00D04BF4">
              <w:t>iaspora &amp; Trust</w:t>
            </w:r>
          </w:p>
        </w:tc>
        <w:tc>
          <w:tcPr>
            <w:tcW w:w="2257" w:type="dxa"/>
          </w:tcPr>
          <w:p w:rsidR="00D04BF4" w:rsidRPr="00D04BF4" w:rsidRDefault="00D04BF4" w:rsidP="00D04BF4">
            <w:r>
              <w:t>C</w:t>
            </w:r>
            <w:r w:rsidRPr="00D04BF4">
              <w:t>ross-border + trust features</w:t>
            </w:r>
          </w:p>
        </w:tc>
      </w:tr>
      <w:tr w:rsidR="00D04BF4" w:rsidTr="00D04BF4">
        <w:tc>
          <w:tcPr>
            <w:tcW w:w="2256" w:type="dxa"/>
          </w:tcPr>
          <w:p w:rsidR="00D04BF4" w:rsidRPr="00D04BF4" w:rsidRDefault="00D04BF4" w:rsidP="00D04BF4">
            <w:r>
              <w:t>3</w:t>
            </w:r>
          </w:p>
        </w:tc>
        <w:tc>
          <w:tcPr>
            <w:tcW w:w="2256" w:type="dxa"/>
          </w:tcPr>
          <w:p w:rsidR="00D04BF4" w:rsidRPr="00D04BF4" w:rsidRDefault="00D04BF4" w:rsidP="00D04BF4">
            <w:r>
              <w:t>M</w:t>
            </w:r>
            <w:r w:rsidRPr="00D04BF4">
              <w:t>onths 9–14</w:t>
            </w:r>
          </w:p>
        </w:tc>
        <w:tc>
          <w:tcPr>
            <w:tcW w:w="2257" w:type="dxa"/>
          </w:tcPr>
          <w:p w:rsidR="00D04BF4" w:rsidRPr="00D04BF4" w:rsidRDefault="00D04BF4" w:rsidP="00D04BF4">
            <w:r>
              <w:t>H</w:t>
            </w:r>
            <w:r w:rsidRPr="00D04BF4">
              <w:t>ealthcare Services</w:t>
            </w:r>
          </w:p>
        </w:tc>
        <w:tc>
          <w:tcPr>
            <w:tcW w:w="2257" w:type="dxa"/>
          </w:tcPr>
          <w:p w:rsidR="00D04BF4" w:rsidRPr="00D04BF4" w:rsidRDefault="00D04BF4" w:rsidP="00D04BF4">
            <w:r>
              <w:t>A</w:t>
            </w:r>
            <w:r w:rsidRPr="00D04BF4">
              <w:t>ppointments &amp; diagnostics</w:t>
            </w:r>
          </w:p>
        </w:tc>
      </w:tr>
      <w:tr w:rsidR="00D04BF4" w:rsidTr="00D04BF4">
        <w:tc>
          <w:tcPr>
            <w:tcW w:w="2256" w:type="dxa"/>
          </w:tcPr>
          <w:p w:rsidR="00D04BF4" w:rsidRPr="00D04BF4" w:rsidRDefault="00D04BF4" w:rsidP="00D04BF4">
            <w:r>
              <w:t>4</w:t>
            </w:r>
          </w:p>
        </w:tc>
        <w:tc>
          <w:tcPr>
            <w:tcW w:w="2256" w:type="dxa"/>
          </w:tcPr>
          <w:p w:rsidR="00D04BF4" w:rsidRPr="00D04BF4" w:rsidRDefault="00D04BF4" w:rsidP="00D04BF4">
            <w:r>
              <w:t>M</w:t>
            </w:r>
            <w:r w:rsidRPr="00D04BF4">
              <w:t>onths 14–18</w:t>
            </w:r>
          </w:p>
        </w:tc>
        <w:tc>
          <w:tcPr>
            <w:tcW w:w="2257" w:type="dxa"/>
          </w:tcPr>
          <w:p w:rsidR="00D04BF4" w:rsidRPr="00D04BF4" w:rsidRDefault="00D04BF4" w:rsidP="00D04BF4">
            <w:r>
              <w:t>E</w:t>
            </w:r>
            <w:r w:rsidRPr="00D04BF4">
              <w:t>nhancements</w:t>
            </w:r>
          </w:p>
        </w:tc>
        <w:tc>
          <w:tcPr>
            <w:tcW w:w="2257" w:type="dxa"/>
          </w:tcPr>
          <w:p w:rsidR="00D04BF4" w:rsidRPr="00D04BF4" w:rsidRDefault="00D04BF4" w:rsidP="00D04BF4">
            <w:r>
              <w:t>E</w:t>
            </w:r>
            <w:r w:rsidRPr="00D04BF4">
              <w:t>xperience &amp; efficiency gains</w:t>
            </w:r>
          </w:p>
        </w:tc>
      </w:tr>
      <w:tr w:rsidR="00D04BF4" w:rsidTr="00D04BF4">
        <w:tc>
          <w:tcPr>
            <w:tcW w:w="2256" w:type="dxa"/>
          </w:tcPr>
          <w:p w:rsidR="00D04BF4" w:rsidRPr="00D04BF4" w:rsidRDefault="00D04BF4" w:rsidP="00D04BF4">
            <w:r>
              <w:t>5</w:t>
            </w:r>
          </w:p>
        </w:tc>
        <w:tc>
          <w:tcPr>
            <w:tcW w:w="2256" w:type="dxa"/>
          </w:tcPr>
          <w:p w:rsidR="00D04BF4" w:rsidRPr="00D04BF4" w:rsidRDefault="00D04BF4" w:rsidP="00D04BF4">
            <w:r>
              <w:t>M</w:t>
            </w:r>
            <w:r w:rsidRPr="00D04BF4">
              <w:t>onths 18+</w:t>
            </w:r>
          </w:p>
        </w:tc>
        <w:tc>
          <w:tcPr>
            <w:tcW w:w="2257" w:type="dxa"/>
          </w:tcPr>
          <w:p w:rsidR="00D04BF4" w:rsidRPr="00D04BF4" w:rsidRDefault="00D04BF4" w:rsidP="00D04BF4">
            <w:r>
              <w:t>S</w:t>
            </w:r>
            <w:r w:rsidRPr="00D04BF4">
              <w:t>cale &amp; Ecosystem</w:t>
            </w:r>
          </w:p>
        </w:tc>
        <w:tc>
          <w:tcPr>
            <w:tcW w:w="2257" w:type="dxa"/>
          </w:tcPr>
          <w:p w:rsidR="00D04BF4" w:rsidRPr="00D04BF4" w:rsidRDefault="00D04BF4" w:rsidP="00D04BF4">
            <w:r>
              <w:t>M</w:t>
            </w:r>
            <w:r w:rsidRPr="00D04BF4">
              <w:t>ulti-city, sustainable growth</w:t>
            </w:r>
          </w:p>
        </w:tc>
      </w:tr>
    </w:tbl>
    <w:p w:rsidR="00516835" w:rsidRDefault="00D04BF4" w:rsidP="00D04BF4">
      <w:r w:rsidRPr="00D04BF4">
        <w:t>4. Timeline Overview</w:t>
      </w:r>
      <w:r w:rsidRPr="00D04BF4">
        <w:rPr>
          <w:b/>
        </w:rPr>
        <w:t>Exit Criteria:</w:t>
      </w:r>
      <w:r w:rsidRPr="00D04BF4">
        <w:t xml:space="preserve"> Sustainable unit economics; national scalability proven.</w:t>
      </w:r>
      <w:r w:rsidRPr="00D04BF4">
        <w:rPr>
          <w:b/>
        </w:rPr>
        <w:t>KPIs:</w:t>
      </w:r>
      <w:r w:rsidRPr="00D04BF4">
        <w:t xml:space="preserve"> Multi-city coverage; positive contribution margin per order; 500+ pharmacies; growing GMV and active users.</w:t>
      </w:r>
      <w:r w:rsidRPr="00D04BF4">
        <w:rPr>
          <w:b/>
        </w:rPr>
        <w:t>Scope:</w:t>
      </w:r>
      <w:r w:rsidRPr="00D04BF4">
        <w:t xml:space="preserve"> Geographic expansion to more cities/regions; insurance integration; distributor/supplier integration; AI-driven recommendations and demand forecasting; deeper regulator reporting.Phase 5 — Scale &amp; Ecosystem (Months 18+)</w:t>
      </w:r>
      <w:r w:rsidRPr="00D04BF4">
        <w:rPr>
          <w:b/>
        </w:rPr>
        <w:t>Exit Criteria:</w:t>
      </w:r>
      <w:r w:rsidRPr="00D04BF4">
        <w:t xml:space="preserve"> Measurable experience and efficiency improvements.</w:t>
      </w:r>
      <w:r w:rsidRPr="00D04BF4">
        <w:rPr>
          <w:b/>
        </w:rPr>
        <w:t>KPIs:</w:t>
      </w:r>
      <w:r w:rsidRPr="00D04BF4">
        <w:t xml:space="preserve"> Engagement and retention uplift; delivery efficiency gains; support-ticket reduction.</w:t>
      </w:r>
      <w:r w:rsidRPr="00D04BF4">
        <w:rPr>
          <w:b/>
        </w:rPr>
        <w:t>Scope (Could-have):</w:t>
      </w:r>
      <w:r w:rsidRPr="00D04BF4">
        <w:t xml:space="preserve"> Waiting lists, in-app messaging, lab result delivery (with integration), advanced search ranking, substitute recommendations, scheduled delivery, cash-on-delivery (if approved).Phase 4 — Enhancements &amp; Optimization (Months 14–18)</w:t>
      </w:r>
      <w:r w:rsidRPr="00D04BF4">
        <w:rPr>
          <w:b/>
        </w:rPr>
        <w:t>Exit Criteria:</w:t>
      </w:r>
      <w:r w:rsidRPr="00D04BF4">
        <w:t xml:space="preserve"> Appointments and diagnostics adopted by target providers; scheduling reliability.</w:t>
      </w:r>
      <w:r w:rsidRPr="00D04BF4">
        <w:rPr>
          <w:b/>
        </w:rPr>
        <w:t>KPIs:</w:t>
      </w:r>
      <w:r w:rsidRPr="00D04BF4">
        <w:t xml:space="preserve"> 100+ providers with online scheduling; appointment utilization growth; reduced no-shows.</w:t>
      </w:r>
      <w:r w:rsidRPr="00D04BF4">
        <w:rPr>
          <w:b/>
        </w:rPr>
        <w:t>Scope (Should-have):</w:t>
      </w:r>
      <w:r w:rsidRPr="00D04BF4">
        <w:t xml:space="preserve"> Doctor appointment system, hospital/clinic directory, diagnostic/lab booking with preparation info, reminders.Phase 3 — Healthcare Services (Months 9–14)</w:t>
      </w:r>
      <w:r w:rsidRPr="00D04BF4">
        <w:rPr>
          <w:b/>
        </w:rPr>
        <w:t>Exit Criteria:</w:t>
      </w:r>
      <w:r w:rsidRPr="00D04BF4">
        <w:t xml:space="preserve"> Reliable diaspora flow; provider self-service maturity.</w:t>
      </w:r>
      <w:r w:rsidRPr="00D04BF4">
        <w:rPr>
          <w:b/>
        </w:rPr>
        <w:t>KPIs:</w:t>
      </w:r>
      <w:r w:rsidRPr="00D04BF4">
        <w:t xml:space="preserve"> Diaspora orders live; CSAT &gt;= 4.2; 150+ pharmacies; repeat-order rate growth.</w:t>
      </w:r>
      <w:r w:rsidRPr="00D04BF4">
        <w:rPr>
          <w:b/>
        </w:rPr>
        <w:t>Scope (Should-have):</w:t>
      </w:r>
      <w:r w:rsidRPr="00D04BF4">
        <w:t xml:space="preserve"> Cross-border ordering &amp; payment, proof of delivery, ratings &amp; reviews, provider dashboards &amp; analytics, bulk inventory, multi-language completeness.Phase 2 — Diaspora &amp; Trust Expansion (Months 6–9)</w:t>
      </w:r>
      <w:r w:rsidRPr="00D04BF4">
        <w:rPr>
          <w:b/>
        </w:rPr>
        <w:t>Exit Criteria:</w:t>
      </w:r>
      <w:r w:rsidRPr="00D04BF4">
        <w:t xml:space="preserve"> Stable core loop, compliance controls verified, positive pilot feedback.</w:t>
      </w:r>
      <w:r w:rsidRPr="00D04BF4">
        <w:rPr>
          <w:b/>
        </w:rPr>
        <w:t>KPIs:</w:t>
      </w:r>
      <w:r w:rsidRPr="00D04BF4">
        <w:t xml:space="preserve"> First 50+ verified pharmacies; median time-to-fulfillment &lt; 3h; order success rate &gt;= 90%; zero major safety incidents.</w:t>
      </w:r>
      <w:r w:rsidRPr="00D04BF4">
        <w:rPr>
          <w:b/>
        </w:rPr>
        <w:t>Target Users:</w:t>
      </w:r>
      <w:r w:rsidRPr="00D04BF4">
        <w:t xml:space="preserve"> Customers and pharmacies in the initial launch city (e.g., Addis Ababa).</w:t>
      </w:r>
      <w:r w:rsidRPr="00D04BF4">
        <w:rPr>
          <w:b/>
        </w:rPr>
        <w:t>Scope (Must-have):</w:t>
      </w:r>
      <w:r w:rsidRPr="00D04BF4">
        <w:t xml:space="preserve"> Registration/OTP, Fayda ID verification, medicine search &amp; stock, prescription upload &amp; pharmacist verification, pharmacy matching, cart/checkout, local payments &amp; refunds, delivery dispatch &amp; tracking, provider onboarding &amp; license verification, notifications, admin &amp; audit basics.Phase 1 — Core Medicine Marketplace MVP (Months 2–6)</w:t>
      </w:r>
      <w:r w:rsidRPr="00D04BF4">
        <w:rPr>
          <w:b/>
        </w:rPr>
        <w:t>Exit Criteria:</w:t>
      </w:r>
      <w:r w:rsidRPr="00D04BF4">
        <w:t xml:space="preserve"> Approved MVP scope; confirmed launch geography; signed integration commitments.</w:t>
      </w:r>
      <w:r w:rsidRPr="00D04BF4">
        <w:rPr>
          <w:b/>
        </w:rPr>
        <w:t>Deliverables:</w:t>
      </w:r>
      <w:r w:rsidRPr="00D04BF4">
        <w:t xml:space="preserve"> Regulatory engagement plan, compliance requirements sign-off, technical architecture, integration agreements (Fayda ID, payment), design system.</w:t>
      </w:r>
      <w:r w:rsidRPr="00D04BF4">
        <w:rPr>
          <w:b/>
        </w:rPr>
        <w:t>Goals:</w:t>
      </w:r>
      <w:r w:rsidRPr="00D04BF4">
        <w:t xml:space="preserve"> Validate scope, secure regulatory guidance, finalize architecture.Phase 0 — Discovery &amp; Compliance Foundation (Months 0–2)3. Phased Plan</w:t>
      </w:r>
      <w:r w:rsidRPr="00D04BF4">
        <w:rPr>
          <w:b/>
        </w:rPr>
        <w:t>Scale &amp; Intelligence:</w:t>
      </w:r>
      <w:r w:rsidRPr="00D04BF4">
        <w:t xml:space="preserve"> Analytics, optimization, ecosystem expansion.</w:t>
      </w:r>
      <w:r w:rsidRPr="00D04BF4">
        <w:rPr>
          <w:b/>
        </w:rPr>
        <w:t>Healthcare Services:</w:t>
      </w:r>
      <w:r w:rsidRPr="00D04BF4">
        <w:t xml:space="preserve"> Appointments, hospitals, diagnostics.</w:t>
      </w:r>
      <w:r w:rsidRPr="00D04BF4">
        <w:rPr>
          <w:b/>
        </w:rPr>
        <w:t>Core Marketplace:</w:t>
      </w:r>
      <w:r w:rsidRPr="00D04BF4">
        <w:t xml:space="preserve"> </w:t>
      </w:r>
      <w:r w:rsidRPr="00D04BF4">
        <w:lastRenderedPageBreak/>
        <w:t>Medicine discovery, prescriptions, delivery.</w:t>
      </w:r>
      <w:r w:rsidRPr="00D04BF4">
        <w:rPr>
          <w:b/>
        </w:rPr>
        <w:t>Foundation &amp; Compliance:</w:t>
      </w:r>
      <w:r w:rsidRPr="00D04BF4">
        <w:t xml:space="preserve"> Trust, identity, licensing, payments.2. Roadmap ThemesThis roadmap sequences delivery of the platform across time-boxed phases, aligning features with business objectives, dependencies, risks, and KPIs. Timeframes are indicative and should be confirmed against team capacity, funding, and regulatory milestones.1. Purpose</w:t>
      </w:r>
      <w:r w:rsidRPr="00D04BF4">
        <w:rPr>
          <w:b/>
        </w:rPr>
        <w:t>Status:</w:t>
      </w:r>
      <w:r w:rsidRPr="00D04BF4">
        <w:t xml:space="preserve"> Draft for Review</w:t>
      </w:r>
      <w:r w:rsidRPr="00D04BF4">
        <w:rPr>
          <w:b/>
        </w:rPr>
        <w:t>Prepared by:</w:t>
      </w:r>
      <w:r w:rsidRPr="00D04BF4">
        <w:t xml:space="preserve"> Senior Business Analyst</w:t>
      </w:r>
      <w:r w:rsidRPr="00D04BF4">
        <w:rPr>
          <w:b/>
        </w:rPr>
        <w:t>Version:</w:t>
      </w:r>
      <w:r w:rsidRPr="00D04BF4">
        <w:t xml:space="preserve"> 1.0</w:t>
      </w:r>
      <w:r w:rsidRPr="00D04BF4">
        <w:rPr>
          <w:b/>
        </w:rPr>
        <w:t>Product:</w:t>
      </w:r>
      <w:r w:rsidRPr="00D04BF4">
        <w:t xml:space="preserve"> PharmaLink Ethiopia — Digital Healthcare Marketplace</w:t>
      </w:r>
      <w:r w:rsidRPr="00D04BF4">
        <w:rPr>
          <w:b/>
        </w:rPr>
        <w:t>Document Type:</w:t>
      </w:r>
      <w:r w:rsidRPr="00D04BF4">
        <w:t xml:space="preserve"> Product RoadmapPharmaLink Ethiopia — Product Roadmap</w:t>
      </w:r>
    </w:p>
    <w:p w:rsidR="00D04BF4" w:rsidRDefault="00D04BF4" w:rsidP="00D04BF4">
      <w:pPr>
        <w:pStyle w:val="Heading1"/>
      </w:pPr>
    </w:p>
    <w:tbl>
      <w:tblPr>
        <w:tblStyle w:val="TableGrid"/>
        <w:tblW w:w="0" w:type="auto"/>
        <w:tblLayout w:type="fixed"/>
        <w:tblLook w:val="04A0" w:firstRow="1" w:lastRow="0" w:firstColumn="1" w:lastColumn="0" w:noHBand="0" w:noVBand="1"/>
      </w:tblPr>
      <w:tblGrid>
        <w:gridCol w:w="4513"/>
        <w:gridCol w:w="4513"/>
      </w:tblGrid>
      <w:tr w:rsidR="00D04BF4" w:rsidTr="00D04BF4">
        <w:tc>
          <w:tcPr>
            <w:tcW w:w="4513" w:type="dxa"/>
          </w:tcPr>
          <w:p w:rsidR="00D04BF4" w:rsidRPr="00D04BF4" w:rsidRDefault="00D04BF4" w:rsidP="00D04BF4">
            <w:pPr>
              <w:rPr>
                <w:b/>
              </w:rPr>
            </w:pPr>
            <w:r w:rsidRPr="00D04BF4">
              <w:rPr>
                <w:b/>
              </w:rPr>
              <w:t>Business Objective</w:t>
            </w:r>
          </w:p>
        </w:tc>
        <w:tc>
          <w:tcPr>
            <w:tcW w:w="4513" w:type="dxa"/>
          </w:tcPr>
          <w:p w:rsidR="00D04BF4" w:rsidRPr="00D04BF4" w:rsidRDefault="00D04BF4" w:rsidP="00D04BF4">
            <w:pPr>
              <w:rPr>
                <w:b/>
              </w:rPr>
            </w:pPr>
            <w:r w:rsidRPr="00D04BF4">
              <w:rPr>
                <w:b/>
              </w:rPr>
              <w:t>Primary Phase(s)</w:t>
            </w:r>
          </w:p>
        </w:tc>
      </w:tr>
      <w:tr w:rsidR="00D04BF4" w:rsidTr="00D04BF4">
        <w:tc>
          <w:tcPr>
            <w:tcW w:w="4513" w:type="dxa"/>
          </w:tcPr>
          <w:p w:rsidR="00D04BF4" w:rsidRPr="00D04BF4" w:rsidRDefault="00D04BF4" w:rsidP="00D04BF4">
            <w:r>
              <w:t>B</w:t>
            </w:r>
            <w:r w:rsidRPr="00D04BF4">
              <w:t>O1 Reduce time to obtain medicines</w:t>
            </w:r>
          </w:p>
        </w:tc>
        <w:tc>
          <w:tcPr>
            <w:tcW w:w="4513" w:type="dxa"/>
          </w:tcPr>
          <w:p w:rsidR="00D04BF4" w:rsidRPr="00D04BF4" w:rsidRDefault="00D04BF4" w:rsidP="00D04BF4">
            <w:r>
              <w:t>P</w:t>
            </w:r>
            <w:r w:rsidRPr="00D04BF4">
              <w:t>hase 1</w:t>
            </w:r>
          </w:p>
        </w:tc>
      </w:tr>
      <w:tr w:rsidR="00D04BF4" w:rsidTr="00D04BF4">
        <w:tc>
          <w:tcPr>
            <w:tcW w:w="4513" w:type="dxa"/>
          </w:tcPr>
          <w:p w:rsidR="00D04BF4" w:rsidRPr="00D04BF4" w:rsidRDefault="00D04BF4" w:rsidP="00D04BF4">
            <w:r>
              <w:t>B</w:t>
            </w:r>
            <w:r w:rsidRPr="00D04BF4">
              <w:t>O2 Increase pharmacy digital reach</w:t>
            </w:r>
          </w:p>
        </w:tc>
        <w:tc>
          <w:tcPr>
            <w:tcW w:w="4513" w:type="dxa"/>
          </w:tcPr>
          <w:p w:rsidR="00D04BF4" w:rsidRPr="00D04BF4" w:rsidRDefault="00D04BF4" w:rsidP="00D04BF4">
            <w:r>
              <w:t>P</w:t>
            </w:r>
            <w:r w:rsidRPr="00D04BF4">
              <w:t>hases 1–2, 5</w:t>
            </w:r>
          </w:p>
        </w:tc>
      </w:tr>
      <w:tr w:rsidR="00D04BF4" w:rsidTr="00D04BF4">
        <w:tc>
          <w:tcPr>
            <w:tcW w:w="4513" w:type="dxa"/>
          </w:tcPr>
          <w:p w:rsidR="00D04BF4" w:rsidRPr="00D04BF4" w:rsidRDefault="00D04BF4" w:rsidP="00D04BF4">
            <w:r>
              <w:t>B</w:t>
            </w:r>
            <w:r w:rsidRPr="00D04BF4">
              <w:t>O3 Enable diaspora ordering</w:t>
            </w:r>
          </w:p>
        </w:tc>
        <w:tc>
          <w:tcPr>
            <w:tcW w:w="4513" w:type="dxa"/>
          </w:tcPr>
          <w:p w:rsidR="00D04BF4" w:rsidRPr="00D04BF4" w:rsidRDefault="00D04BF4" w:rsidP="00D04BF4">
            <w:r>
              <w:t>P</w:t>
            </w:r>
            <w:r w:rsidRPr="00D04BF4">
              <w:t>hase 2</w:t>
            </w:r>
          </w:p>
        </w:tc>
      </w:tr>
      <w:tr w:rsidR="00D04BF4" w:rsidTr="00D04BF4">
        <w:tc>
          <w:tcPr>
            <w:tcW w:w="4513" w:type="dxa"/>
          </w:tcPr>
          <w:p w:rsidR="00D04BF4" w:rsidRPr="00D04BF4" w:rsidRDefault="00D04BF4" w:rsidP="00D04BF4">
            <w:r>
              <w:t>B</w:t>
            </w:r>
            <w:r w:rsidRPr="00D04BF4">
              <w:t>O4 Digitize appointments/diagnostics</w:t>
            </w:r>
          </w:p>
        </w:tc>
        <w:tc>
          <w:tcPr>
            <w:tcW w:w="4513" w:type="dxa"/>
          </w:tcPr>
          <w:p w:rsidR="00D04BF4" w:rsidRPr="00D04BF4" w:rsidRDefault="00D04BF4" w:rsidP="00D04BF4">
            <w:r>
              <w:t>P</w:t>
            </w:r>
            <w:r w:rsidRPr="00D04BF4">
              <w:t>hase 3</w:t>
            </w:r>
          </w:p>
        </w:tc>
      </w:tr>
      <w:tr w:rsidR="00D04BF4" w:rsidTr="00D04BF4">
        <w:tc>
          <w:tcPr>
            <w:tcW w:w="4513" w:type="dxa"/>
          </w:tcPr>
          <w:p w:rsidR="00D04BF4" w:rsidRPr="00D04BF4" w:rsidRDefault="00D04BF4" w:rsidP="00D04BF4">
            <w:r>
              <w:t>B</w:t>
            </w:r>
            <w:r w:rsidRPr="00D04BF4">
              <w:t>O5 Compliance &amp; patient safety</w:t>
            </w:r>
          </w:p>
        </w:tc>
        <w:tc>
          <w:tcPr>
            <w:tcW w:w="4513" w:type="dxa"/>
          </w:tcPr>
          <w:p w:rsidR="00D04BF4" w:rsidRPr="00D04BF4" w:rsidRDefault="00D04BF4" w:rsidP="00D04BF4">
            <w:r>
              <w:t>P</w:t>
            </w:r>
            <w:r w:rsidRPr="00D04BF4">
              <w:t>hases 0–1 (ongoing)</w:t>
            </w:r>
          </w:p>
        </w:tc>
      </w:tr>
      <w:tr w:rsidR="00D04BF4" w:rsidTr="00D04BF4">
        <w:tc>
          <w:tcPr>
            <w:tcW w:w="4513" w:type="dxa"/>
          </w:tcPr>
          <w:p w:rsidR="00D04BF4" w:rsidRPr="00D04BF4" w:rsidRDefault="00D04BF4" w:rsidP="00D04BF4">
            <w:r>
              <w:t>B</w:t>
            </w:r>
            <w:r w:rsidRPr="00D04BF4">
              <w:t>O6 Sustainable marketplace</w:t>
            </w:r>
          </w:p>
        </w:tc>
        <w:tc>
          <w:tcPr>
            <w:tcW w:w="4513" w:type="dxa"/>
          </w:tcPr>
          <w:p w:rsidR="00D04BF4" w:rsidRPr="00D04BF4" w:rsidRDefault="00D04BF4" w:rsidP="00D04BF4">
            <w:r>
              <w:t>P</w:t>
            </w:r>
            <w:r w:rsidRPr="00D04BF4">
              <w:t>hases 2–5</w:t>
            </w:r>
          </w:p>
        </w:tc>
      </w:tr>
      <w:tr w:rsidR="00D04BF4" w:rsidTr="00D04BF4">
        <w:tc>
          <w:tcPr>
            <w:tcW w:w="4513" w:type="dxa"/>
          </w:tcPr>
          <w:p w:rsidR="00D04BF4" w:rsidRPr="00D04BF4" w:rsidRDefault="00D04BF4" w:rsidP="00D04BF4">
            <w:r>
              <w:t>B</w:t>
            </w:r>
            <w:r w:rsidRPr="00D04BF4">
              <w:t>O7 Trusted, high-quality experience</w:t>
            </w:r>
          </w:p>
        </w:tc>
        <w:tc>
          <w:tcPr>
            <w:tcW w:w="4513" w:type="dxa"/>
          </w:tcPr>
          <w:p w:rsidR="00D04BF4" w:rsidRPr="00D04BF4" w:rsidRDefault="00D04BF4" w:rsidP="00D04BF4">
            <w:r>
              <w:t>P</w:t>
            </w:r>
            <w:r w:rsidRPr="00D04BF4">
              <w:t>hases 1–4</w:t>
            </w:r>
          </w:p>
        </w:tc>
      </w:tr>
    </w:tbl>
    <w:p w:rsidR="00D04BF4" w:rsidRDefault="00D04BF4" w:rsidP="00D04BF4">
      <w:r w:rsidRPr="00D04BF4">
        <w:t>5. Roadmap–Objective Alignment</w:t>
      </w:r>
    </w:p>
    <w:p w:rsidR="00D04BF4" w:rsidRDefault="00D04BF4" w:rsidP="00D04BF4">
      <w:pPr>
        <w:pStyle w:val="Heading1"/>
      </w:pPr>
    </w:p>
    <w:p w:rsidR="00D04BF4" w:rsidRPr="00D04BF4" w:rsidRDefault="00D04BF4" w:rsidP="00D04BF4">
      <w:pPr>
        <w:pStyle w:val="ListBullet"/>
      </w:pPr>
    </w:p>
    <w:p w:rsidR="00D04BF4" w:rsidRPr="00D04BF4" w:rsidRDefault="00D04BF4" w:rsidP="00D04BF4">
      <w:pPr>
        <w:pStyle w:val="ListBullet"/>
      </w:pPr>
    </w:p>
    <w:p w:rsidR="00D04BF4" w:rsidRPr="00D04BF4" w:rsidRDefault="00D04BF4" w:rsidP="00D04BF4">
      <w:pPr>
        <w:pStyle w:val="ListBullet"/>
      </w:pPr>
    </w:p>
    <w:p w:rsidR="00D04BF4" w:rsidRPr="00D04BF4" w:rsidRDefault="00D04BF4" w:rsidP="00D04BF4">
      <w:pPr>
        <w:pStyle w:val="ListBullet"/>
      </w:pPr>
    </w:p>
    <w:p w:rsidR="00D04BF4" w:rsidRDefault="00D04BF4" w:rsidP="00D04BF4">
      <w:pPr>
        <w:pStyle w:val="Heading1"/>
      </w:pPr>
    </w:p>
    <w:tbl>
      <w:tblPr>
        <w:tblStyle w:val="TableGrid"/>
        <w:tblW w:w="0" w:type="auto"/>
        <w:tblLayout w:type="fixed"/>
        <w:tblLook w:val="04A0" w:firstRow="1" w:lastRow="0" w:firstColumn="1" w:lastColumn="0" w:noHBand="0" w:noVBand="1"/>
      </w:tblPr>
      <w:tblGrid>
        <w:gridCol w:w="3008"/>
        <w:gridCol w:w="3009"/>
        <w:gridCol w:w="3009"/>
      </w:tblGrid>
      <w:tr w:rsidR="00D04BF4" w:rsidTr="00D04BF4">
        <w:tc>
          <w:tcPr>
            <w:tcW w:w="3008" w:type="dxa"/>
          </w:tcPr>
          <w:p w:rsidR="00D04BF4" w:rsidRPr="00D04BF4" w:rsidRDefault="00D04BF4" w:rsidP="00D04BF4">
            <w:pPr>
              <w:rPr>
                <w:b/>
              </w:rPr>
            </w:pPr>
            <w:r w:rsidRPr="00D04BF4">
              <w:rPr>
                <w:b/>
              </w:rPr>
              <w:t>Milestone</w:t>
            </w:r>
          </w:p>
        </w:tc>
        <w:tc>
          <w:tcPr>
            <w:tcW w:w="3009" w:type="dxa"/>
          </w:tcPr>
          <w:p w:rsidR="00D04BF4" w:rsidRPr="00D04BF4" w:rsidRDefault="00D04BF4" w:rsidP="00D04BF4">
            <w:pPr>
              <w:rPr>
                <w:b/>
              </w:rPr>
            </w:pPr>
            <w:r w:rsidRPr="00D04BF4">
              <w:rPr>
                <w:b/>
              </w:rPr>
              <w:t>Phase</w:t>
            </w:r>
          </w:p>
        </w:tc>
        <w:tc>
          <w:tcPr>
            <w:tcW w:w="3009" w:type="dxa"/>
          </w:tcPr>
          <w:p w:rsidR="00D04BF4" w:rsidRPr="00D04BF4" w:rsidRDefault="00D04BF4" w:rsidP="00D04BF4">
            <w:pPr>
              <w:rPr>
                <w:b/>
              </w:rPr>
            </w:pPr>
            <w:r w:rsidRPr="00D04BF4">
              <w:rPr>
                <w:b/>
              </w:rPr>
              <w:t>Gate Criteria</w:t>
            </w:r>
          </w:p>
        </w:tc>
      </w:tr>
      <w:tr w:rsidR="00D04BF4" w:rsidTr="00D04BF4">
        <w:tc>
          <w:tcPr>
            <w:tcW w:w="3008" w:type="dxa"/>
          </w:tcPr>
          <w:p w:rsidR="00D04BF4" w:rsidRPr="00D04BF4" w:rsidRDefault="00D04BF4" w:rsidP="00D04BF4">
            <w:r>
              <w:t>R</w:t>
            </w:r>
            <w:r w:rsidRPr="00D04BF4">
              <w:t>egulatory guidance secured</w:t>
            </w:r>
          </w:p>
        </w:tc>
        <w:tc>
          <w:tcPr>
            <w:tcW w:w="3009" w:type="dxa"/>
          </w:tcPr>
          <w:p w:rsidR="00D04BF4" w:rsidRPr="00D04BF4" w:rsidRDefault="00D04BF4" w:rsidP="00D04BF4">
            <w:r>
              <w:t>0</w:t>
            </w:r>
          </w:p>
        </w:tc>
        <w:tc>
          <w:tcPr>
            <w:tcW w:w="3009" w:type="dxa"/>
          </w:tcPr>
          <w:p w:rsidR="00D04BF4" w:rsidRPr="00D04BF4" w:rsidRDefault="00D04BF4" w:rsidP="00D04BF4">
            <w:r>
              <w:t>W</w:t>
            </w:r>
            <w:r w:rsidRPr="00D04BF4">
              <w:t>ritten guidance / pilot approval</w:t>
            </w:r>
          </w:p>
        </w:tc>
      </w:tr>
      <w:tr w:rsidR="00D04BF4" w:rsidTr="00D04BF4">
        <w:tc>
          <w:tcPr>
            <w:tcW w:w="3008" w:type="dxa"/>
          </w:tcPr>
          <w:p w:rsidR="00D04BF4" w:rsidRPr="00D04BF4" w:rsidRDefault="00D04BF4" w:rsidP="00D04BF4">
            <w:r>
              <w:t>M</w:t>
            </w:r>
            <w:r w:rsidRPr="00D04BF4">
              <w:t>VP launch (pilot city)</w:t>
            </w:r>
          </w:p>
        </w:tc>
        <w:tc>
          <w:tcPr>
            <w:tcW w:w="3009" w:type="dxa"/>
          </w:tcPr>
          <w:p w:rsidR="00D04BF4" w:rsidRPr="00D04BF4" w:rsidRDefault="00D04BF4" w:rsidP="00D04BF4">
            <w:r>
              <w:t>1</w:t>
            </w:r>
          </w:p>
        </w:tc>
        <w:tc>
          <w:tcPr>
            <w:tcW w:w="3009" w:type="dxa"/>
          </w:tcPr>
          <w:p w:rsidR="00D04BF4" w:rsidRPr="00D04BF4" w:rsidRDefault="00D04BF4" w:rsidP="00D04BF4">
            <w:r>
              <w:t>C</w:t>
            </w:r>
            <w:r w:rsidRPr="00D04BF4">
              <w:t>ore loop + compliance verified</w:t>
            </w:r>
          </w:p>
        </w:tc>
      </w:tr>
      <w:tr w:rsidR="00D04BF4" w:rsidTr="00D04BF4">
        <w:tc>
          <w:tcPr>
            <w:tcW w:w="3008" w:type="dxa"/>
          </w:tcPr>
          <w:p w:rsidR="00D04BF4" w:rsidRPr="00D04BF4" w:rsidRDefault="00D04BF4" w:rsidP="00D04BF4">
            <w:r>
              <w:t>D</w:t>
            </w:r>
            <w:r w:rsidRPr="00D04BF4">
              <w:t>iaspora go-live</w:t>
            </w:r>
          </w:p>
        </w:tc>
        <w:tc>
          <w:tcPr>
            <w:tcW w:w="3009" w:type="dxa"/>
          </w:tcPr>
          <w:p w:rsidR="00D04BF4" w:rsidRPr="00D04BF4" w:rsidRDefault="00D04BF4" w:rsidP="00D04BF4">
            <w:r>
              <w:t>2</w:t>
            </w:r>
          </w:p>
        </w:tc>
        <w:tc>
          <w:tcPr>
            <w:tcW w:w="3009" w:type="dxa"/>
          </w:tcPr>
          <w:p w:rsidR="00D04BF4" w:rsidRPr="00D04BF4" w:rsidRDefault="00D04BF4" w:rsidP="00D04BF4">
            <w:r>
              <w:t>C</w:t>
            </w:r>
            <w:r w:rsidRPr="00D04BF4">
              <w:t>ross-border payment reliability</w:t>
            </w:r>
          </w:p>
        </w:tc>
      </w:tr>
      <w:tr w:rsidR="00D04BF4" w:rsidTr="00D04BF4">
        <w:tc>
          <w:tcPr>
            <w:tcW w:w="3008" w:type="dxa"/>
          </w:tcPr>
          <w:p w:rsidR="00D04BF4" w:rsidRPr="00D04BF4" w:rsidRDefault="00D04BF4" w:rsidP="00D04BF4">
            <w:r>
              <w:t>H</w:t>
            </w:r>
            <w:r w:rsidRPr="00D04BF4">
              <w:t>ealthcare services launch</w:t>
            </w:r>
          </w:p>
        </w:tc>
        <w:tc>
          <w:tcPr>
            <w:tcW w:w="3009" w:type="dxa"/>
          </w:tcPr>
          <w:p w:rsidR="00D04BF4" w:rsidRPr="00D04BF4" w:rsidRDefault="00D04BF4" w:rsidP="00D04BF4">
            <w:r>
              <w:t>3</w:t>
            </w:r>
          </w:p>
        </w:tc>
        <w:tc>
          <w:tcPr>
            <w:tcW w:w="3009" w:type="dxa"/>
          </w:tcPr>
          <w:p w:rsidR="00D04BF4" w:rsidRPr="00D04BF4" w:rsidRDefault="00D04BF4" w:rsidP="00D04BF4">
            <w:r>
              <w:t>P</w:t>
            </w:r>
            <w:r w:rsidRPr="00D04BF4">
              <w:t>rovider adoption + scheduling reliability</w:t>
            </w:r>
          </w:p>
        </w:tc>
      </w:tr>
      <w:tr w:rsidR="00D04BF4" w:rsidTr="00D04BF4">
        <w:tc>
          <w:tcPr>
            <w:tcW w:w="3008" w:type="dxa"/>
          </w:tcPr>
          <w:p w:rsidR="00D04BF4" w:rsidRPr="00D04BF4" w:rsidRDefault="00D04BF4" w:rsidP="00D04BF4">
            <w:r>
              <w:t>M</w:t>
            </w:r>
            <w:r w:rsidRPr="00D04BF4">
              <w:t>ulti-city expansion</w:t>
            </w:r>
          </w:p>
        </w:tc>
        <w:tc>
          <w:tcPr>
            <w:tcW w:w="3009" w:type="dxa"/>
          </w:tcPr>
          <w:p w:rsidR="00D04BF4" w:rsidRPr="00D04BF4" w:rsidRDefault="00D04BF4" w:rsidP="00D04BF4">
            <w:r>
              <w:t>5</w:t>
            </w:r>
          </w:p>
        </w:tc>
        <w:tc>
          <w:tcPr>
            <w:tcW w:w="3009" w:type="dxa"/>
          </w:tcPr>
          <w:p w:rsidR="00D04BF4" w:rsidRPr="00D04BF4" w:rsidRDefault="00D04BF4" w:rsidP="00D04BF4">
            <w:r>
              <w:t>P</w:t>
            </w:r>
            <w:r w:rsidRPr="00D04BF4">
              <w:t>ositive unit economics</w:t>
            </w:r>
          </w:p>
        </w:tc>
      </w:tr>
    </w:tbl>
    <w:p w:rsidR="00D04BF4" w:rsidRDefault="00D04BF4" w:rsidP="00D04BF4">
      <w:r w:rsidRPr="00D04BF4">
        <w:t>7. Key Milestones &amp; Gates</w:t>
      </w:r>
      <w:r w:rsidRPr="00D04BF4">
        <w:rPr>
          <w:b/>
        </w:rPr>
        <w:t>Analytics:</w:t>
      </w:r>
      <w:r w:rsidRPr="00D04BF4">
        <w:t xml:space="preserve"> KPI dashboards guiding prioritization each phase.</w:t>
      </w:r>
      <w:r w:rsidRPr="00D04BF4">
        <w:rPr>
          <w:b/>
        </w:rPr>
        <w:t>Quality &amp; Support:</w:t>
      </w:r>
      <w:r w:rsidRPr="00D04BF4">
        <w:t xml:space="preserve"> QA automation, customer support, feedback loops.</w:t>
      </w:r>
      <w:r w:rsidRPr="00D04BF4">
        <w:rPr>
          <w:b/>
        </w:rPr>
        <w:t>Security &amp; Privacy:</w:t>
      </w:r>
      <w:r w:rsidRPr="00D04BF4">
        <w:t xml:space="preserve"> Continuous testing, monitoring, incident readiness.</w:t>
      </w:r>
      <w:r w:rsidRPr="00D04BF4">
        <w:rPr>
          <w:b/>
        </w:rPr>
        <w:t>Compliance &amp; Safety:</w:t>
      </w:r>
      <w:r w:rsidRPr="00D04BF4">
        <w:t xml:space="preserve"> Ongoing license monitoring, audits, regulator reporting.6. Cross-Phase Workstreams (Continuous)</w:t>
      </w:r>
    </w:p>
    <w:p w:rsidR="00D04BF4" w:rsidRDefault="00D04BF4" w:rsidP="00D04BF4">
      <w:pPr>
        <w:pStyle w:val="Heading1"/>
      </w:pPr>
    </w:p>
    <w:p w:rsidR="00D04BF4" w:rsidRDefault="00D04BF4" w:rsidP="00D04BF4">
      <w:pPr>
        <w:pStyle w:val="ListBullet"/>
      </w:pPr>
    </w:p>
    <w:p w:rsidR="00D04BF4" w:rsidRDefault="00D04BF4" w:rsidP="00D04BF4">
      <w:pPr>
        <w:pStyle w:val="ListBullet"/>
      </w:pPr>
    </w:p>
    <w:p w:rsidR="00D04BF4" w:rsidRDefault="00D04BF4" w:rsidP="00D04BF4">
      <w:pPr>
        <w:pStyle w:val="ListBullet"/>
      </w:pPr>
    </w:p>
    <w:p w:rsidR="00D04BF4" w:rsidRDefault="00D04BF4" w:rsidP="00D04BF4">
      <w:pPr>
        <w:pStyle w:val="ListBullet"/>
      </w:pPr>
    </w:p>
    <w:p w:rsidR="00D04BF4" w:rsidRDefault="00D04BF4" w:rsidP="00D04BF4">
      <w:pPr>
        <w:pStyle w:val="Heading1"/>
      </w:pPr>
    </w:p>
    <w:p w:rsidR="00D04BF4" w:rsidRDefault="00D04BF4" w:rsidP="00D04BF4">
      <w:pPr>
        <w:pStyle w:val="ListBullet"/>
      </w:pPr>
    </w:p>
    <w:p w:rsidR="00D04BF4" w:rsidRDefault="00D04BF4" w:rsidP="00D04BF4">
      <w:pPr>
        <w:pStyle w:val="ListBullet"/>
      </w:pPr>
    </w:p>
    <w:p w:rsidR="00D04BF4" w:rsidRDefault="00D04BF4" w:rsidP="00D04BF4">
      <w:pPr>
        <w:pStyle w:val="ListBullet"/>
      </w:pPr>
    </w:p>
    <w:p w:rsidR="00D04BF4" w:rsidRDefault="00D04BF4" w:rsidP="00D04BF4">
      <w:pPr>
        <w:pStyle w:val="ListBullet"/>
      </w:pPr>
    </w:p>
    <w:p w:rsidR="00D04BF4" w:rsidRDefault="00D04BF4" w:rsidP="00D04BF4">
      <w:bookmarkStart w:id="0" w:name="_GoBack"/>
      <w:bookmarkEnd w:id="0"/>
      <w:r w:rsidRPr="00D04BF4">
        <w:t>Confirm diagnostic result-delivery model and provider integration readiness.Confirm payment provider(s) and cross-border capability timing.Confirm Rx vs OTC scope for Phase 1 pending regulatory sign-off.Confirm launch city and initial coverage area.9. Open Questions Affecting the RoadmapTimeframes are indicative and subject to change based on discovery findings and market feedback.Provider onboarding keeps pace with demand generation.Funding aligns with phased investment needs.Regulatory approvals and integration availability meet phase timelines.8. Assumptions &amp; Dependencies</w:t>
      </w:r>
    </w:p>
    <w:sectPr w:rsidR="00D04B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5F0E0CF0"/>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BF4"/>
    <w:rsid w:val="00516835"/>
    <w:rsid w:val="00D04B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1E76CC-3B44-4786-A979-A82470ECA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04BF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04BF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04BF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BF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04BF4"/>
    <w:rPr>
      <w:rFonts w:asciiTheme="majorHAnsi" w:eastAsiaTheme="majorEastAsia" w:hAnsiTheme="majorHAnsi" w:cstheme="majorBidi"/>
      <w:color w:val="2E74B5" w:themeColor="accent1" w:themeShade="BF"/>
      <w:sz w:val="32"/>
      <w:szCs w:val="32"/>
    </w:rPr>
  </w:style>
  <w:style w:type="paragraph" w:styleId="ListBullet">
    <w:name w:val="List Bullet"/>
    <w:basedOn w:val="Normal"/>
    <w:uiPriority w:val="99"/>
    <w:unhideWhenUsed/>
    <w:rsid w:val="00D04BF4"/>
    <w:pPr>
      <w:numPr>
        <w:numId w:val="1"/>
      </w:numPr>
      <w:contextualSpacing/>
    </w:pPr>
  </w:style>
  <w:style w:type="character" w:customStyle="1" w:styleId="Heading2Char">
    <w:name w:val="Heading 2 Char"/>
    <w:basedOn w:val="DefaultParagraphFont"/>
    <w:link w:val="Heading2"/>
    <w:uiPriority w:val="9"/>
    <w:rsid w:val="00D04BF4"/>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D04B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815</Words>
  <Characters>4652</Characters>
  <Application>Microsoft Office Word</Application>
  <DocSecurity>0</DocSecurity>
  <Lines>38</Lines>
  <Paragraphs>10</Paragraphs>
  <ScaleCrop>false</ScaleCrop>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temam</dc:creator>
  <cp:keywords/>
  <dc:description/>
  <cp:lastModifiedBy>yusuf temam</cp:lastModifiedBy>
  <cp:revision>1</cp:revision>
  <dcterms:created xsi:type="dcterms:W3CDTF">2026-07-12T10:53:00Z</dcterms:created>
  <dcterms:modified xsi:type="dcterms:W3CDTF">2026-07-12T10:53:00Z</dcterms:modified>
</cp:coreProperties>
</file>