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7609" w14:textId="2541A347" w:rsidR="007D72C2" w:rsidRDefault="004A09FF" w:rsidP="004C1765">
      <w:pPr>
        <w:pStyle w:val="Heading2"/>
        <w:jc w:val="center"/>
      </w:pPr>
      <w:r>
        <w:rPr>
          <w:rFonts w:hint="eastAsia"/>
        </w:rPr>
        <w:t>Assignment 4</w:t>
      </w:r>
    </w:p>
    <w:p w14:paraId="4C6ED78E" w14:textId="32E9FEA8" w:rsidR="004A09FF" w:rsidRDefault="00161A07" w:rsidP="00161A07">
      <w:pPr>
        <w:jc w:val="right"/>
      </w:pPr>
      <w:proofErr w:type="spellStart"/>
      <w:r>
        <w:rPr>
          <w:rFonts w:hint="eastAsia"/>
        </w:rPr>
        <w:t>Zhihan</w:t>
      </w:r>
      <w:proofErr w:type="spellEnd"/>
      <w:r>
        <w:rPr>
          <w:rFonts w:hint="eastAsia"/>
        </w:rPr>
        <w:t xml:space="preserve"> Yu (2101111618)</w:t>
      </w:r>
    </w:p>
    <w:p w14:paraId="4AAED64D" w14:textId="7128F838" w:rsidR="004A09FF" w:rsidRDefault="004A09FF" w:rsidP="003F2134">
      <w:pPr>
        <w:pStyle w:val="Heading3"/>
      </w:pPr>
      <w:r>
        <w:rPr>
          <w:rFonts w:hint="eastAsia"/>
        </w:rPr>
        <w:t>Habitat and Indexing</w:t>
      </w:r>
    </w:p>
    <w:tbl>
      <w:tblPr>
        <w:tblStyle w:val="TableGrid"/>
        <w:tblW w:w="0" w:type="auto"/>
        <w:tblLook w:val="04A0" w:firstRow="1" w:lastRow="0" w:firstColumn="1" w:lastColumn="0" w:noHBand="0" w:noVBand="1"/>
      </w:tblPr>
      <w:tblGrid>
        <w:gridCol w:w="9350"/>
      </w:tblGrid>
      <w:tr w:rsidR="004A09FF" w14:paraId="752A4E22" w14:textId="77777777" w:rsidTr="004A09FF">
        <w:tc>
          <w:tcPr>
            <w:tcW w:w="9350" w:type="dxa"/>
          </w:tcPr>
          <w:p w14:paraId="441F9530" w14:textId="77777777" w:rsidR="004A09FF" w:rsidRDefault="004A09FF">
            <w:r>
              <w:rPr>
                <w:rFonts w:hint="eastAsia"/>
              </w:rPr>
              <w:t>Do</w:t>
            </w:r>
          </w:p>
          <w:p w14:paraId="343182DF" w14:textId="0228DDFE" w:rsidR="004A09FF" w:rsidRDefault="004A09FF" w:rsidP="004A09FF">
            <w:pPr>
              <w:pStyle w:val="ListParagraph"/>
              <w:numPr>
                <w:ilvl w:val="0"/>
                <w:numId w:val="1"/>
              </w:numPr>
            </w:pPr>
            <w:r>
              <w:rPr>
                <w:rFonts w:hint="eastAsia"/>
              </w:rPr>
              <w:t xml:space="preserve">Run </w:t>
            </w:r>
            <w:r>
              <w:t>‘</w:t>
            </w:r>
            <w:r>
              <w:rPr>
                <w:rFonts w:hint="eastAsia"/>
                <w:color w:val="00B0F0"/>
              </w:rPr>
              <w:t>N</w:t>
            </w:r>
            <w:r w:rsidRPr="004A09FF">
              <w:rPr>
                <w:rFonts w:hint="eastAsia"/>
                <w:color w:val="00B0F0"/>
              </w:rPr>
              <w:t>Klinear.mod</w:t>
            </w:r>
            <w:r w:rsidRPr="004A09FF">
              <w:rPr>
                <w:color w:val="00B0F0"/>
              </w:rPr>
              <w:t>’</w:t>
            </w:r>
            <w:r w:rsidRPr="004A09FF">
              <w:rPr>
                <w:rFonts w:hint="eastAsia"/>
                <w:color w:val="00B0F0"/>
              </w:rPr>
              <w:t xml:space="preserve"> </w:t>
            </w:r>
            <w:r>
              <w:rPr>
                <w:rFonts w:hint="eastAsia"/>
              </w:rPr>
              <w:t xml:space="preserve">with the following combinations of </w:t>
            </w:r>
            <w:proofErr w:type="gramStart"/>
            <w:r>
              <w:rPr>
                <w:rFonts w:hint="eastAsia"/>
              </w:rPr>
              <w:t>parameters</w:t>
            </w:r>
            <w:proofErr w:type="gramEnd"/>
          </w:p>
          <w:p w14:paraId="20A26BEF" w14:textId="40AEA529" w:rsidR="004A09FF" w:rsidRPr="004A09FF" w:rsidRDefault="004A09FF" w:rsidP="004A09FF">
            <w:pPr>
              <w:pStyle w:val="ListParagraph"/>
              <w:numPr>
                <w:ilvl w:val="1"/>
                <w:numId w:val="1"/>
              </w:numPr>
              <w:rPr>
                <w:i/>
                <w:iCs/>
              </w:rPr>
            </w:pPr>
            <m:oMath>
              <m:d>
                <m:dPr>
                  <m:ctrlPr>
                    <w:rPr>
                      <w:rFonts w:ascii="Cambria Math" w:hAnsi="Cambria Math"/>
                      <w:i/>
                    </w:rPr>
                  </m:ctrlPr>
                </m:dPr>
                <m:e>
                  <m:r>
                    <w:rPr>
                      <w:rFonts w:ascii="Cambria Math" w:hAnsi="Cambria Math"/>
                    </w:rPr>
                    <m:t>γ,χ</m:t>
                  </m:r>
                </m:e>
              </m:d>
              <m:r>
                <w:rPr>
                  <w:rFonts w:ascii="Cambria Math" w:hAnsi="Cambria Math"/>
                </w:rPr>
                <m:t>=</m:t>
              </m:r>
              <m:d>
                <m:dPr>
                  <m:begChr m:val="{"/>
                  <m:endChr m:val="}"/>
                  <m:ctrlPr>
                    <w:rPr>
                      <w:rFonts w:ascii="Cambria Math" w:hAnsi="Cambria Math"/>
                      <w:i/>
                    </w:rPr>
                  </m:ctrlPr>
                </m:dPr>
                <m:e>
                  <m:r>
                    <w:rPr>
                      <w:rFonts w:ascii="Cambria Math" w:hAnsi="Cambria Math"/>
                    </w:rPr>
                    <m:t>0.0,  0.5,   1.0</m:t>
                  </m:r>
                </m:e>
              </m:d>
              <m:r>
                <w:rPr>
                  <w:rFonts w:ascii="Cambria Math" w:hAnsi="Cambria Math"/>
                </w:rPr>
                <m:t>×</m:t>
              </m:r>
              <m:d>
                <m:dPr>
                  <m:begChr m:val="{"/>
                  <m:endChr m:val="}"/>
                  <m:ctrlPr>
                    <w:rPr>
                      <w:rFonts w:ascii="Cambria Math" w:hAnsi="Cambria Math"/>
                      <w:i/>
                    </w:rPr>
                  </m:ctrlPr>
                </m:dPr>
                <m:e>
                  <m:r>
                    <w:rPr>
                      <w:rFonts w:ascii="Cambria Math" w:hAnsi="Cambria Math"/>
                    </w:rPr>
                    <m:t>0.7</m:t>
                  </m:r>
                </m:e>
              </m:d>
            </m:oMath>
            <w:r>
              <w:rPr>
                <w:rFonts w:hint="eastAsia"/>
              </w:rPr>
              <w:t xml:space="preserve"> </w:t>
            </w:r>
          </w:p>
          <w:p w14:paraId="6FB07EAB" w14:textId="77777777" w:rsidR="00E94B14" w:rsidRDefault="004A09FF" w:rsidP="004A09FF">
            <w:pPr>
              <w:pStyle w:val="ListParagraph"/>
              <w:numPr>
                <w:ilvl w:val="1"/>
                <w:numId w:val="1"/>
              </w:numPr>
            </w:pPr>
            <m:oMath>
              <m:d>
                <m:dPr>
                  <m:ctrlPr>
                    <w:rPr>
                      <w:rFonts w:ascii="Cambria Math" w:hAnsi="Cambria Math"/>
                      <w:i/>
                    </w:rPr>
                  </m:ctrlPr>
                </m:dPr>
                <m:e>
                  <m:r>
                    <w:rPr>
                      <w:rFonts w:ascii="Cambria Math" w:hAnsi="Cambria Math"/>
                    </w:rPr>
                    <m:t>γ,χ</m:t>
                  </m:r>
                </m:e>
              </m:d>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5</m:t>
                  </m:r>
                </m:e>
              </m:d>
              <m:r>
                <w:rPr>
                  <w:rFonts w:ascii="Cambria Math" w:hAnsi="Cambria Math"/>
                </w:rPr>
                <m:t>×</m:t>
              </m:r>
              <m:d>
                <m:dPr>
                  <m:begChr m:val="{"/>
                  <m:endChr m:val="}"/>
                  <m:ctrlPr>
                    <w:rPr>
                      <w:rFonts w:ascii="Cambria Math" w:hAnsi="Cambria Math"/>
                      <w:i/>
                    </w:rPr>
                  </m:ctrlPr>
                </m:dPr>
                <m:e>
                  <m:r>
                    <w:rPr>
                      <w:rFonts w:ascii="Cambria Math" w:hAnsi="Cambria Math"/>
                    </w:rPr>
                    <m:t xml:space="preserve">0.0,  </m:t>
                  </m:r>
                  <m:r>
                    <w:rPr>
                      <w:rFonts w:ascii="Cambria Math" w:hAnsi="Cambria Math"/>
                    </w:rPr>
                    <m:t>0.7</m:t>
                  </m:r>
                  <m:r>
                    <w:rPr>
                      <w:rFonts w:ascii="Cambria Math" w:hAnsi="Cambria Math"/>
                    </w:rPr>
                    <m:t>,  1.0</m:t>
                  </m:r>
                </m:e>
              </m:d>
            </m:oMath>
            <w:r w:rsidR="00E94B14">
              <w:rPr>
                <w:rFonts w:hint="eastAsia"/>
              </w:rPr>
              <w:t xml:space="preserve"> </w:t>
            </w:r>
          </w:p>
          <w:p w14:paraId="5C2AE89A" w14:textId="5D93E2B7" w:rsidR="004A09FF" w:rsidRPr="0063452F" w:rsidRDefault="00E94B14" w:rsidP="0063452F">
            <w:pPr>
              <w:pStyle w:val="ListParagraph"/>
              <w:numPr>
                <w:ilvl w:val="1"/>
                <w:numId w:val="1"/>
              </w:numPr>
              <w:rPr>
                <w:rFonts w:hint="eastAsia"/>
                <w:i/>
                <w:iCs/>
              </w:rPr>
            </w:pPr>
            <w:r w:rsidRPr="00E94B14">
              <w:rPr>
                <w:rFonts w:hint="eastAsia"/>
                <w:i/>
                <w:iCs/>
              </w:rPr>
              <w:t>Revise lines 26, 36, 174-184</w:t>
            </w:r>
            <w:r w:rsidRPr="00E94B14">
              <w:rPr>
                <w:i/>
                <w:iCs/>
              </w:rPr>
              <w:t>…</w:t>
            </w:r>
            <w:r w:rsidRPr="00E94B14">
              <w:rPr>
                <w:rFonts w:hint="eastAsia"/>
                <w:i/>
                <w:iCs/>
              </w:rPr>
              <w:t xml:space="preserve"> </w:t>
            </w:r>
            <w:r w:rsidR="0063452F">
              <w:rPr>
                <w:rFonts w:hint="eastAsia"/>
                <w:i/>
                <w:iCs/>
              </w:rPr>
              <w:t>(</w:t>
            </w:r>
            <w:r w:rsidRPr="00E94B14">
              <w:rPr>
                <w:rFonts w:hint="eastAsia"/>
                <w:i/>
                <w:iCs/>
              </w:rPr>
              <w:t xml:space="preserve">not </w:t>
            </w:r>
            <w:r w:rsidRPr="00E94B14">
              <w:rPr>
                <w:rFonts w:hint="eastAsia"/>
                <w:i/>
                <w:iCs/>
              </w:rPr>
              <w:t>lines 143-147 of mod file)</w:t>
            </w:r>
          </w:p>
        </w:tc>
      </w:tr>
      <w:tr w:rsidR="004A09FF" w14:paraId="0B099B3C" w14:textId="77777777" w:rsidTr="004A09FF">
        <w:tc>
          <w:tcPr>
            <w:tcW w:w="9350" w:type="dxa"/>
          </w:tcPr>
          <w:p w14:paraId="3DA1E22E" w14:textId="77777777" w:rsidR="004A09FF" w:rsidRDefault="004A09FF">
            <w:r>
              <w:rPr>
                <w:rFonts w:hint="eastAsia"/>
              </w:rPr>
              <w:t>Results</w:t>
            </w:r>
          </w:p>
          <w:p w14:paraId="27DE0A70" w14:textId="77777777" w:rsidR="004A09FF" w:rsidRDefault="009915D1" w:rsidP="004A09FF">
            <w:pPr>
              <w:pStyle w:val="ListParagraph"/>
              <w:numPr>
                <w:ilvl w:val="0"/>
                <w:numId w:val="1"/>
              </w:numPr>
            </w:pPr>
            <w:r>
              <w:rPr>
                <w:rFonts w:hint="eastAsia"/>
              </w:rPr>
              <w:t>&lt;</w:t>
            </w:r>
            <w:r>
              <w:t xml:space="preserve"> </w:t>
            </w:r>
            <w:proofErr w:type="spellStart"/>
            <w:r w:rsidRPr="009915D1">
              <w:t>NKlinear_habitTFP</w:t>
            </w:r>
            <w:proofErr w:type="spellEnd"/>
            <w:r>
              <w:rPr>
                <w:rFonts w:hint="eastAsia"/>
              </w:rPr>
              <w:t>&gt;</w:t>
            </w:r>
          </w:p>
          <w:p w14:paraId="179E4621" w14:textId="60AD8307" w:rsidR="009915D1" w:rsidRDefault="009915D1" w:rsidP="009915D1">
            <w:pPr>
              <w:jc w:val="center"/>
              <w:rPr>
                <w:rFonts w:hint="eastAsia"/>
              </w:rPr>
            </w:pPr>
            <w:r>
              <w:rPr>
                <w:rFonts w:hint="eastAsia"/>
                <w:noProof/>
              </w:rPr>
              <w:drawing>
                <wp:inline distT="0" distB="0" distL="0" distR="0" wp14:anchorId="0848968F" wp14:editId="08B2C346">
                  <wp:extent cx="3410930" cy="2566930"/>
                  <wp:effectExtent l="0" t="0" r="5715" b="0"/>
                  <wp:docPr id="1027922866" name="Picture 1" descr="A group of graphs showing different fun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22866" name="Picture 1" descr="A group of graphs showing different functions&#10;&#10;Description automatically generated"/>
                          <pic:cNvPicPr/>
                        </pic:nvPicPr>
                        <pic:blipFill rotWithShape="1">
                          <a:blip r:embed="rId5" cstate="print">
                            <a:extLst>
                              <a:ext uri="{28A0092B-C50C-407E-A947-70E740481C1C}">
                                <a14:useLocalDpi xmlns:a14="http://schemas.microsoft.com/office/drawing/2010/main" val="0"/>
                              </a:ext>
                            </a:extLst>
                          </a:blip>
                          <a:srcRect b="5462"/>
                          <a:stretch/>
                        </pic:blipFill>
                        <pic:spPr bwMode="auto">
                          <a:xfrm>
                            <a:off x="0" y="0"/>
                            <a:ext cx="3420074" cy="2573811"/>
                          </a:xfrm>
                          <a:prstGeom prst="rect">
                            <a:avLst/>
                          </a:prstGeom>
                          <a:ln>
                            <a:noFill/>
                          </a:ln>
                          <a:extLst>
                            <a:ext uri="{53640926-AAD7-44D8-BBD7-CCE9431645EC}">
                              <a14:shadowObscured xmlns:a14="http://schemas.microsoft.com/office/drawing/2010/main"/>
                            </a:ext>
                          </a:extLst>
                        </pic:spPr>
                      </pic:pic>
                    </a:graphicData>
                  </a:graphic>
                </wp:inline>
              </w:drawing>
            </w:r>
          </w:p>
          <w:p w14:paraId="42C73C29" w14:textId="268D590E" w:rsidR="009915D1" w:rsidRDefault="009915D1" w:rsidP="004A09FF">
            <w:pPr>
              <w:pStyle w:val="ListParagraph"/>
              <w:numPr>
                <w:ilvl w:val="0"/>
                <w:numId w:val="1"/>
              </w:numPr>
            </w:pPr>
            <w:r>
              <w:rPr>
                <w:rFonts w:hint="eastAsia"/>
              </w:rPr>
              <w:t>&lt;</w:t>
            </w:r>
            <w:proofErr w:type="spellStart"/>
            <w:r w:rsidRPr="009915D1">
              <w:t>NKlinear_</w:t>
            </w:r>
            <w:r>
              <w:rPr>
                <w:rFonts w:hint="eastAsia"/>
              </w:rPr>
              <w:t>indexing</w:t>
            </w:r>
            <w:r w:rsidRPr="009915D1">
              <w:t>TFP</w:t>
            </w:r>
            <w:proofErr w:type="spellEnd"/>
            <w:r>
              <w:rPr>
                <w:rFonts w:hint="eastAsia"/>
              </w:rPr>
              <w:t>&gt;</w:t>
            </w:r>
          </w:p>
          <w:p w14:paraId="2742276F" w14:textId="7A2FD30E" w:rsidR="009915D1" w:rsidRDefault="009915D1" w:rsidP="009915D1">
            <w:pPr>
              <w:pStyle w:val="ListParagraph"/>
              <w:jc w:val="center"/>
            </w:pPr>
            <w:r>
              <w:rPr>
                <w:noProof/>
              </w:rPr>
              <w:drawing>
                <wp:inline distT="0" distB="0" distL="0" distR="0" wp14:anchorId="17C0C6E2" wp14:editId="695A5A38">
                  <wp:extent cx="3783451" cy="2875402"/>
                  <wp:effectExtent l="0" t="0" r="1270" b="0"/>
                  <wp:docPr id="66946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8462" name="Picture 669468462"/>
                          <pic:cNvPicPr/>
                        </pic:nvPicPr>
                        <pic:blipFill rotWithShape="1">
                          <a:blip r:embed="rId6" cstate="print">
                            <a:extLst>
                              <a:ext uri="{28A0092B-C50C-407E-A947-70E740481C1C}">
                                <a14:useLocalDpi xmlns:a14="http://schemas.microsoft.com/office/drawing/2010/main" val="0"/>
                              </a:ext>
                            </a:extLst>
                          </a:blip>
                          <a:srcRect b="4529"/>
                          <a:stretch/>
                        </pic:blipFill>
                        <pic:spPr bwMode="auto">
                          <a:xfrm>
                            <a:off x="0" y="0"/>
                            <a:ext cx="3793605" cy="2883119"/>
                          </a:xfrm>
                          <a:prstGeom prst="rect">
                            <a:avLst/>
                          </a:prstGeom>
                          <a:ln>
                            <a:noFill/>
                          </a:ln>
                          <a:extLst>
                            <a:ext uri="{53640926-AAD7-44D8-BBD7-CCE9431645EC}">
                              <a14:shadowObscured xmlns:a14="http://schemas.microsoft.com/office/drawing/2010/main"/>
                            </a:ext>
                          </a:extLst>
                        </pic:spPr>
                      </pic:pic>
                    </a:graphicData>
                  </a:graphic>
                </wp:inline>
              </w:drawing>
            </w:r>
          </w:p>
          <w:p w14:paraId="730467A8" w14:textId="4E746159" w:rsidR="009915D1" w:rsidRPr="009915D1" w:rsidRDefault="009915D1" w:rsidP="004A09FF">
            <w:pPr>
              <w:pStyle w:val="ListParagraph"/>
              <w:numPr>
                <w:ilvl w:val="0"/>
                <w:numId w:val="1"/>
              </w:numPr>
              <w:rPr>
                <w:rFonts w:hint="eastAsia"/>
                <w:i/>
                <w:iCs/>
              </w:rPr>
            </w:pPr>
            <w:r w:rsidRPr="009915D1">
              <w:rPr>
                <w:rFonts w:hint="eastAsia"/>
                <w:i/>
                <w:iCs/>
              </w:rPr>
              <w:t xml:space="preserve">For shocks G-, M-, MS- shocks, see the corresponding </w:t>
            </w:r>
            <w:proofErr w:type="spellStart"/>
            <w:r w:rsidRPr="009915D1">
              <w:rPr>
                <w:rFonts w:hint="eastAsia"/>
                <w:i/>
                <w:iCs/>
              </w:rPr>
              <w:t>png</w:t>
            </w:r>
            <w:proofErr w:type="spellEnd"/>
            <w:r w:rsidRPr="009915D1">
              <w:rPr>
                <w:rFonts w:hint="eastAsia"/>
                <w:i/>
                <w:iCs/>
              </w:rPr>
              <w:t xml:space="preserve"> files.</w:t>
            </w:r>
          </w:p>
        </w:tc>
      </w:tr>
      <w:tr w:rsidR="004A09FF" w14:paraId="1188CB7C" w14:textId="77777777" w:rsidTr="004A09FF">
        <w:tc>
          <w:tcPr>
            <w:tcW w:w="9350" w:type="dxa"/>
          </w:tcPr>
          <w:p w14:paraId="33A08E41" w14:textId="77777777" w:rsidR="004A09FF" w:rsidRPr="004B0162" w:rsidRDefault="004A09FF">
            <w:pPr>
              <w:rPr>
                <w:b/>
                <w:bCs/>
              </w:rPr>
            </w:pPr>
            <w:r w:rsidRPr="004B0162">
              <w:rPr>
                <w:rFonts w:hint="eastAsia"/>
                <w:b/>
                <w:bCs/>
              </w:rPr>
              <w:lastRenderedPageBreak/>
              <w:t>Discussion</w:t>
            </w:r>
          </w:p>
          <w:p w14:paraId="74C6BA52" w14:textId="53A2FC53" w:rsidR="00EC4C61" w:rsidRDefault="004B0162">
            <w:pPr>
              <w:rPr>
                <w:rFonts w:hint="eastAsia"/>
              </w:rPr>
            </w:pPr>
            <w:r w:rsidRPr="00255673">
              <w:rPr>
                <w:rFonts w:hint="eastAsia"/>
                <w:b/>
                <w:bCs/>
                <w:u w:val="single"/>
              </w:rPr>
              <w:t>[Habit]</w:t>
            </w:r>
            <w:r>
              <w:rPr>
                <w:rFonts w:hint="eastAsia"/>
              </w:rPr>
              <w:t xml:space="preserve"> </w:t>
            </w:r>
            <w:r w:rsidR="00EC4C61">
              <w:rPr>
                <w:rFonts w:hint="eastAsia"/>
              </w:rPr>
              <w:t xml:space="preserve">When the economy is faced with a one-time positive productivity shock, output rises as expected. In the presence of external habit, this output increase is dampened. As depicted in </w:t>
            </w:r>
            <w:r w:rsidR="00EC4C61">
              <w:t>the</w:t>
            </w:r>
            <w:r w:rsidR="00EC4C61">
              <w:rPr>
                <w:rFonts w:hint="eastAsia"/>
              </w:rPr>
              <w:t xml:space="preserve"> Consumption panel, with stronger external habit effects, the slower the change in consumption demanded. Thus, because the demand-side is slow to adjust (in the presence of external habit), the boon on the supply-side will be </w:t>
            </w:r>
            <w:r w:rsidR="00255673">
              <w:rPr>
                <w:rFonts w:hint="eastAsia"/>
              </w:rPr>
              <w:t xml:space="preserve">muffled. The effect of the TFP shock on investments are amplified </w:t>
            </w:r>
            <w:r w:rsidR="00255673">
              <w:t>because</w:t>
            </w:r>
            <w:r w:rsidR="00255673">
              <w:rPr>
                <w:rFonts w:hint="eastAsia"/>
              </w:rPr>
              <w:t xml:space="preserve"> the productivity shock did increase overall wealth, but the increase in consumption is dampened due to external habits, so the additional wealth </w:t>
            </w:r>
            <w:proofErr w:type="gramStart"/>
            <w:r w:rsidR="00255673">
              <w:rPr>
                <w:rFonts w:hint="eastAsia"/>
              </w:rPr>
              <w:t>are</w:t>
            </w:r>
            <w:proofErr w:type="gramEnd"/>
            <w:r w:rsidR="00255673">
              <w:rPr>
                <w:rFonts w:hint="eastAsia"/>
              </w:rPr>
              <w:t xml:space="preserve"> channeled to capital. Because prices are sticky, there will price levels </w:t>
            </w:r>
            <w:r w:rsidR="00255673">
              <w:t>will</w:t>
            </w:r>
            <w:r w:rsidR="00255673">
              <w:rPr>
                <w:rFonts w:hint="eastAsia"/>
              </w:rPr>
              <w:t xml:space="preserve"> drop initially, then tapering off to steady state. </w:t>
            </w:r>
            <w:r w:rsidR="00EC4C61">
              <w:rPr>
                <w:rFonts w:hint="eastAsia"/>
              </w:rPr>
              <w:t xml:space="preserve"> </w:t>
            </w:r>
          </w:p>
          <w:p w14:paraId="5EDAD051" w14:textId="77777777" w:rsidR="00EC4C61" w:rsidRDefault="00EC4C61"/>
          <w:p w14:paraId="0A950260" w14:textId="1A1F0A30" w:rsidR="004B0162" w:rsidRDefault="00255673">
            <w:pPr>
              <w:rPr>
                <w:rFonts w:hint="eastAsia"/>
              </w:rPr>
            </w:pPr>
            <w:r w:rsidRPr="003F2134">
              <w:rPr>
                <w:rFonts w:hint="eastAsia"/>
                <w:b/>
                <w:bCs/>
              </w:rPr>
              <w:t>[Index</w:t>
            </w:r>
            <w:r w:rsidR="003F2134" w:rsidRPr="003F2134">
              <w:rPr>
                <w:rFonts w:hint="eastAsia"/>
                <w:b/>
                <w:bCs/>
              </w:rPr>
              <w:t>ing</w:t>
            </w:r>
            <w:r w:rsidRPr="003F2134">
              <w:rPr>
                <w:rFonts w:hint="eastAsia"/>
                <w:b/>
                <w:bCs/>
              </w:rPr>
              <w:t>]</w:t>
            </w:r>
            <w:r>
              <w:rPr>
                <w:rFonts w:hint="eastAsia"/>
              </w:rPr>
              <w:t xml:space="preserve"> The indexing model adjusts prices in the economy by a predetermined rule of past interest rates. Intuitively, this family of models will introduce additional nominal rigidities in the economy as prices are even slower to adjust. </w:t>
            </w:r>
            <w:r w:rsidR="003F2134" w:rsidRPr="003F2134">
              <w:t xml:space="preserve">The positive TFP shock increases output, as productivity gains mean the economy can produce more with the same inputs. It should be noted that with larger indexing parameters, the output lines are slightly shifted right (meaning slightly lagged </w:t>
            </w:r>
            <w:proofErr w:type="spellStart"/>
            <w:r w:rsidR="003F2134" w:rsidRPr="003F2134">
              <w:t>reponses</w:t>
            </w:r>
            <w:proofErr w:type="spellEnd"/>
            <w:r w:rsidR="003F2134" w:rsidRPr="003F2134">
              <w:t xml:space="preserve">) and that peaks are higher with larger indexing parameters. With perfectly flexible prices, the shock will pass through to the economy and the investment levels will adjust immediately to the higher TFP (firms invest more due to the expected profitability of new capital in a more productive economy). The presence of price indexing may affect the cost of investment and the reduce rate at which it adjusts, leading to a more sustained positive impact from the TFP shock. Overall, we see that price indexing leads to a more "sustained" response.  </w:t>
            </w:r>
          </w:p>
        </w:tc>
      </w:tr>
    </w:tbl>
    <w:p w14:paraId="3CEE109B" w14:textId="77777777" w:rsidR="004A09FF" w:rsidRDefault="004A09FF"/>
    <w:p w14:paraId="30C069CB" w14:textId="2E5231C6" w:rsidR="004A09FF" w:rsidRDefault="004A09FF" w:rsidP="003F2134">
      <w:pPr>
        <w:pStyle w:val="Heading3"/>
      </w:pPr>
      <w:r>
        <w:rPr>
          <w:rFonts w:hint="eastAsia"/>
        </w:rPr>
        <w:t>RBC vs NK</w:t>
      </w:r>
    </w:p>
    <w:tbl>
      <w:tblPr>
        <w:tblStyle w:val="TableGrid"/>
        <w:tblW w:w="0" w:type="auto"/>
        <w:tblLook w:val="04A0" w:firstRow="1" w:lastRow="0" w:firstColumn="1" w:lastColumn="0" w:noHBand="0" w:noVBand="1"/>
      </w:tblPr>
      <w:tblGrid>
        <w:gridCol w:w="9350"/>
      </w:tblGrid>
      <w:tr w:rsidR="004A09FF" w14:paraId="7D91AFA3" w14:textId="77777777" w:rsidTr="00172BBF">
        <w:tc>
          <w:tcPr>
            <w:tcW w:w="9350" w:type="dxa"/>
          </w:tcPr>
          <w:p w14:paraId="72AB2EA5" w14:textId="77777777" w:rsidR="004A09FF" w:rsidRDefault="004A09FF" w:rsidP="00172BBF">
            <w:r>
              <w:rPr>
                <w:rFonts w:hint="eastAsia"/>
              </w:rPr>
              <w:t>Do</w:t>
            </w:r>
          </w:p>
          <w:p w14:paraId="2D1C0AAA" w14:textId="77777777" w:rsidR="004A09FF" w:rsidRDefault="004A09FF" w:rsidP="00777358">
            <w:pPr>
              <w:pStyle w:val="ListParagraph"/>
              <w:numPr>
                <w:ilvl w:val="0"/>
                <w:numId w:val="2"/>
              </w:numPr>
            </w:pPr>
            <w:r>
              <w:rPr>
                <w:rFonts w:hint="eastAsia"/>
              </w:rPr>
              <w:t>[</w:t>
            </w:r>
            <w:r>
              <w:t>“</w:t>
            </w:r>
            <w:r>
              <w:rPr>
                <w:rFonts w:hint="eastAsia"/>
              </w:rPr>
              <w:t>RBC</w:t>
            </w:r>
            <w:r>
              <w:t>”</w:t>
            </w:r>
            <w:r>
              <w:rPr>
                <w:rFonts w:hint="eastAsia"/>
              </w:rPr>
              <w:t>] R</w:t>
            </w:r>
            <w:r>
              <w:t>u</w:t>
            </w:r>
            <w:r>
              <w:rPr>
                <w:rFonts w:hint="eastAsia"/>
              </w:rPr>
              <w:t xml:space="preserve">n </w:t>
            </w:r>
            <w:r>
              <w:t>‘</w:t>
            </w:r>
            <w:r w:rsidRPr="004A09FF">
              <w:rPr>
                <w:rFonts w:hint="eastAsia"/>
                <w:color w:val="00B0F0"/>
              </w:rPr>
              <w:t>NK.mod</w:t>
            </w:r>
            <w:r>
              <w:t>’</w:t>
            </w:r>
            <w:r>
              <w:rPr>
                <w:rFonts w:hint="eastAsia"/>
              </w:rPr>
              <w:t xml:space="preserve"> with </w:t>
            </w:r>
            <w:r w:rsidRPr="004A09FF">
              <w:rPr>
                <w:rFonts w:hint="eastAsia"/>
                <w:i/>
                <w:iCs/>
              </w:rPr>
              <w:t>flexi=1</w:t>
            </w:r>
            <w:r>
              <w:rPr>
                <w:rFonts w:hint="eastAsia"/>
              </w:rPr>
              <w:t xml:space="preserve"> </w:t>
            </w:r>
            <w:r w:rsidRPr="004A09FF">
              <w:rPr>
                <w:rFonts w:hint="eastAsia"/>
                <w:i/>
                <w:iCs/>
              </w:rPr>
              <w:t>(line 39)</w:t>
            </w:r>
          </w:p>
          <w:p w14:paraId="3A6C1B6A" w14:textId="243137B7" w:rsidR="004A09FF" w:rsidRDefault="004A09FF" w:rsidP="00777358">
            <w:pPr>
              <w:pStyle w:val="ListParagraph"/>
              <w:numPr>
                <w:ilvl w:val="1"/>
                <w:numId w:val="2"/>
              </w:numPr>
            </w:pPr>
            <w:r>
              <w:rPr>
                <w:rFonts w:hint="eastAsia"/>
              </w:rPr>
              <w:t xml:space="preserve">Set </w:t>
            </w:r>
            <m:oMath>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 xml:space="preserve">,  </m:t>
                  </m:r>
                  <m:r>
                    <w:rPr>
                      <w:rFonts w:ascii="Cambria Math" w:hAnsi="Cambria Math"/>
                    </w:rPr>
                    <m:t>2.0,  4.0</m:t>
                  </m:r>
                </m:e>
              </m:d>
            </m:oMath>
          </w:p>
          <w:p w14:paraId="42137A39" w14:textId="77777777" w:rsidR="004A09FF" w:rsidRPr="003F2134" w:rsidRDefault="004A09FF" w:rsidP="00777358">
            <w:pPr>
              <w:pStyle w:val="ListParagraph"/>
              <w:numPr>
                <w:ilvl w:val="0"/>
                <w:numId w:val="2"/>
              </w:numPr>
              <w:rPr>
                <w:i/>
                <w:iCs/>
              </w:rPr>
            </w:pPr>
            <w:r>
              <w:rPr>
                <w:rFonts w:hint="eastAsia"/>
              </w:rPr>
              <w:t xml:space="preserve">[NK] Run </w:t>
            </w:r>
            <w:r>
              <w:t>‘</w:t>
            </w:r>
            <w:r w:rsidRPr="004A09FF">
              <w:rPr>
                <w:rFonts w:hint="eastAsia"/>
                <w:color w:val="00B0F0"/>
              </w:rPr>
              <w:t>NK.mod</w:t>
            </w:r>
            <w:r>
              <w:t>’</w:t>
            </w:r>
            <w:r>
              <w:rPr>
                <w:rFonts w:hint="eastAsia"/>
              </w:rPr>
              <w:t xml:space="preserve"> with </w:t>
            </w:r>
            <w:r w:rsidRPr="003F2134">
              <w:rPr>
                <w:rFonts w:hint="eastAsia"/>
                <w:i/>
                <w:iCs/>
              </w:rPr>
              <w:t>flexi=0</w:t>
            </w:r>
          </w:p>
          <w:p w14:paraId="5E18EEE5" w14:textId="1C59D33D" w:rsidR="00777358" w:rsidRDefault="00777358" w:rsidP="00777358">
            <w:pPr>
              <w:pStyle w:val="ListParagraph"/>
              <w:numPr>
                <w:ilvl w:val="1"/>
                <w:numId w:val="2"/>
              </w:numPr>
              <w:rPr>
                <w:rFonts w:hint="eastAsia"/>
              </w:rPr>
            </w:pPr>
            <w:r>
              <w:rPr>
                <w:rFonts w:hint="eastAsia"/>
              </w:rPr>
              <w:t xml:space="preserve">Set </w:t>
            </w:r>
            <m:oMath>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0.1,  2.0,  4.0</m:t>
                  </m:r>
                </m:e>
              </m:d>
            </m:oMath>
          </w:p>
        </w:tc>
      </w:tr>
      <w:tr w:rsidR="004A09FF" w14:paraId="3DA98CE9" w14:textId="77777777" w:rsidTr="00172BBF">
        <w:tc>
          <w:tcPr>
            <w:tcW w:w="9350" w:type="dxa"/>
          </w:tcPr>
          <w:p w14:paraId="06554685" w14:textId="77777777" w:rsidR="004A09FF" w:rsidRDefault="004A09FF" w:rsidP="00172BBF">
            <w:r>
              <w:rPr>
                <w:rFonts w:hint="eastAsia"/>
              </w:rPr>
              <w:t>Results</w:t>
            </w:r>
          </w:p>
          <w:p w14:paraId="38786207" w14:textId="77777777" w:rsidR="00777358" w:rsidRDefault="003F2134" w:rsidP="00777358">
            <w:pPr>
              <w:pStyle w:val="ListParagraph"/>
              <w:numPr>
                <w:ilvl w:val="1"/>
                <w:numId w:val="2"/>
              </w:numPr>
            </w:pPr>
            <w:r>
              <w:rPr>
                <w:rFonts w:hint="eastAsia"/>
              </w:rPr>
              <w:t>&lt;RBC_TFP.png&gt;</w:t>
            </w:r>
          </w:p>
          <w:p w14:paraId="0AFC2CA9" w14:textId="4099D9F8" w:rsidR="003F2134" w:rsidRDefault="003F2134" w:rsidP="003F2134">
            <w:pPr>
              <w:pStyle w:val="ListParagraph"/>
              <w:ind w:left="1080"/>
              <w:jc w:val="center"/>
              <w:rPr>
                <w:rFonts w:hint="eastAsia"/>
              </w:rPr>
            </w:pPr>
            <w:r>
              <w:rPr>
                <w:rFonts w:hint="eastAsia"/>
                <w:noProof/>
              </w:rPr>
              <w:drawing>
                <wp:inline distT="0" distB="0" distL="0" distR="0" wp14:anchorId="694BE405" wp14:editId="02A1B16D">
                  <wp:extent cx="2489809" cy="1982005"/>
                  <wp:effectExtent l="0" t="0" r="0" b="0"/>
                  <wp:docPr id="1350721301" name="Picture 4"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21301" name="Picture 4" descr="A group of graphs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8296" cy="1988761"/>
                          </a:xfrm>
                          <a:prstGeom prst="rect">
                            <a:avLst/>
                          </a:prstGeom>
                        </pic:spPr>
                      </pic:pic>
                    </a:graphicData>
                  </a:graphic>
                </wp:inline>
              </w:drawing>
            </w:r>
          </w:p>
          <w:p w14:paraId="10902012" w14:textId="77777777" w:rsidR="003F2134" w:rsidRDefault="003F2134" w:rsidP="00777358">
            <w:pPr>
              <w:pStyle w:val="ListParagraph"/>
              <w:numPr>
                <w:ilvl w:val="1"/>
                <w:numId w:val="2"/>
              </w:numPr>
            </w:pPr>
            <w:r>
              <w:rPr>
                <w:rFonts w:hint="eastAsia"/>
              </w:rPr>
              <w:lastRenderedPageBreak/>
              <w:t>&lt;NK_TFP.png&gt;</w:t>
            </w:r>
          </w:p>
          <w:p w14:paraId="206DC868" w14:textId="6130D4AC" w:rsidR="003F2134" w:rsidRDefault="002865F9" w:rsidP="00912FEB">
            <w:pPr>
              <w:jc w:val="center"/>
              <w:rPr>
                <w:rFonts w:hint="eastAsia"/>
              </w:rPr>
            </w:pPr>
            <w:r>
              <w:rPr>
                <w:rFonts w:hint="eastAsia"/>
                <w:noProof/>
              </w:rPr>
              <w:drawing>
                <wp:inline distT="0" distB="0" distL="0" distR="0" wp14:anchorId="295BB9E8" wp14:editId="02397EFC">
                  <wp:extent cx="4510389" cy="3590482"/>
                  <wp:effectExtent l="0" t="0" r="0" b="3810"/>
                  <wp:docPr id="2075325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25507" name="Picture 20753255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6985" cy="3603693"/>
                          </a:xfrm>
                          <a:prstGeom prst="rect">
                            <a:avLst/>
                          </a:prstGeom>
                        </pic:spPr>
                      </pic:pic>
                    </a:graphicData>
                  </a:graphic>
                </wp:inline>
              </w:drawing>
            </w:r>
          </w:p>
          <w:p w14:paraId="590C085C" w14:textId="61941514" w:rsidR="003F2134" w:rsidRPr="003F2134" w:rsidRDefault="003F2134" w:rsidP="00777358">
            <w:pPr>
              <w:pStyle w:val="ListParagraph"/>
              <w:numPr>
                <w:ilvl w:val="1"/>
                <w:numId w:val="2"/>
              </w:numPr>
              <w:rPr>
                <w:rFonts w:hint="eastAsia"/>
                <w:i/>
                <w:iCs/>
              </w:rPr>
            </w:pPr>
            <w:r w:rsidRPr="003F2134">
              <w:rPr>
                <w:i/>
                <w:iCs/>
              </w:rPr>
              <w:t>F</w:t>
            </w:r>
            <w:r w:rsidRPr="003F2134">
              <w:rPr>
                <w:rFonts w:hint="eastAsia"/>
                <w:i/>
                <w:iCs/>
              </w:rPr>
              <w:t xml:space="preserve">or RBC-G/M/MS and NK-G/M/MS see </w:t>
            </w:r>
            <w:r w:rsidRPr="003F2134">
              <w:rPr>
                <w:rFonts w:hint="eastAsia"/>
                <w:i/>
                <w:iCs/>
              </w:rPr>
              <w:t>corresponding</w:t>
            </w:r>
            <w:r w:rsidRPr="003F2134">
              <w:rPr>
                <w:rFonts w:hint="eastAsia"/>
                <w:i/>
                <w:iCs/>
              </w:rPr>
              <w:t xml:space="preserve"> </w:t>
            </w:r>
            <w:proofErr w:type="spellStart"/>
            <w:r w:rsidRPr="003F2134">
              <w:rPr>
                <w:rFonts w:hint="eastAsia"/>
                <w:i/>
                <w:iCs/>
              </w:rPr>
              <w:t>png</w:t>
            </w:r>
            <w:proofErr w:type="spellEnd"/>
            <w:r w:rsidRPr="003F2134">
              <w:rPr>
                <w:rFonts w:hint="eastAsia"/>
                <w:i/>
                <w:iCs/>
              </w:rPr>
              <w:t xml:space="preserve"> files.</w:t>
            </w:r>
          </w:p>
        </w:tc>
      </w:tr>
      <w:tr w:rsidR="004A09FF" w14:paraId="1BCD7514" w14:textId="77777777" w:rsidTr="00172BBF">
        <w:tc>
          <w:tcPr>
            <w:tcW w:w="9350" w:type="dxa"/>
          </w:tcPr>
          <w:p w14:paraId="14A92E77" w14:textId="77777777" w:rsidR="004A09FF" w:rsidRPr="002865F9" w:rsidRDefault="004A09FF" w:rsidP="00172BBF">
            <w:pPr>
              <w:rPr>
                <w:b/>
                <w:bCs/>
              </w:rPr>
            </w:pPr>
            <w:r w:rsidRPr="002865F9">
              <w:rPr>
                <w:rFonts w:hint="eastAsia"/>
                <w:b/>
                <w:bCs/>
              </w:rPr>
              <w:lastRenderedPageBreak/>
              <w:t>Discussion</w:t>
            </w:r>
          </w:p>
          <w:p w14:paraId="45E7C6A6" w14:textId="77777777" w:rsidR="002865F9" w:rsidRDefault="002865F9" w:rsidP="00172BBF">
            <w:r>
              <w:rPr>
                <w:rFonts w:hint="eastAsia"/>
              </w:rPr>
              <w:t>[</w:t>
            </w:r>
            <w:r w:rsidRPr="002865F9">
              <w:rPr>
                <w:rFonts w:hint="eastAsia"/>
                <w:b/>
                <w:bCs/>
              </w:rPr>
              <w:t>RBC with Adj Costs</w:t>
            </w:r>
            <w:r>
              <w:rPr>
                <w:rFonts w:hint="eastAsia"/>
              </w:rPr>
              <w:t xml:space="preserve">] </w:t>
            </w:r>
            <w:r w:rsidRPr="002865F9">
              <w:t xml:space="preserve">The response of output to the TFP shock is positive across all levels of adjustment cost, as expected in an RBC model. Higher adjustment costs slightly dampen the peak of the output </w:t>
            </w:r>
            <w:proofErr w:type="gramStart"/>
            <w:r w:rsidRPr="002865F9">
              <w:t>response, since</w:t>
            </w:r>
            <w:proofErr w:type="gramEnd"/>
            <w:r w:rsidRPr="002865F9">
              <w:t xml:space="preserve"> firms face greater costs when adjusting their capital stocks to the new productivity level. Consumption initially rises in response to the positive TFP shock but shows a bit of overshooting before converging back to the steady state. The presence of higher adjustment costs seems to delay the peak response of consumption slightly, indicating that households may be more cautious with consumption when it's costly for firms to adjust capital. The investment response is notably more sensitive to adjustment costs. Higher adjustment costs lead to a more muted and delayed peak response, as firms are slower to adjust their capital stock in response to the TFP shock. Higher productivity encourages more labor input. However, the presence of high adjustment costs may dampen the response slightly, as the full benefits of increased productivity are not immediately realized due to capital stock inflexibility. There's a sharp decline in the expected real interest rate following the TFP shock, which may reflect an immediate increase in savings as households anticipate future income from higher productivity. Higher adjustment costs do not significantly alter the qualitative response but may affect the quantitative magnitude slightly. The inflation response is interesting, showing a brief deflationary effect following the TFP shock. This could be due to an increase in the supply of goods that outpaces demand or a drop in the nominal interest rate. Higher adjustment costs accentuate the deflationary pressure slightly, potentially because slower investment adjustments lead to a lag in </w:t>
            </w:r>
            <w:r w:rsidRPr="002865F9">
              <w:lastRenderedPageBreak/>
              <w:t>capital stock expansion, affecting price levels. Overall, higher adjustment costs generally lead to a more muted and delayed response, as firms and households gradually adjust to the new productivity level.</w:t>
            </w:r>
          </w:p>
          <w:p w14:paraId="4C8859BB" w14:textId="77777777" w:rsidR="002865F9" w:rsidRDefault="002865F9" w:rsidP="00172BBF"/>
          <w:p w14:paraId="5DF220C4" w14:textId="7FAAB9BC" w:rsidR="00912FEB" w:rsidRDefault="00912FEB" w:rsidP="00172BBF">
            <w:pPr>
              <w:rPr>
                <w:rFonts w:hint="eastAsia"/>
              </w:rPr>
            </w:pPr>
            <w:r>
              <w:rPr>
                <w:rFonts w:hint="eastAsia"/>
              </w:rPr>
              <w:t>[</w:t>
            </w:r>
            <w:r w:rsidRPr="004C1765">
              <w:rPr>
                <w:rFonts w:hint="eastAsia"/>
                <w:b/>
                <w:bCs/>
              </w:rPr>
              <w:t>New Keynesian</w:t>
            </w:r>
            <w:r>
              <w:rPr>
                <w:rFonts w:hint="eastAsia"/>
              </w:rPr>
              <w:t xml:space="preserve">] </w:t>
            </w:r>
            <w:r w:rsidRPr="00912FEB">
              <w:t>The TFP shock positively influences output, but the extent of the peak and the speed of the return to steady state are influenced by the level of adjustment costs. In comparison to the RBC model, the output response in the NK model is more subdued due to price stickiness, which slows down the adjustment process. Consumption increases in response to the TFP shock, with higher adjustment costs causing a delayed peak. The NK model typically shows more gradual adjustments in consumption due to forward-looking behavior and the presence of price stickiness, unlike the RBC model, where consumption might adjust more rapidly due to the absence of such frictions. Like the RBC model, the NK model shows that investment responds positively to the TFP shock but is dampened by higher adjustment costs. The magnitude of the investment spike in the NK model may be smaller due to the role of monetary policy, which can influence the cost of capital through interest rate adjustments. The nominal interest rate decreases initially and then recovers, reflecting the central bank's policy actions to stabilize prices and output. This is a distinct feature of the NK model, as the RBC model does not include an active monetary policy rule. Overall, the qualitative effects of a pos</w:t>
            </w:r>
            <w:r>
              <w:rPr>
                <w:rFonts w:hint="eastAsia"/>
              </w:rPr>
              <w:t>i</w:t>
            </w:r>
            <w:r w:rsidRPr="00912FEB">
              <w:t xml:space="preserve">tive productivity shock </w:t>
            </w:r>
            <w:proofErr w:type="gramStart"/>
            <w:r w:rsidRPr="00912FEB">
              <w:t>is</w:t>
            </w:r>
            <w:proofErr w:type="gramEnd"/>
            <w:r w:rsidRPr="00912FEB">
              <w:t xml:space="preserve"> very similar in both RBC and NK models. But NK introduces additio</w:t>
            </w:r>
            <w:r>
              <w:rPr>
                <w:rFonts w:hint="eastAsia"/>
              </w:rPr>
              <w:t>nal</w:t>
            </w:r>
            <w:r w:rsidRPr="00912FEB">
              <w:t xml:space="preserve"> dynamics due to price stickiness and monetary policy. These factors tend to moderate and smooth the responses of economic variables, resulting in less volatility compared to the RBC model. Adjustment costs in both models create lags and dampening effects, but these are compounded in the NK framework by the additional frictions and policy responses it includes.</w:t>
            </w:r>
          </w:p>
          <w:p w14:paraId="2C8F982B" w14:textId="25E7494E" w:rsidR="002865F9" w:rsidRDefault="002865F9" w:rsidP="00172BBF">
            <w:pPr>
              <w:rPr>
                <w:rFonts w:hint="eastAsia"/>
              </w:rPr>
            </w:pPr>
            <w:r>
              <w:tab/>
            </w:r>
          </w:p>
        </w:tc>
      </w:tr>
    </w:tbl>
    <w:p w14:paraId="65D9582F" w14:textId="03AF6B1F" w:rsidR="004A09FF" w:rsidRDefault="004A09FF"/>
    <w:p w14:paraId="20727E9E" w14:textId="77777777" w:rsidR="00B83B6B" w:rsidRDefault="00B83B6B">
      <w:pPr>
        <w:rPr>
          <w:rFonts w:hint="eastAsia"/>
        </w:rPr>
      </w:pPr>
    </w:p>
    <w:p w14:paraId="7E9BCD03" w14:textId="77777777" w:rsidR="004C1765" w:rsidRDefault="004C1765">
      <w:pPr>
        <w:rPr>
          <w:rFonts w:eastAsiaTheme="majorEastAsia" w:cstheme="majorBidi"/>
          <w:color w:val="0F4761" w:themeColor="accent1" w:themeShade="BF"/>
          <w:sz w:val="28"/>
          <w:szCs w:val="28"/>
        </w:rPr>
      </w:pPr>
      <w:r>
        <w:br w:type="page"/>
      </w:r>
    </w:p>
    <w:p w14:paraId="12797785" w14:textId="5CC4A286" w:rsidR="004A09FF" w:rsidRDefault="00794EFC" w:rsidP="004C1765">
      <w:pPr>
        <w:pStyle w:val="Heading3"/>
      </w:pPr>
      <w:r>
        <w:rPr>
          <w:rFonts w:hint="eastAsia"/>
        </w:rPr>
        <w:lastRenderedPageBreak/>
        <w:t>Monetary Policy Rules</w:t>
      </w:r>
    </w:p>
    <w:tbl>
      <w:tblPr>
        <w:tblStyle w:val="TableGrid"/>
        <w:tblW w:w="0" w:type="auto"/>
        <w:tblLook w:val="04A0" w:firstRow="1" w:lastRow="0" w:firstColumn="1" w:lastColumn="0" w:noHBand="0" w:noVBand="1"/>
      </w:tblPr>
      <w:tblGrid>
        <w:gridCol w:w="9350"/>
      </w:tblGrid>
      <w:tr w:rsidR="00794EFC" w14:paraId="161A8EE7" w14:textId="77777777" w:rsidTr="00172BBF">
        <w:tc>
          <w:tcPr>
            <w:tcW w:w="9350" w:type="dxa"/>
          </w:tcPr>
          <w:p w14:paraId="64A4DA49" w14:textId="77777777" w:rsidR="00794EFC" w:rsidRDefault="00794EFC" w:rsidP="00172BBF">
            <w:r>
              <w:rPr>
                <w:rFonts w:hint="eastAsia"/>
              </w:rPr>
              <w:t>Do</w:t>
            </w:r>
          </w:p>
          <w:p w14:paraId="23570175" w14:textId="1A58F60B" w:rsidR="00794EFC" w:rsidRDefault="00794EFC" w:rsidP="00794EFC">
            <w:pPr>
              <w:pStyle w:val="ListParagraph"/>
              <w:numPr>
                <w:ilvl w:val="0"/>
                <w:numId w:val="3"/>
              </w:numPr>
            </w:pPr>
            <w:r>
              <w:rPr>
                <w:rFonts w:hint="eastAsia"/>
              </w:rPr>
              <w:t>[</w:t>
            </w:r>
            <w:r>
              <w:t>“</w:t>
            </w:r>
            <w:r>
              <w:rPr>
                <w:rFonts w:hint="eastAsia"/>
              </w:rPr>
              <w:t>Implementable</w:t>
            </w:r>
            <w:r>
              <w:t>”</w:t>
            </w:r>
            <w:r>
              <w:rPr>
                <w:rFonts w:hint="eastAsia"/>
              </w:rPr>
              <w:t>] R</w:t>
            </w:r>
            <w:r>
              <w:t>u</w:t>
            </w:r>
            <w:r>
              <w:rPr>
                <w:rFonts w:hint="eastAsia"/>
              </w:rPr>
              <w:t xml:space="preserve">n </w:t>
            </w:r>
            <w:r>
              <w:t>‘</w:t>
            </w:r>
            <w:r w:rsidRPr="004A09FF">
              <w:rPr>
                <w:rFonts w:hint="eastAsia"/>
                <w:color w:val="00B0F0"/>
              </w:rPr>
              <w:t>NK</w:t>
            </w:r>
            <w:r>
              <w:rPr>
                <w:rFonts w:hint="eastAsia"/>
                <w:color w:val="00B0F0"/>
              </w:rPr>
              <w:t>linear</w:t>
            </w:r>
            <w:r w:rsidRPr="004A09FF">
              <w:rPr>
                <w:rFonts w:hint="eastAsia"/>
                <w:color w:val="00B0F0"/>
              </w:rPr>
              <w:t>.mod</w:t>
            </w:r>
            <w:r>
              <w:t>’</w:t>
            </w:r>
            <w:r>
              <w:rPr>
                <w:rFonts w:hint="eastAsia"/>
              </w:rPr>
              <w:t xml:space="preserve"> with </w:t>
            </w:r>
            <w:r w:rsidRPr="004A09FF">
              <w:rPr>
                <w:rFonts w:hint="eastAsia"/>
                <w:i/>
                <w:iCs/>
              </w:rPr>
              <w:t>flexi=1</w:t>
            </w:r>
            <w:r>
              <w:rPr>
                <w:rFonts w:hint="eastAsia"/>
              </w:rPr>
              <w:t xml:space="preserve"> </w:t>
            </w:r>
            <w:r w:rsidRPr="004A09FF">
              <w:rPr>
                <w:rFonts w:hint="eastAsia"/>
                <w:i/>
                <w:iCs/>
              </w:rPr>
              <w:t>(line 39)</w:t>
            </w:r>
          </w:p>
          <w:p w14:paraId="5BDF9E4C" w14:textId="77777777" w:rsidR="00794EFC" w:rsidRDefault="00794EFC" w:rsidP="00794EFC">
            <w:pPr>
              <w:pStyle w:val="ListParagraph"/>
              <w:numPr>
                <w:ilvl w:val="1"/>
                <w:numId w:val="3"/>
              </w:numPr>
            </w:pPr>
            <w:r>
              <w:rPr>
                <w:rFonts w:hint="eastAsia"/>
              </w:rPr>
              <w:t xml:space="preserve">Set </w:t>
            </w:r>
            <m:oMath>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0.1,  2.0,  4.0</m:t>
                  </m:r>
                </m:e>
              </m:d>
            </m:oMath>
          </w:p>
          <w:p w14:paraId="2CC8BDAD" w14:textId="119D94DE" w:rsidR="00794EFC" w:rsidRDefault="00794EFC" w:rsidP="00794EFC">
            <w:pPr>
              <w:pStyle w:val="ListParagraph"/>
              <w:numPr>
                <w:ilvl w:val="0"/>
                <w:numId w:val="3"/>
              </w:numPr>
            </w:pPr>
            <w:r>
              <w:rPr>
                <w:rFonts w:hint="eastAsia"/>
              </w:rPr>
              <w:t>[</w:t>
            </w:r>
            <w:r>
              <w:rPr>
                <w:rFonts w:hint="eastAsia"/>
              </w:rPr>
              <w:t>Taylor R</w:t>
            </w:r>
            <w:r>
              <w:t>u</w:t>
            </w:r>
            <w:r>
              <w:rPr>
                <w:rFonts w:hint="eastAsia"/>
              </w:rPr>
              <w:t>le</w:t>
            </w:r>
            <w:r>
              <w:rPr>
                <w:rFonts w:hint="eastAsia"/>
              </w:rPr>
              <w:t xml:space="preserve">] Run </w:t>
            </w:r>
            <w:r>
              <w:t>‘</w:t>
            </w:r>
            <w:r w:rsidRPr="004A09FF">
              <w:rPr>
                <w:rFonts w:hint="eastAsia"/>
                <w:color w:val="00B0F0"/>
              </w:rPr>
              <w:t>NK</w:t>
            </w:r>
            <w:r>
              <w:rPr>
                <w:rFonts w:hint="eastAsia"/>
                <w:color w:val="00B0F0"/>
              </w:rPr>
              <w:t>linear</w:t>
            </w:r>
            <w:r w:rsidRPr="004A09FF">
              <w:rPr>
                <w:rFonts w:hint="eastAsia"/>
                <w:color w:val="00B0F0"/>
              </w:rPr>
              <w:t>.mod</w:t>
            </w:r>
            <w:r>
              <w:t>’</w:t>
            </w:r>
            <w:r>
              <w:rPr>
                <w:rFonts w:hint="eastAsia"/>
              </w:rPr>
              <w:t xml:space="preserve"> with flexi=0</w:t>
            </w:r>
          </w:p>
          <w:p w14:paraId="2C215730" w14:textId="77777777" w:rsidR="00794EFC" w:rsidRDefault="00794EFC" w:rsidP="00794EFC">
            <w:pPr>
              <w:pStyle w:val="ListParagraph"/>
              <w:numPr>
                <w:ilvl w:val="1"/>
                <w:numId w:val="3"/>
              </w:numPr>
              <w:rPr>
                <w:rFonts w:hint="eastAsia"/>
              </w:rPr>
            </w:pPr>
            <w:r>
              <w:rPr>
                <w:rFonts w:hint="eastAsia"/>
              </w:rPr>
              <w:t xml:space="preserve">Set </w:t>
            </w:r>
            <m:oMath>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0.1,  2.0,  4.0</m:t>
                  </m:r>
                </m:e>
              </m:d>
            </m:oMath>
          </w:p>
        </w:tc>
      </w:tr>
      <w:tr w:rsidR="00794EFC" w14:paraId="721D33B9" w14:textId="77777777" w:rsidTr="00172BBF">
        <w:tc>
          <w:tcPr>
            <w:tcW w:w="9350" w:type="dxa"/>
          </w:tcPr>
          <w:p w14:paraId="13E8EBD1" w14:textId="77777777" w:rsidR="00794EFC" w:rsidRDefault="00794EFC" w:rsidP="00172BBF">
            <w:r>
              <w:rPr>
                <w:rFonts w:hint="eastAsia"/>
              </w:rPr>
              <w:t>Results</w:t>
            </w:r>
          </w:p>
          <w:p w14:paraId="648C85C9" w14:textId="77777777" w:rsidR="00794EFC" w:rsidRDefault="004C1765" w:rsidP="00794EFC">
            <w:pPr>
              <w:pStyle w:val="ListParagraph"/>
              <w:numPr>
                <w:ilvl w:val="1"/>
                <w:numId w:val="3"/>
              </w:numPr>
            </w:pPr>
            <w:r>
              <w:rPr>
                <w:rFonts w:hint="eastAsia"/>
              </w:rPr>
              <w:t>&lt;rules_TFP.png&gt;</w:t>
            </w:r>
          </w:p>
          <w:p w14:paraId="2D16C1D2" w14:textId="1C740520" w:rsidR="004C1765" w:rsidRDefault="004C1765" w:rsidP="004C1765">
            <w:pPr>
              <w:pStyle w:val="ListParagraph"/>
              <w:ind w:left="360"/>
              <w:jc w:val="center"/>
              <w:rPr>
                <w:rFonts w:hint="eastAsia"/>
              </w:rPr>
            </w:pPr>
            <w:r>
              <w:rPr>
                <w:rFonts w:hint="eastAsia"/>
                <w:noProof/>
              </w:rPr>
              <w:drawing>
                <wp:inline distT="0" distB="0" distL="0" distR="0" wp14:anchorId="29F55665" wp14:editId="274868C2">
                  <wp:extent cx="4688205" cy="3388681"/>
                  <wp:effectExtent l="0" t="0" r="0" b="2540"/>
                  <wp:docPr id="1129660399" name="Picture 6" descr="A graph of the same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60399" name="Picture 6" descr="A graph of the same function&#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3597" b="5603"/>
                          <a:stretch/>
                        </pic:blipFill>
                        <pic:spPr bwMode="auto">
                          <a:xfrm>
                            <a:off x="0" y="0"/>
                            <a:ext cx="4691779" cy="3391264"/>
                          </a:xfrm>
                          <a:prstGeom prst="rect">
                            <a:avLst/>
                          </a:prstGeom>
                          <a:ln>
                            <a:noFill/>
                          </a:ln>
                          <a:extLst>
                            <a:ext uri="{53640926-AAD7-44D8-BBD7-CCE9431645EC}">
                              <a14:shadowObscured xmlns:a14="http://schemas.microsoft.com/office/drawing/2010/main"/>
                            </a:ext>
                          </a:extLst>
                        </pic:spPr>
                      </pic:pic>
                    </a:graphicData>
                  </a:graphic>
                </wp:inline>
              </w:drawing>
            </w:r>
          </w:p>
          <w:p w14:paraId="69AB77BB" w14:textId="764BDEEC" w:rsidR="004C1765" w:rsidRDefault="004C1765" w:rsidP="00794EFC">
            <w:pPr>
              <w:pStyle w:val="ListParagraph"/>
              <w:numPr>
                <w:ilvl w:val="1"/>
                <w:numId w:val="3"/>
              </w:numPr>
              <w:rPr>
                <w:rFonts w:hint="eastAsia"/>
              </w:rPr>
            </w:pPr>
            <w:r w:rsidRPr="003F2134">
              <w:rPr>
                <w:i/>
                <w:iCs/>
              </w:rPr>
              <w:t>F</w:t>
            </w:r>
            <w:r w:rsidRPr="003F2134">
              <w:rPr>
                <w:rFonts w:hint="eastAsia"/>
                <w:i/>
                <w:iCs/>
              </w:rPr>
              <w:t xml:space="preserve">or </w:t>
            </w:r>
            <w:r>
              <w:rPr>
                <w:rFonts w:hint="eastAsia"/>
                <w:i/>
                <w:iCs/>
              </w:rPr>
              <w:t>Rules</w:t>
            </w:r>
            <w:r w:rsidRPr="003F2134">
              <w:rPr>
                <w:rFonts w:hint="eastAsia"/>
                <w:i/>
                <w:iCs/>
              </w:rPr>
              <w:t xml:space="preserve">-G/M/MS corresponding </w:t>
            </w:r>
            <w:proofErr w:type="spellStart"/>
            <w:r w:rsidRPr="003F2134">
              <w:rPr>
                <w:rFonts w:hint="eastAsia"/>
                <w:i/>
                <w:iCs/>
              </w:rPr>
              <w:t>png</w:t>
            </w:r>
            <w:proofErr w:type="spellEnd"/>
            <w:r w:rsidRPr="003F2134">
              <w:rPr>
                <w:rFonts w:hint="eastAsia"/>
                <w:i/>
                <w:iCs/>
              </w:rPr>
              <w:t xml:space="preserve"> f</w:t>
            </w:r>
            <w:r>
              <w:rPr>
                <w:rFonts w:hint="eastAsia"/>
                <w:i/>
                <w:iCs/>
              </w:rPr>
              <w:t>iles.</w:t>
            </w:r>
          </w:p>
        </w:tc>
      </w:tr>
      <w:tr w:rsidR="00794EFC" w14:paraId="34C47E00" w14:textId="77777777" w:rsidTr="00172BBF">
        <w:tc>
          <w:tcPr>
            <w:tcW w:w="9350" w:type="dxa"/>
          </w:tcPr>
          <w:p w14:paraId="58FCD4B2" w14:textId="77777777" w:rsidR="00794EFC" w:rsidRDefault="00794EFC" w:rsidP="00172BBF">
            <w:pPr>
              <w:rPr>
                <w:b/>
                <w:bCs/>
              </w:rPr>
            </w:pPr>
            <w:r w:rsidRPr="004C1765">
              <w:rPr>
                <w:rFonts w:hint="eastAsia"/>
                <w:b/>
                <w:bCs/>
              </w:rPr>
              <w:t>Discussion</w:t>
            </w:r>
          </w:p>
          <w:p w14:paraId="65562489" w14:textId="2A6E101E" w:rsidR="004C1765" w:rsidRPr="004C1765" w:rsidRDefault="004C1765" w:rsidP="00172BBF">
            <w:pPr>
              <w:rPr>
                <w:rFonts w:hint="eastAsia"/>
              </w:rPr>
            </w:pPr>
            <w:r>
              <w:rPr>
                <w:rFonts w:hint="eastAsia"/>
              </w:rPr>
              <w:t xml:space="preserve">In the presence of a positive productivity shock, </w:t>
            </w:r>
            <w:r w:rsidR="00582D0B">
              <w:t>both rules lead to an increase in output, but the Taylor rule appears to produce a slightly less pronounced initial response, which could suggest that the Taylor rule is less aggressive in responding to a TFP shock (due to targeting output gap). Investment spikes in response to the TFP shock under both rules but recovers more smoothly under the implementable rule. This could indicate that the implementable rule may involve more aggressive or nuanced adjustments to stabilize investment fluctuations. Hours worked decrease similarly under both rules. This uniform response suggests that the differences in monetary policy do not significantly influence the labor response to a TFP shock in the short term. The expected real interest rate initially decreases under both rules but recovers faster under the Taylor rule. This suggests that the Taylor rule may lead to a quicker normalization of policy rates after a shock. Overall, the differences between the two rules highlight the trade-offs inherent in monetary policy: the Taylor rule's predictability and responsiveness to inflation and output versus the potentially more complex and tailored approach of an implementable rule that could consider a wider range of economic indicators</w:t>
            </w:r>
            <w:r w:rsidR="00582D0B">
              <w:rPr>
                <w:rFonts w:hint="eastAsia"/>
              </w:rPr>
              <w:t>.</w:t>
            </w:r>
          </w:p>
        </w:tc>
      </w:tr>
    </w:tbl>
    <w:p w14:paraId="68CD8D83" w14:textId="0C0FCAE5" w:rsidR="0047173C" w:rsidRDefault="0047173C" w:rsidP="00582D0B">
      <w:pPr>
        <w:pStyle w:val="Heading3"/>
        <w:rPr>
          <w:rFonts w:hint="eastAsia"/>
        </w:rPr>
      </w:pPr>
      <w:r>
        <w:rPr>
          <w:rFonts w:hint="eastAsia"/>
        </w:rPr>
        <w:lastRenderedPageBreak/>
        <w:t>More Shocks</w:t>
      </w:r>
    </w:p>
    <w:tbl>
      <w:tblPr>
        <w:tblStyle w:val="TableGrid"/>
        <w:tblW w:w="0" w:type="auto"/>
        <w:tblLook w:val="04A0" w:firstRow="1" w:lastRow="0" w:firstColumn="1" w:lastColumn="0" w:noHBand="0" w:noVBand="1"/>
      </w:tblPr>
      <w:tblGrid>
        <w:gridCol w:w="9350"/>
      </w:tblGrid>
      <w:tr w:rsidR="0047173C" w14:paraId="49D474CB" w14:textId="77777777" w:rsidTr="00172BBF">
        <w:tc>
          <w:tcPr>
            <w:tcW w:w="9350" w:type="dxa"/>
          </w:tcPr>
          <w:p w14:paraId="30BABDDF" w14:textId="77777777" w:rsidR="0047173C" w:rsidRDefault="0047173C" w:rsidP="00172BBF">
            <w:r>
              <w:rPr>
                <w:rFonts w:hint="eastAsia"/>
              </w:rPr>
              <w:t>Do</w:t>
            </w:r>
          </w:p>
          <w:p w14:paraId="7069B242" w14:textId="4A4B5B8C" w:rsidR="0047173C" w:rsidRDefault="0047173C" w:rsidP="0047173C">
            <w:pPr>
              <w:pStyle w:val="ListParagraph"/>
              <w:numPr>
                <w:ilvl w:val="0"/>
                <w:numId w:val="5"/>
              </w:numPr>
            </w:pPr>
            <w:r>
              <w:rPr>
                <w:rFonts w:hint="eastAsia"/>
              </w:rPr>
              <w:t xml:space="preserve">Define endogenous variables PS and </w:t>
            </w:r>
            <w:proofErr w:type="gramStart"/>
            <w:r>
              <w:rPr>
                <w:rFonts w:hint="eastAsia"/>
              </w:rPr>
              <w:t>IS;</w:t>
            </w:r>
            <w:proofErr w:type="gramEnd"/>
          </w:p>
          <w:p w14:paraId="15EFCBCF" w14:textId="2FB24674" w:rsidR="0047173C" w:rsidRDefault="0047173C" w:rsidP="0047173C">
            <w:pPr>
              <w:pStyle w:val="ListParagraph"/>
              <w:numPr>
                <w:ilvl w:val="0"/>
                <w:numId w:val="5"/>
              </w:numPr>
            </w:pPr>
            <w:r>
              <w:rPr>
                <w:rFonts w:hint="eastAsia"/>
              </w:rPr>
              <w:t xml:space="preserve">Define </w:t>
            </w:r>
            <w:r w:rsidR="009158A1">
              <w:rPr>
                <w:rFonts w:hint="eastAsia"/>
              </w:rPr>
              <w:t xml:space="preserve">persistence and variance </w:t>
            </w:r>
            <w:proofErr w:type="gramStart"/>
            <w:r>
              <w:rPr>
                <w:rFonts w:hint="eastAsia"/>
              </w:rPr>
              <w:t>parameters</w:t>
            </w:r>
            <w:r w:rsidR="009158A1">
              <w:rPr>
                <w:rFonts w:hint="eastAsia"/>
              </w:rPr>
              <w:t>;</w:t>
            </w:r>
            <w:proofErr w:type="gramEnd"/>
          </w:p>
          <w:p w14:paraId="4D2BC4E3" w14:textId="4E909214" w:rsidR="0047173C" w:rsidRDefault="009158A1" w:rsidP="009158A1">
            <w:pPr>
              <w:pStyle w:val="ListParagraph"/>
              <w:numPr>
                <w:ilvl w:val="0"/>
                <w:numId w:val="5"/>
              </w:numPr>
              <w:rPr>
                <w:rFonts w:hint="eastAsia"/>
              </w:rPr>
            </w:pPr>
            <w:r>
              <w:rPr>
                <w:rFonts w:hint="eastAsia"/>
              </w:rPr>
              <w:t xml:space="preserve">Set parameter values and steady state values for PS and </w:t>
            </w:r>
            <w:proofErr w:type="gramStart"/>
            <w:r>
              <w:rPr>
                <w:rFonts w:hint="eastAsia"/>
              </w:rPr>
              <w:t>IS;</w:t>
            </w:r>
            <w:proofErr w:type="gramEnd"/>
            <w:r>
              <w:rPr>
                <w:rFonts w:hint="eastAsia"/>
              </w:rPr>
              <w:t xml:space="preserve"> </w:t>
            </w:r>
          </w:p>
          <w:p w14:paraId="34EC523E" w14:textId="7DCFBF96" w:rsidR="0047173C" w:rsidRDefault="009158A1" w:rsidP="0047173C">
            <w:pPr>
              <w:pStyle w:val="ListParagraph"/>
              <w:numPr>
                <w:ilvl w:val="0"/>
                <w:numId w:val="5"/>
              </w:numPr>
            </w:pPr>
            <w:r>
              <w:rPr>
                <w:rFonts w:hint="eastAsia"/>
              </w:rPr>
              <w:t>Revise model equations (multiplicative</w:t>
            </w:r>
            <w:proofErr w:type="gramStart"/>
            <w:r>
              <w:rPr>
                <w:rFonts w:hint="eastAsia"/>
              </w:rPr>
              <w:t>);</w:t>
            </w:r>
            <w:proofErr w:type="gramEnd"/>
          </w:p>
          <w:p w14:paraId="5F43DF25" w14:textId="65192FD5" w:rsidR="009158A1" w:rsidRDefault="009158A1" w:rsidP="0047173C">
            <w:pPr>
              <w:pStyle w:val="ListParagraph"/>
              <w:numPr>
                <w:ilvl w:val="0"/>
                <w:numId w:val="5"/>
              </w:numPr>
              <w:rPr>
                <w:rFonts w:hint="eastAsia"/>
              </w:rPr>
            </w:pPr>
            <w:r>
              <w:rPr>
                <w:rFonts w:hint="eastAsia"/>
              </w:rPr>
              <w:t>Revise steady state equations (no change).</w:t>
            </w:r>
          </w:p>
        </w:tc>
      </w:tr>
      <w:tr w:rsidR="0047173C" w14:paraId="32EBD6DF" w14:textId="77777777" w:rsidTr="00172BBF">
        <w:tc>
          <w:tcPr>
            <w:tcW w:w="9350" w:type="dxa"/>
          </w:tcPr>
          <w:p w14:paraId="76916E3A" w14:textId="77777777" w:rsidR="0047173C" w:rsidRDefault="0047173C" w:rsidP="00172BBF">
            <w:r>
              <w:rPr>
                <w:rFonts w:hint="eastAsia"/>
              </w:rPr>
              <w:t>Results</w:t>
            </w:r>
          </w:p>
          <w:p w14:paraId="066CD6AB" w14:textId="77777777" w:rsidR="0047173C" w:rsidRDefault="00582D0B" w:rsidP="0047173C">
            <w:pPr>
              <w:pStyle w:val="ListParagraph"/>
              <w:numPr>
                <w:ilvl w:val="1"/>
                <w:numId w:val="4"/>
              </w:numPr>
            </w:pPr>
            <w:r>
              <w:rPr>
                <w:rFonts w:hint="eastAsia"/>
              </w:rPr>
              <w:t>&lt;moreShocks_PreferenceShock.png&gt;</w:t>
            </w:r>
          </w:p>
          <w:p w14:paraId="18746657" w14:textId="2E77A4DA" w:rsidR="00582D0B" w:rsidRDefault="007D2EA2" w:rsidP="007D2EA2">
            <w:pPr>
              <w:jc w:val="center"/>
              <w:rPr>
                <w:rFonts w:hint="eastAsia"/>
              </w:rPr>
            </w:pPr>
            <w:r>
              <w:rPr>
                <w:rFonts w:hint="eastAsia"/>
                <w:noProof/>
              </w:rPr>
              <w:drawing>
                <wp:inline distT="0" distB="0" distL="0" distR="0" wp14:anchorId="3EFC07A7" wp14:editId="2D15D972">
                  <wp:extent cx="3962398" cy="3154255"/>
                  <wp:effectExtent l="0" t="0" r="635" b="0"/>
                  <wp:docPr id="1951250170"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50170" name="Picture 8" descr="A graph of a func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9203" cy="3159672"/>
                          </a:xfrm>
                          <a:prstGeom prst="rect">
                            <a:avLst/>
                          </a:prstGeom>
                        </pic:spPr>
                      </pic:pic>
                    </a:graphicData>
                  </a:graphic>
                </wp:inline>
              </w:drawing>
            </w:r>
          </w:p>
          <w:p w14:paraId="238B909E" w14:textId="77777777" w:rsidR="00582D0B" w:rsidRDefault="00582D0B" w:rsidP="00582D0B">
            <w:pPr>
              <w:pStyle w:val="ListParagraph"/>
              <w:numPr>
                <w:ilvl w:val="1"/>
                <w:numId w:val="4"/>
              </w:numPr>
            </w:pPr>
            <w:r>
              <w:rPr>
                <w:rFonts w:hint="eastAsia"/>
              </w:rPr>
              <w:t>&lt;moreShocks_</w:t>
            </w:r>
            <w:r>
              <w:rPr>
                <w:rFonts w:hint="eastAsia"/>
              </w:rPr>
              <w:t>Investment</w:t>
            </w:r>
            <w:r>
              <w:rPr>
                <w:rFonts w:hint="eastAsia"/>
              </w:rPr>
              <w:t>Shock.png&gt;</w:t>
            </w:r>
          </w:p>
          <w:p w14:paraId="443EA925" w14:textId="59BD6FDE" w:rsidR="00582D0B" w:rsidRDefault="00582D0B" w:rsidP="00582D0B">
            <w:pPr>
              <w:jc w:val="center"/>
              <w:rPr>
                <w:rFonts w:hint="eastAsia"/>
              </w:rPr>
            </w:pPr>
            <w:r>
              <w:rPr>
                <w:rFonts w:hint="eastAsia"/>
                <w:noProof/>
              </w:rPr>
              <w:lastRenderedPageBreak/>
              <w:drawing>
                <wp:inline distT="0" distB="0" distL="0" distR="0" wp14:anchorId="5379844B" wp14:editId="47244F24">
                  <wp:extent cx="4289086" cy="3414314"/>
                  <wp:effectExtent l="0" t="0" r="3810" b="2540"/>
                  <wp:docPr id="258517289"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7289" name="Picture 7" descr="A graph of a func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6832" cy="3420480"/>
                          </a:xfrm>
                          <a:prstGeom prst="rect">
                            <a:avLst/>
                          </a:prstGeom>
                        </pic:spPr>
                      </pic:pic>
                    </a:graphicData>
                  </a:graphic>
                </wp:inline>
              </w:drawing>
            </w:r>
          </w:p>
        </w:tc>
      </w:tr>
      <w:tr w:rsidR="0047173C" w14:paraId="173B050A" w14:textId="77777777" w:rsidTr="00172BBF">
        <w:tc>
          <w:tcPr>
            <w:tcW w:w="9350" w:type="dxa"/>
          </w:tcPr>
          <w:p w14:paraId="7B39BD5A" w14:textId="1E0940F6" w:rsidR="0047173C" w:rsidRDefault="0099776D" w:rsidP="00172BBF">
            <w:pPr>
              <w:rPr>
                <w:rFonts w:hint="eastAsia"/>
              </w:rPr>
            </w:pPr>
            <w:r>
              <w:rPr>
                <w:rFonts w:hint="eastAsia"/>
              </w:rPr>
              <w:lastRenderedPageBreak/>
              <w:t>Explanation.</w:t>
            </w:r>
          </w:p>
          <w:p w14:paraId="46037B14" w14:textId="77777777" w:rsidR="007D2EA2" w:rsidRDefault="007D2EA2" w:rsidP="00172BBF"/>
          <w:p w14:paraId="1C9EE81B" w14:textId="634D5DC2" w:rsidR="007D2EA2" w:rsidRDefault="007D2EA2" w:rsidP="00172BBF">
            <w:pPr>
              <w:rPr>
                <w:rFonts w:hint="eastAsia"/>
              </w:rPr>
            </w:pPr>
            <w:r>
              <w:rPr>
                <w:rFonts w:hint="eastAsia"/>
              </w:rPr>
              <w:t>The figure</w:t>
            </w:r>
            <w:r w:rsidR="00021B40">
              <w:rPr>
                <w:rFonts w:hint="eastAsia"/>
              </w:rPr>
              <w:t>s</w:t>
            </w:r>
            <w:r>
              <w:rPr>
                <w:rFonts w:hint="eastAsia"/>
              </w:rPr>
              <w:t xml:space="preserve"> show the multiplicative preference shock</w:t>
            </w:r>
            <w:r w:rsidR="00021B40">
              <w:rPr>
                <w:rFonts w:hint="eastAsia"/>
              </w:rPr>
              <w:t xml:space="preserve"> and investment shock</w:t>
            </w:r>
            <w:r>
              <w:rPr>
                <w:rFonts w:hint="eastAsia"/>
              </w:rPr>
              <w:t xml:space="preserve">. The persistence of </w:t>
            </w:r>
            <w:r>
              <w:t>the</w:t>
            </w:r>
            <w:r>
              <w:rPr>
                <w:rFonts w:hint="eastAsia"/>
              </w:rPr>
              <w:t xml:space="preserve"> preference shock</w:t>
            </w:r>
            <w:r w:rsidR="00BA027B">
              <w:rPr>
                <w:rFonts w:hint="eastAsia"/>
              </w:rPr>
              <w:t>s</w:t>
            </w:r>
            <w:r>
              <w:rPr>
                <w:rFonts w:hint="eastAsia"/>
              </w:rPr>
              <w:t xml:space="preserve"> are set at 0.001, 0.500, and 0.999, indicating various levels of persistence in </w:t>
            </w:r>
            <w:r w:rsidR="00021B40">
              <w:rPr>
                <w:rFonts w:hint="eastAsia"/>
              </w:rPr>
              <w:t xml:space="preserve">the respective shocks. </w:t>
            </w:r>
          </w:p>
        </w:tc>
      </w:tr>
    </w:tbl>
    <w:p w14:paraId="440B761A" w14:textId="3A339AFC" w:rsidR="0047173C" w:rsidRDefault="0047173C">
      <w:pPr>
        <w:rPr>
          <w:rFonts w:hint="eastAsia"/>
        </w:rPr>
      </w:pPr>
    </w:p>
    <w:sectPr w:rsidR="00471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8D3"/>
    <w:multiLevelType w:val="hybridMultilevel"/>
    <w:tmpl w:val="ABA41C32"/>
    <w:lvl w:ilvl="0" w:tplc="5F605D9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CA6035"/>
    <w:multiLevelType w:val="hybridMultilevel"/>
    <w:tmpl w:val="2120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F3E40"/>
    <w:multiLevelType w:val="hybridMultilevel"/>
    <w:tmpl w:val="ABA41C32"/>
    <w:lvl w:ilvl="0" w:tplc="FFFFFFF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73D5943"/>
    <w:multiLevelType w:val="hybridMultilevel"/>
    <w:tmpl w:val="652E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4191A"/>
    <w:multiLevelType w:val="hybridMultilevel"/>
    <w:tmpl w:val="ABA41C32"/>
    <w:lvl w:ilvl="0" w:tplc="FFFFFFF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54262159">
    <w:abstractNumId w:val="3"/>
  </w:num>
  <w:num w:numId="2" w16cid:durableId="2136101851">
    <w:abstractNumId w:val="0"/>
  </w:num>
  <w:num w:numId="3" w16cid:durableId="1104299776">
    <w:abstractNumId w:val="4"/>
  </w:num>
  <w:num w:numId="4" w16cid:durableId="1271398762">
    <w:abstractNumId w:val="2"/>
  </w:num>
  <w:num w:numId="5" w16cid:durableId="451553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FF"/>
    <w:rsid w:val="000103ED"/>
    <w:rsid w:val="00021B40"/>
    <w:rsid w:val="000D2F21"/>
    <w:rsid w:val="000F3D21"/>
    <w:rsid w:val="00161A07"/>
    <w:rsid w:val="00255673"/>
    <w:rsid w:val="002865F9"/>
    <w:rsid w:val="003A3CB5"/>
    <w:rsid w:val="003F2134"/>
    <w:rsid w:val="0047173C"/>
    <w:rsid w:val="004A09FF"/>
    <w:rsid w:val="004B0162"/>
    <w:rsid w:val="004C1765"/>
    <w:rsid w:val="00582D0B"/>
    <w:rsid w:val="0063452F"/>
    <w:rsid w:val="006741CC"/>
    <w:rsid w:val="00777358"/>
    <w:rsid w:val="00794EFC"/>
    <w:rsid w:val="007D2EA2"/>
    <w:rsid w:val="007D72C2"/>
    <w:rsid w:val="00912FEB"/>
    <w:rsid w:val="009158A1"/>
    <w:rsid w:val="00980CAF"/>
    <w:rsid w:val="009915D1"/>
    <w:rsid w:val="0099776D"/>
    <w:rsid w:val="00B83B6B"/>
    <w:rsid w:val="00BA027B"/>
    <w:rsid w:val="00E162EB"/>
    <w:rsid w:val="00E94B14"/>
    <w:rsid w:val="00EC4C61"/>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4F25A7"/>
  <w15:chartTrackingRefBased/>
  <w15:docId w15:val="{C7566647-E3BD-5E49-856E-6CA111C4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0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0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F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A09F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A09F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09F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09F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09F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09F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09F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09F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09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F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09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F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09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09FF"/>
    <w:rPr>
      <w:i/>
      <w:iCs/>
      <w:color w:val="404040" w:themeColor="text1" w:themeTint="BF"/>
      <w:lang w:val="en-US"/>
    </w:rPr>
  </w:style>
  <w:style w:type="paragraph" w:styleId="ListParagraph">
    <w:name w:val="List Paragraph"/>
    <w:basedOn w:val="Normal"/>
    <w:uiPriority w:val="34"/>
    <w:qFormat/>
    <w:rsid w:val="004A09FF"/>
    <w:pPr>
      <w:ind w:left="720"/>
      <w:contextualSpacing/>
    </w:pPr>
  </w:style>
  <w:style w:type="character" w:styleId="IntenseEmphasis">
    <w:name w:val="Intense Emphasis"/>
    <w:basedOn w:val="DefaultParagraphFont"/>
    <w:uiPriority w:val="21"/>
    <w:qFormat/>
    <w:rsid w:val="004A09FF"/>
    <w:rPr>
      <w:i/>
      <w:iCs/>
      <w:color w:val="0F4761" w:themeColor="accent1" w:themeShade="BF"/>
    </w:rPr>
  </w:style>
  <w:style w:type="paragraph" w:styleId="IntenseQuote">
    <w:name w:val="Intense Quote"/>
    <w:basedOn w:val="Normal"/>
    <w:next w:val="Normal"/>
    <w:link w:val="IntenseQuoteChar"/>
    <w:uiPriority w:val="30"/>
    <w:qFormat/>
    <w:rsid w:val="004A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FF"/>
    <w:rPr>
      <w:i/>
      <w:iCs/>
      <w:color w:val="0F4761" w:themeColor="accent1" w:themeShade="BF"/>
      <w:lang w:val="en-US"/>
    </w:rPr>
  </w:style>
  <w:style w:type="character" w:styleId="IntenseReference">
    <w:name w:val="Intense Reference"/>
    <w:basedOn w:val="DefaultParagraphFont"/>
    <w:uiPriority w:val="32"/>
    <w:qFormat/>
    <w:rsid w:val="004A09FF"/>
    <w:rPr>
      <w:b/>
      <w:bCs/>
      <w:smallCaps/>
      <w:color w:val="0F4761" w:themeColor="accent1" w:themeShade="BF"/>
      <w:spacing w:val="5"/>
    </w:rPr>
  </w:style>
  <w:style w:type="table" w:styleId="TableGrid">
    <w:name w:val="Table Grid"/>
    <w:basedOn w:val="TableNormal"/>
    <w:uiPriority w:val="39"/>
    <w:rsid w:val="004A0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83278">
      <w:bodyDiv w:val="1"/>
      <w:marLeft w:val="0"/>
      <w:marRight w:val="0"/>
      <w:marTop w:val="0"/>
      <w:marBottom w:val="0"/>
      <w:divBdr>
        <w:top w:val="none" w:sz="0" w:space="0" w:color="auto"/>
        <w:left w:val="none" w:sz="0" w:space="0" w:color="auto"/>
        <w:bottom w:val="none" w:sz="0" w:space="0" w:color="auto"/>
        <w:right w:val="none" w:sz="0" w:space="0" w:color="auto"/>
      </w:divBdr>
    </w:div>
    <w:div w:id="15868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12</cp:revision>
  <dcterms:created xsi:type="dcterms:W3CDTF">2024-03-29T08:52:00Z</dcterms:created>
  <dcterms:modified xsi:type="dcterms:W3CDTF">2024-03-29T15:11:00Z</dcterms:modified>
</cp:coreProperties>
</file>