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7609" w14:textId="72A241F0" w:rsidR="007D72C2" w:rsidRDefault="004A09FF" w:rsidP="004C1765">
      <w:pPr>
        <w:pStyle w:val="Heading2"/>
        <w:jc w:val="center"/>
      </w:pPr>
      <w:r>
        <w:rPr>
          <w:rFonts w:hint="eastAsia"/>
        </w:rPr>
        <w:t xml:space="preserve">Assignment </w:t>
      </w:r>
      <w:r w:rsidR="007F56AD">
        <w:t>5</w:t>
      </w:r>
    </w:p>
    <w:p w14:paraId="4C6ED78E" w14:textId="32E9FEA8" w:rsidR="004A09FF" w:rsidRDefault="00161A07" w:rsidP="00161A07">
      <w:pPr>
        <w:jc w:val="right"/>
      </w:pPr>
      <w:proofErr w:type="spellStart"/>
      <w:r>
        <w:rPr>
          <w:rFonts w:hint="eastAsia"/>
        </w:rPr>
        <w:t>Zhihan</w:t>
      </w:r>
      <w:proofErr w:type="spellEnd"/>
      <w:r>
        <w:rPr>
          <w:rFonts w:hint="eastAsia"/>
        </w:rPr>
        <w:t xml:space="preserve"> Yu (2101111618)</w:t>
      </w:r>
    </w:p>
    <w:p w14:paraId="4AAED64D" w14:textId="430235FD" w:rsidR="004A09FF" w:rsidRDefault="007F56AD" w:rsidP="003F2134">
      <w:pPr>
        <w:pStyle w:val="Heading3"/>
      </w:pPr>
      <w:r>
        <w:t>Wage Stickiness and Price Stickiness</w:t>
      </w:r>
    </w:p>
    <w:tbl>
      <w:tblPr>
        <w:tblStyle w:val="TableGrid"/>
        <w:tblW w:w="0" w:type="auto"/>
        <w:tblLook w:val="04A0" w:firstRow="1" w:lastRow="0" w:firstColumn="1" w:lastColumn="0" w:noHBand="0" w:noVBand="1"/>
      </w:tblPr>
      <w:tblGrid>
        <w:gridCol w:w="9350"/>
      </w:tblGrid>
      <w:tr w:rsidR="004A09FF" w14:paraId="752A4E22" w14:textId="77777777" w:rsidTr="004A09FF">
        <w:tc>
          <w:tcPr>
            <w:tcW w:w="9350" w:type="dxa"/>
          </w:tcPr>
          <w:p w14:paraId="441F9530" w14:textId="77777777" w:rsidR="004A09FF" w:rsidRDefault="004A09FF">
            <w:r>
              <w:rPr>
                <w:rFonts w:hint="eastAsia"/>
              </w:rPr>
              <w:t>Do</w:t>
            </w:r>
          </w:p>
          <w:p w14:paraId="343182DF" w14:textId="21AC6961" w:rsidR="004A09FF" w:rsidRDefault="004A09FF" w:rsidP="004A09FF">
            <w:pPr>
              <w:pStyle w:val="ListParagraph"/>
              <w:numPr>
                <w:ilvl w:val="0"/>
                <w:numId w:val="1"/>
              </w:numPr>
            </w:pPr>
            <w:r>
              <w:rPr>
                <w:rFonts w:hint="eastAsia"/>
              </w:rPr>
              <w:t xml:space="preserve">Run </w:t>
            </w:r>
            <w:r>
              <w:t>‘</w:t>
            </w:r>
            <w:r w:rsidR="007F56AD">
              <w:rPr>
                <w:color w:val="00B0F0"/>
              </w:rPr>
              <w:t>NK_SW</w:t>
            </w:r>
            <w:r w:rsidRPr="004A09FF">
              <w:rPr>
                <w:rFonts w:hint="eastAsia"/>
                <w:color w:val="00B0F0"/>
              </w:rPr>
              <w:t>.mod</w:t>
            </w:r>
            <w:r w:rsidRPr="004A09FF">
              <w:rPr>
                <w:color w:val="00B0F0"/>
              </w:rPr>
              <w:t>’</w:t>
            </w:r>
            <w:r w:rsidRPr="004A09FF">
              <w:rPr>
                <w:rFonts w:hint="eastAsia"/>
                <w:color w:val="00B0F0"/>
              </w:rPr>
              <w:t xml:space="preserve"> </w:t>
            </w:r>
            <w:r>
              <w:rPr>
                <w:rFonts w:hint="eastAsia"/>
              </w:rPr>
              <w:t xml:space="preserve">with the following combinations of </w:t>
            </w:r>
            <w:proofErr w:type="gramStart"/>
            <w:r>
              <w:rPr>
                <w:rFonts w:hint="eastAsia"/>
              </w:rPr>
              <w:t>parameters</w:t>
            </w:r>
            <w:proofErr w:type="gramEnd"/>
          </w:p>
          <w:p w14:paraId="20A26BEF" w14:textId="00A70A53" w:rsidR="004A09FF" w:rsidRPr="004A09FF" w:rsidRDefault="00000000" w:rsidP="004A09FF">
            <w:pPr>
              <w:pStyle w:val="ListParagraph"/>
              <w:numPr>
                <w:ilvl w:val="1"/>
                <w:numId w:val="1"/>
              </w:numPr>
              <w:rPr>
                <w:i/>
                <w:iCs/>
              </w:rPr>
            </w:pP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w</m:t>
                      </m:r>
                    </m:sub>
                  </m:sSub>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0.7,0.7</m:t>
                  </m:r>
                </m:e>
              </m:d>
              <m:r>
                <w:rPr>
                  <w:rFonts w:ascii="Cambria Math" w:hAnsi="Cambria Math"/>
                </w:rPr>
                <m:t>,</m:t>
              </m:r>
              <m:d>
                <m:dPr>
                  <m:ctrlPr>
                    <w:rPr>
                      <w:rFonts w:ascii="Cambria Math" w:hAnsi="Cambria Math"/>
                      <w:i/>
                    </w:rPr>
                  </m:ctrlPr>
                </m:dPr>
                <m:e>
                  <m:r>
                    <w:rPr>
                      <w:rFonts w:ascii="Cambria Math" w:hAnsi="Cambria Math"/>
                    </w:rPr>
                    <m:t>0.7, 0.0</m:t>
                  </m:r>
                </m:e>
              </m:d>
              <m:r>
                <w:rPr>
                  <w:rFonts w:ascii="Cambria Math" w:hAnsi="Cambria Math"/>
                </w:rPr>
                <m:t>,</m:t>
              </m:r>
              <m:d>
                <m:dPr>
                  <m:ctrlPr>
                    <w:rPr>
                      <w:rFonts w:ascii="Cambria Math" w:hAnsi="Cambria Math"/>
                      <w:i/>
                    </w:rPr>
                  </m:ctrlPr>
                </m:dPr>
                <m:e>
                  <m:r>
                    <w:rPr>
                      <w:rFonts w:ascii="Cambria Math" w:hAnsi="Cambria Math"/>
                    </w:rPr>
                    <m:t>0.0, 0.7</m:t>
                  </m:r>
                </m:e>
              </m:d>
              <m:r>
                <w:rPr>
                  <w:rFonts w:ascii="Cambria Math" w:hAnsi="Cambria Math"/>
                </w:rPr>
                <m:t>}</m:t>
              </m:r>
            </m:oMath>
            <w:r w:rsidR="004A09FF">
              <w:rPr>
                <w:rFonts w:hint="eastAsia"/>
              </w:rPr>
              <w:t xml:space="preserve"> </w:t>
            </w:r>
          </w:p>
          <w:p w14:paraId="5C2AE89A" w14:textId="5E7DCAAB" w:rsidR="004A09FF" w:rsidRPr="0063452F" w:rsidRDefault="00A64B5D" w:rsidP="0063452F">
            <w:pPr>
              <w:pStyle w:val="ListParagraph"/>
              <w:numPr>
                <w:ilvl w:val="1"/>
                <w:numId w:val="1"/>
              </w:numPr>
              <w:rPr>
                <w:i/>
                <w:iCs/>
              </w:rPr>
            </w:pPr>
            <w:r>
              <w:rPr>
                <w:i/>
                <w:iCs/>
              </w:rPr>
              <w:t>Revise lines 53-56.</w:t>
            </w:r>
          </w:p>
        </w:tc>
      </w:tr>
      <w:tr w:rsidR="004A09FF" w14:paraId="0B099B3C" w14:textId="77777777" w:rsidTr="004A09FF">
        <w:tc>
          <w:tcPr>
            <w:tcW w:w="9350" w:type="dxa"/>
          </w:tcPr>
          <w:p w14:paraId="3DA1E22E" w14:textId="77777777" w:rsidR="004A09FF" w:rsidRDefault="004A09FF">
            <w:r>
              <w:rPr>
                <w:rFonts w:hint="eastAsia"/>
              </w:rPr>
              <w:t>Results</w:t>
            </w:r>
          </w:p>
          <w:p w14:paraId="27DE0A70" w14:textId="55A12A04" w:rsidR="004A09FF" w:rsidRDefault="009915D1" w:rsidP="004A09FF">
            <w:pPr>
              <w:pStyle w:val="ListParagraph"/>
              <w:numPr>
                <w:ilvl w:val="0"/>
                <w:numId w:val="1"/>
              </w:numPr>
            </w:pPr>
            <w:r>
              <w:rPr>
                <w:rFonts w:hint="eastAsia"/>
              </w:rPr>
              <w:t>&lt;</w:t>
            </w:r>
            <w:r w:rsidR="007A2978" w:rsidRPr="007A2978">
              <w:rPr>
                <w:i/>
                <w:iCs/>
              </w:rPr>
              <w:t>External-StickinessComparisons</w:t>
            </w:r>
            <w:r w:rsidR="007A2978" w:rsidRPr="007A2978">
              <w:rPr>
                <w:i/>
                <w:iCs/>
              </w:rPr>
              <w:t>-TFP.png</w:t>
            </w:r>
            <w:r>
              <w:rPr>
                <w:rFonts w:hint="eastAsia"/>
              </w:rPr>
              <w:t>&gt;</w:t>
            </w:r>
          </w:p>
          <w:p w14:paraId="2742276F" w14:textId="573229DC" w:rsidR="009915D1" w:rsidRDefault="007A2978" w:rsidP="007A2978">
            <w:pPr>
              <w:jc w:val="center"/>
            </w:pPr>
            <w:r>
              <w:rPr>
                <w:rFonts w:hint="eastAsia"/>
                <w:noProof/>
              </w:rPr>
              <w:drawing>
                <wp:inline distT="0" distB="0" distL="0" distR="0" wp14:anchorId="7783CC3F" wp14:editId="22D5CDF2">
                  <wp:extent cx="4446683" cy="3539769"/>
                  <wp:effectExtent l="0" t="0" r="0" b="3810"/>
                  <wp:docPr id="97418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86675" name="Picture 9741866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5247" cy="3546586"/>
                          </a:xfrm>
                          <a:prstGeom prst="rect">
                            <a:avLst/>
                          </a:prstGeom>
                        </pic:spPr>
                      </pic:pic>
                    </a:graphicData>
                  </a:graphic>
                </wp:inline>
              </w:drawing>
            </w:r>
          </w:p>
          <w:p w14:paraId="730467A8" w14:textId="613C18D2" w:rsidR="009915D1" w:rsidRPr="009915D1" w:rsidRDefault="009915D1" w:rsidP="004A09FF">
            <w:pPr>
              <w:pStyle w:val="ListParagraph"/>
              <w:numPr>
                <w:ilvl w:val="0"/>
                <w:numId w:val="1"/>
              </w:numPr>
              <w:rPr>
                <w:i/>
                <w:iCs/>
              </w:rPr>
            </w:pPr>
            <w:r w:rsidRPr="009915D1">
              <w:rPr>
                <w:rFonts w:hint="eastAsia"/>
                <w:i/>
                <w:iCs/>
              </w:rPr>
              <w:t>For G</w:t>
            </w:r>
            <w:r w:rsidR="00D45CF4">
              <w:rPr>
                <w:i/>
                <w:iCs/>
              </w:rPr>
              <w:t>overnment Expenditure</w:t>
            </w:r>
            <w:r w:rsidRPr="009915D1">
              <w:rPr>
                <w:rFonts w:hint="eastAsia"/>
                <w:i/>
                <w:iCs/>
              </w:rPr>
              <w:t xml:space="preserve">, </w:t>
            </w:r>
            <w:r w:rsidR="00D45CF4">
              <w:rPr>
                <w:i/>
                <w:iCs/>
              </w:rPr>
              <w:t xml:space="preserve">Capital Quality, </w:t>
            </w:r>
            <w:r w:rsidRPr="009915D1">
              <w:rPr>
                <w:rFonts w:hint="eastAsia"/>
                <w:i/>
                <w:iCs/>
              </w:rPr>
              <w:t>M</w:t>
            </w:r>
            <w:r w:rsidR="00D45CF4">
              <w:rPr>
                <w:i/>
                <w:iCs/>
              </w:rPr>
              <w:t>onetary Policy</w:t>
            </w:r>
            <w:r w:rsidRPr="009915D1">
              <w:rPr>
                <w:rFonts w:hint="eastAsia"/>
                <w:i/>
                <w:iCs/>
              </w:rPr>
              <w:t>,</w:t>
            </w:r>
            <w:r w:rsidR="00D45CF4">
              <w:rPr>
                <w:i/>
                <w:iCs/>
              </w:rPr>
              <w:t xml:space="preserve"> Price-/Wage-</w:t>
            </w:r>
            <w:r w:rsidRPr="009915D1">
              <w:rPr>
                <w:rFonts w:hint="eastAsia"/>
                <w:i/>
                <w:iCs/>
              </w:rPr>
              <w:t xml:space="preserve"> </w:t>
            </w:r>
            <w:r w:rsidR="00D45CF4">
              <w:rPr>
                <w:i/>
                <w:iCs/>
              </w:rPr>
              <w:t xml:space="preserve">Markup, Risk Premium </w:t>
            </w:r>
            <w:r w:rsidRPr="009915D1">
              <w:rPr>
                <w:rFonts w:hint="eastAsia"/>
                <w:i/>
                <w:iCs/>
              </w:rPr>
              <w:t xml:space="preserve">shocks, see the corresponding </w:t>
            </w:r>
            <w:proofErr w:type="spellStart"/>
            <w:r w:rsidRPr="009915D1">
              <w:rPr>
                <w:rFonts w:hint="eastAsia"/>
                <w:i/>
                <w:iCs/>
              </w:rPr>
              <w:t>png</w:t>
            </w:r>
            <w:proofErr w:type="spellEnd"/>
            <w:r w:rsidRPr="009915D1">
              <w:rPr>
                <w:rFonts w:hint="eastAsia"/>
                <w:i/>
                <w:iCs/>
              </w:rPr>
              <w:t xml:space="preserve"> files.</w:t>
            </w:r>
          </w:p>
        </w:tc>
      </w:tr>
      <w:tr w:rsidR="004A09FF" w14:paraId="1188CB7C" w14:textId="77777777" w:rsidTr="004A09FF">
        <w:tc>
          <w:tcPr>
            <w:tcW w:w="9350" w:type="dxa"/>
          </w:tcPr>
          <w:p w14:paraId="33A08E41" w14:textId="77777777" w:rsidR="004A09FF" w:rsidRPr="004B0162" w:rsidRDefault="004A09FF">
            <w:pPr>
              <w:rPr>
                <w:b/>
                <w:bCs/>
              </w:rPr>
            </w:pPr>
            <w:r w:rsidRPr="004B0162">
              <w:rPr>
                <w:rFonts w:hint="eastAsia"/>
                <w:b/>
                <w:bCs/>
              </w:rPr>
              <w:t>Discussion</w:t>
            </w:r>
          </w:p>
          <w:p w14:paraId="05AF83F6" w14:textId="35ED1D1E" w:rsidR="00B10D58" w:rsidRDefault="00D45CF4" w:rsidP="0015421C">
            <w:r>
              <w:t xml:space="preserve">In this figure illustrating a positive TFP shock, I compared varying levels of price stickiness and wage stickiness under the external habit model specification. Using the external habit preferences model corresponds to the “simplified NK workhorse” model, thus making the analysis slightly more comprehensible. In this figure, the three lines represent the case with both price and wage rigidity (black), only price rigidity (red), and only wage rigidity (green). In the presence of a positive TFP shock, we see that output under all three model settings resulted in a positive spike on impact of the shock. </w:t>
            </w:r>
            <w:r w:rsidR="001964F2">
              <w:t xml:space="preserve">This increase in TFP has a stronger effect on the economy with only </w:t>
            </w:r>
            <w:r w:rsidR="00B10D58">
              <w:t xml:space="preserve">wage stickiness. </w:t>
            </w:r>
            <w:r w:rsidR="0015421C">
              <w:t xml:space="preserve">The impact from the positive TFP shock is reduced for an economy with only price rigidity, and even more dampened for an economy where both forms of nominal rigidity are </w:t>
            </w:r>
            <w:r w:rsidR="0015421C">
              <w:lastRenderedPageBreak/>
              <w:t xml:space="preserve">present. </w:t>
            </w:r>
            <w:r w:rsidR="0015421C">
              <w:t xml:space="preserve">In an economy with only price rigidity, firms are slow to adjust prices, so when there's a positive TFP shock, they can't immediately </w:t>
            </w:r>
            <w:r w:rsidR="00F64679">
              <w:t>drop</w:t>
            </w:r>
            <w:r w:rsidR="0015421C">
              <w:t xml:space="preserve"> prices to reflect increased productivity</w:t>
            </w:r>
            <w:r w:rsidR="00F64679">
              <w:t xml:space="preserve">. </w:t>
            </w:r>
            <w:r w:rsidR="0015421C">
              <w:t>However, in an economy with only wage rigidity, firms can't adjust wages upward quickly, so they invest more in capital and labor to take advantage of the increased productivity, leading to a larger output increase compared to the price rigid economy.</w:t>
            </w:r>
            <w:r w:rsidR="0015421C">
              <w:t xml:space="preserve"> </w:t>
            </w:r>
            <w:r w:rsidR="0015421C">
              <w:t>When both rigidities are present, the situation becomes more complex. Price rigidity prevents firms from immediately passing on increased costs to consumers, while wage rigidity limits their ability to adjust labor costs. This dual constraint hampers firms' ability to respond optimally to positive shocks, resulting in a smaller output increase compared to economies with only one type of rigidity.</w:t>
            </w:r>
            <w:r w:rsidR="0015421C">
              <w:t xml:space="preserve"> Looking at the consumption impulse response functions, we see a clear correspondence with that of the output… what the economy consumes is what the economy creates. The response of real investments and Tobin’s Q both reflect the story of increasing capital investment in the sticky</w:t>
            </w:r>
            <w:r w:rsidR="002A7D58">
              <w:t>-</w:t>
            </w:r>
            <w:r w:rsidR="0015421C">
              <w:t>wages</w:t>
            </w:r>
            <w:r w:rsidR="002A7D58">
              <w:t>-only</w:t>
            </w:r>
            <w:r w:rsidR="0015421C">
              <w:t xml:space="preserve"> economy</w:t>
            </w:r>
            <w:r w:rsidR="000F622C">
              <w:t xml:space="preserve">. </w:t>
            </w:r>
            <w:r w:rsidR="00AC7F4A">
              <w:t xml:space="preserve">Finally, this same point is illustrated in the capital utilization IRF: when wages are slow to adjust, the only channel for </w:t>
            </w:r>
            <w:r w:rsidR="00555F35">
              <w:t xml:space="preserve">economy to reflect the sudden increase in productivity is through capital goods—not just the increase in capital investment (for subsequent periods), but also an increase in contemporaneous capital usage (even though it’s costly). </w:t>
            </w:r>
          </w:p>
          <w:p w14:paraId="21CDDBB7" w14:textId="77777777" w:rsidR="000F622C" w:rsidRDefault="000F622C" w:rsidP="0015421C"/>
          <w:p w14:paraId="756E61FE" w14:textId="655123E8" w:rsidR="004056A3" w:rsidRDefault="000F622C" w:rsidP="004056A3">
            <w:r>
              <w:t>Let’s have a look at the price dynamics. Real wages IRFs are drastically different for the three economies. While the real wage rises in the sticky-wages-only economy upon the productivity boon, real wage falls for the sticky-prices-only economy; the economy with both nominal rigidities present represents a middle ground. This response in real wages is straight forward in that because of the productivity shock, firms in the sticky-wages-only economy can quickly increase prices to reflect the increase in productivity</w:t>
            </w:r>
            <w:r w:rsidR="00F64679">
              <w:t xml:space="preserve">, this leads to </w:t>
            </w:r>
            <w:r w:rsidR="002A7D58">
              <w:t>significant</w:t>
            </w:r>
            <w:r w:rsidR="00F64679">
              <w:t xml:space="preserve"> price deflation (see price inflation IRF)</w:t>
            </w:r>
            <w:r w:rsidR="002A7D58">
              <w:t xml:space="preserve">. With rigid wages, a deflation in commodity prices necessarily results in a spike in real wages. </w:t>
            </w:r>
            <w:r w:rsidR="00AC7F4A">
              <w:t xml:space="preserve">The real wage dynamics for the sticky-prices-only economy follows a slightly different logic. When the TFP shock hits, marginal costs drop significantly. In the process of maximizing profits (with a decrease in marginal costs), firms in the sticky-prices-only economy will want to expand production, achieved by increasing nominal wages. This combined effect of increasing nominal wages and drop in marginal costs </w:t>
            </w:r>
            <w:r w:rsidR="00555F35">
              <w:t xml:space="preserve">yields the real wage dynamics for the sticky-prices-only economy. </w:t>
            </w:r>
            <w:r w:rsidR="004056A3">
              <w:t>Finally, as a sanity check, we see that</w:t>
            </w:r>
            <w:r w:rsidR="004056A3">
              <w:t xml:space="preserve"> there is no </w:t>
            </w:r>
            <w:r w:rsidR="00DD7353">
              <w:t xml:space="preserve">price dispersion under flexible prices (i.e. sticky-wages-only); and there is no wage dispersion under flexible wages (i.e. sticky-prices-only). </w:t>
            </w:r>
          </w:p>
          <w:p w14:paraId="1F816805" w14:textId="77777777" w:rsidR="004056A3" w:rsidRDefault="004056A3" w:rsidP="0015421C"/>
          <w:p w14:paraId="0A950260" w14:textId="252C0E95" w:rsidR="000F622C" w:rsidRPr="00A64B5D" w:rsidRDefault="00555F35" w:rsidP="0015421C">
            <w:pPr>
              <w:rPr>
                <w:color w:val="4C94D8" w:themeColor="text2" w:themeTint="80"/>
              </w:rPr>
            </w:pPr>
            <w:r w:rsidRPr="00A64B5D">
              <w:rPr>
                <w:color w:val="4C94D8" w:themeColor="text2" w:themeTint="80"/>
              </w:rPr>
              <w:t xml:space="preserve">Aside: Intuitively, from this figure, we see that when both nominal rigidities are present and Calvo parameters set equally at 0.7 (i.e. 30% probability of optimal price setting), the effect of real wage is ‘almost’ nullified, closer to the sticky-prices-only model. If we view the economy with both nominal rigidities as a weighted average of the sticky-prices-only economy and sticky-wages-only economy, then the observation mentioned above might signify </w:t>
            </w:r>
            <w:r w:rsidR="004056A3" w:rsidRPr="00A64B5D">
              <w:rPr>
                <w:color w:val="4C94D8" w:themeColor="text2" w:themeTint="80"/>
              </w:rPr>
              <w:t xml:space="preserve">that sticky prices may have a slightly more dominating impact on the economy. Question: how to find </w:t>
            </w:r>
            <m:oMath>
              <m:func>
                <m:funcPr>
                  <m:ctrlPr>
                    <w:rPr>
                      <w:rFonts w:ascii="Cambria Math" w:hAnsi="Cambria Math"/>
                      <w:i/>
                      <w:color w:val="4C94D8" w:themeColor="text2" w:themeTint="80"/>
                    </w:rPr>
                  </m:ctrlPr>
                </m:funcPr>
                <m:fName>
                  <m:limLow>
                    <m:limLowPr>
                      <m:ctrlPr>
                        <w:rPr>
                          <w:rFonts w:ascii="Cambria Math" w:hAnsi="Cambria Math"/>
                          <w:i/>
                          <w:color w:val="4C94D8" w:themeColor="text2" w:themeTint="80"/>
                        </w:rPr>
                      </m:ctrlPr>
                    </m:limLowPr>
                    <m:e>
                      <m:r>
                        <m:rPr>
                          <m:sty m:val="p"/>
                        </m:rPr>
                        <w:rPr>
                          <w:rFonts w:ascii="Cambria Math" w:hAnsi="Cambria Math"/>
                          <w:color w:val="4C94D8" w:themeColor="text2" w:themeTint="80"/>
                        </w:rPr>
                        <m:t>min</m:t>
                      </m:r>
                      <m:ctrlPr>
                        <w:rPr>
                          <w:rFonts w:ascii="Cambria Math" w:hAnsi="Cambria Math"/>
                          <w:color w:val="4C94D8" w:themeColor="text2" w:themeTint="80"/>
                        </w:rPr>
                      </m:ctrlPr>
                    </m:e>
                    <m:lim>
                      <m:sSub>
                        <m:sSubPr>
                          <m:ctrlPr>
                            <w:rPr>
                              <w:rFonts w:ascii="Cambria Math" w:hAnsi="Cambria Math"/>
                              <w:i/>
                              <w:color w:val="4C94D8" w:themeColor="text2" w:themeTint="80"/>
                            </w:rPr>
                          </m:ctrlPr>
                        </m:sSubPr>
                        <m:e>
                          <m:r>
                            <w:rPr>
                              <w:rFonts w:ascii="Cambria Math" w:hAnsi="Cambria Math"/>
                              <w:color w:val="4C94D8" w:themeColor="text2" w:themeTint="80"/>
                            </w:rPr>
                            <m:t>ξ</m:t>
                          </m:r>
                        </m:e>
                        <m:sub>
                          <m:r>
                            <w:rPr>
                              <w:rFonts w:ascii="Cambria Math" w:hAnsi="Cambria Math"/>
                              <w:color w:val="4C94D8" w:themeColor="text2" w:themeTint="80"/>
                            </w:rPr>
                            <m:t>w</m:t>
                          </m:r>
                        </m:sub>
                      </m:sSub>
                      <m:ctrlPr>
                        <w:rPr>
                          <w:rFonts w:ascii="Cambria Math" w:hAnsi="Cambria Math"/>
                          <w:color w:val="4C94D8" w:themeColor="text2" w:themeTint="80"/>
                        </w:rPr>
                      </m:ctrlPr>
                    </m:lim>
                  </m:limLow>
                </m:fName>
                <m:e>
                  <m:sSub>
                    <m:sSubPr>
                      <m:ctrlPr>
                        <w:rPr>
                          <w:rFonts w:ascii="Cambria Math" w:hAnsi="Cambria Math"/>
                          <w:i/>
                          <w:color w:val="4C94D8" w:themeColor="text2" w:themeTint="80"/>
                        </w:rPr>
                      </m:ctrlPr>
                    </m:sSubPr>
                    <m:e>
                      <m:d>
                        <m:dPr>
                          <m:begChr m:val="|"/>
                          <m:endChr m:val="|"/>
                          <m:ctrlPr>
                            <w:rPr>
                              <w:rFonts w:ascii="Cambria Math" w:hAnsi="Cambria Math"/>
                              <w:i/>
                              <w:color w:val="4C94D8" w:themeColor="text2" w:themeTint="80"/>
                            </w:rPr>
                          </m:ctrlPr>
                        </m:dPr>
                        <m:e>
                          <m:f>
                            <m:fPr>
                              <m:ctrlPr>
                                <w:rPr>
                                  <w:rFonts w:ascii="Cambria Math" w:hAnsi="Cambria Math"/>
                                  <w:i/>
                                  <w:color w:val="4C94D8" w:themeColor="text2" w:themeTint="80"/>
                                </w:rPr>
                              </m:ctrlPr>
                            </m:fPr>
                            <m:num>
                              <m:sSub>
                                <m:sSubPr>
                                  <m:ctrlPr>
                                    <w:rPr>
                                      <w:rFonts w:ascii="Cambria Math" w:hAnsi="Cambria Math"/>
                                      <w:i/>
                                      <w:color w:val="4C94D8" w:themeColor="text2" w:themeTint="80"/>
                                    </w:rPr>
                                  </m:ctrlPr>
                                </m:sSubPr>
                                <m:e>
                                  <m:r>
                                    <w:rPr>
                                      <w:rFonts w:ascii="Cambria Math" w:hAnsi="Cambria Math"/>
                                      <w:color w:val="4C94D8" w:themeColor="text2" w:themeTint="80"/>
                                    </w:rPr>
                                    <m:t>W</m:t>
                                  </m:r>
                                </m:e>
                                <m:sub>
                                  <m:r>
                                    <w:rPr>
                                      <w:rFonts w:ascii="Cambria Math" w:hAnsi="Cambria Math"/>
                                      <w:color w:val="4C94D8" w:themeColor="text2" w:themeTint="80"/>
                                    </w:rPr>
                                    <m:t>t</m:t>
                                  </m:r>
                                </m:sub>
                              </m:sSub>
                            </m:num>
                            <m:den>
                              <m:sSub>
                                <m:sSubPr>
                                  <m:ctrlPr>
                                    <w:rPr>
                                      <w:rFonts w:ascii="Cambria Math" w:hAnsi="Cambria Math"/>
                                      <w:i/>
                                      <w:color w:val="4C94D8" w:themeColor="text2" w:themeTint="80"/>
                                    </w:rPr>
                                  </m:ctrlPr>
                                </m:sSubPr>
                                <m:e>
                                  <m:r>
                                    <w:rPr>
                                      <w:rFonts w:ascii="Cambria Math" w:hAnsi="Cambria Math"/>
                                      <w:color w:val="4C94D8" w:themeColor="text2" w:themeTint="80"/>
                                    </w:rPr>
                                    <m:t>P</m:t>
                                  </m:r>
                                </m:e>
                                <m:sub>
                                  <m:r>
                                    <w:rPr>
                                      <w:rFonts w:ascii="Cambria Math" w:hAnsi="Cambria Math"/>
                                      <w:color w:val="4C94D8" w:themeColor="text2" w:themeTint="80"/>
                                    </w:rPr>
                                    <m:t>t</m:t>
                                  </m:r>
                                </m:sub>
                              </m:sSub>
                            </m:den>
                          </m:f>
                          <m:r>
                            <w:rPr>
                              <w:rFonts w:ascii="Cambria Math" w:hAnsi="Cambria Math"/>
                              <w:color w:val="4C94D8" w:themeColor="text2" w:themeTint="80"/>
                            </w:rPr>
                            <m:t>-</m:t>
                          </m:r>
                          <m:f>
                            <m:fPr>
                              <m:ctrlPr>
                                <w:rPr>
                                  <w:rFonts w:ascii="Cambria Math" w:hAnsi="Cambria Math"/>
                                  <w:i/>
                                  <w:color w:val="4C94D8" w:themeColor="text2" w:themeTint="80"/>
                                </w:rPr>
                              </m:ctrlPr>
                            </m:fPr>
                            <m:num>
                              <m:acc>
                                <m:accPr>
                                  <m:chr m:val="̅"/>
                                  <m:ctrlPr>
                                    <w:rPr>
                                      <w:rFonts w:ascii="Cambria Math" w:hAnsi="Cambria Math"/>
                                      <w:i/>
                                      <w:color w:val="4C94D8" w:themeColor="text2" w:themeTint="80"/>
                                    </w:rPr>
                                  </m:ctrlPr>
                                </m:accPr>
                                <m:e>
                                  <m:r>
                                    <w:rPr>
                                      <w:rFonts w:ascii="Cambria Math" w:hAnsi="Cambria Math"/>
                                      <w:color w:val="4C94D8" w:themeColor="text2" w:themeTint="80"/>
                                    </w:rPr>
                                    <m:t>W</m:t>
                                  </m:r>
                                </m:e>
                              </m:acc>
                            </m:num>
                            <m:den>
                              <m:acc>
                                <m:accPr>
                                  <m:chr m:val="̅"/>
                                  <m:ctrlPr>
                                    <w:rPr>
                                      <w:rFonts w:ascii="Cambria Math" w:hAnsi="Cambria Math"/>
                                      <w:i/>
                                      <w:color w:val="4C94D8" w:themeColor="text2" w:themeTint="80"/>
                                    </w:rPr>
                                  </m:ctrlPr>
                                </m:accPr>
                                <m:e>
                                  <m:r>
                                    <w:rPr>
                                      <w:rFonts w:ascii="Cambria Math" w:hAnsi="Cambria Math"/>
                                      <w:color w:val="4C94D8" w:themeColor="text2" w:themeTint="80"/>
                                    </w:rPr>
                                    <m:t>P</m:t>
                                  </m:r>
                                </m:e>
                              </m:acc>
                            </m:den>
                          </m:f>
                        </m:e>
                      </m:d>
                    </m:e>
                    <m:sub>
                      <m:r>
                        <m:rPr>
                          <m:sty m:val="p"/>
                        </m:rPr>
                        <w:rPr>
                          <w:rFonts w:ascii="Cambria Math" w:hAnsi="Cambria Math"/>
                          <w:color w:val="4C94D8" w:themeColor="text2" w:themeTint="80"/>
                        </w:rPr>
                        <m:t xml:space="preserve">SPSW, </m:t>
                      </m:r>
                      <m:sSub>
                        <m:sSubPr>
                          <m:ctrlPr>
                            <w:rPr>
                              <w:rFonts w:ascii="Cambria Math" w:hAnsi="Cambria Math"/>
                              <w:iCs/>
                              <w:color w:val="4C94D8" w:themeColor="text2" w:themeTint="80"/>
                            </w:rPr>
                          </m:ctrlPr>
                        </m:sSubPr>
                        <m:e>
                          <m:r>
                            <m:rPr>
                              <m:sty m:val="p"/>
                            </m:rPr>
                            <w:rPr>
                              <w:rFonts w:ascii="Cambria Math" w:hAnsi="Cambria Math"/>
                              <w:color w:val="4C94D8" w:themeColor="text2" w:themeTint="80"/>
                            </w:rPr>
                            <m:t>ξ</m:t>
                          </m:r>
                        </m:e>
                        <m:sub>
                          <m:r>
                            <m:rPr>
                              <m:sty m:val="p"/>
                            </m:rPr>
                            <w:rPr>
                              <w:rFonts w:ascii="Cambria Math" w:hAnsi="Cambria Math"/>
                              <w:color w:val="4C94D8" w:themeColor="text2" w:themeTint="80"/>
                            </w:rPr>
                            <m:t>p</m:t>
                          </m:r>
                        </m:sub>
                      </m:sSub>
                      <m:r>
                        <w:rPr>
                          <w:rFonts w:ascii="Cambria Math" w:hAnsi="Cambria Math"/>
                          <w:color w:val="4C94D8" w:themeColor="text2" w:themeTint="80"/>
                        </w:rPr>
                        <m:t xml:space="preserve"> </m:t>
                      </m:r>
                      <m:r>
                        <m:rPr>
                          <m:sty m:val="p"/>
                        </m:rPr>
                        <w:rPr>
                          <w:rFonts w:ascii="Cambria Math" w:hAnsi="Cambria Math"/>
                          <w:color w:val="4C94D8" w:themeColor="text2" w:themeTint="80"/>
                        </w:rPr>
                        <m:t>given</m:t>
                      </m:r>
                    </m:sub>
                  </m:sSub>
                </m:e>
              </m:func>
            </m:oMath>
            <w:r w:rsidR="004056A3" w:rsidRPr="00A64B5D">
              <w:rPr>
                <w:color w:val="4C94D8" w:themeColor="text2" w:themeTint="80"/>
              </w:rPr>
              <w:t>?</w:t>
            </w:r>
          </w:p>
        </w:tc>
      </w:tr>
    </w:tbl>
    <w:p w14:paraId="30C069CB" w14:textId="2E5231C6" w:rsidR="004A09FF" w:rsidRDefault="004A09FF" w:rsidP="003F2134">
      <w:pPr>
        <w:pStyle w:val="Heading3"/>
      </w:pPr>
      <w:r>
        <w:rPr>
          <w:rFonts w:hint="eastAsia"/>
        </w:rPr>
        <w:lastRenderedPageBreak/>
        <w:t>RBC vs NK</w:t>
      </w:r>
    </w:p>
    <w:tbl>
      <w:tblPr>
        <w:tblStyle w:val="TableGrid"/>
        <w:tblW w:w="0" w:type="auto"/>
        <w:tblLook w:val="04A0" w:firstRow="1" w:lastRow="0" w:firstColumn="1" w:lastColumn="0" w:noHBand="0" w:noVBand="1"/>
      </w:tblPr>
      <w:tblGrid>
        <w:gridCol w:w="9350"/>
      </w:tblGrid>
      <w:tr w:rsidR="004A09FF" w14:paraId="7D91AFA3" w14:textId="77777777" w:rsidTr="00172BBF">
        <w:tc>
          <w:tcPr>
            <w:tcW w:w="9350" w:type="dxa"/>
          </w:tcPr>
          <w:p w14:paraId="72AB2EA5" w14:textId="77777777" w:rsidR="004A09FF" w:rsidRDefault="004A09FF" w:rsidP="00172BBF">
            <w:r>
              <w:rPr>
                <w:rFonts w:hint="eastAsia"/>
              </w:rPr>
              <w:t>Do</w:t>
            </w:r>
          </w:p>
          <w:p w14:paraId="53F3C5B3" w14:textId="5D07BBA8" w:rsidR="000B400B" w:rsidRDefault="000B400B" w:rsidP="000B400B">
            <w:pPr>
              <w:pStyle w:val="ListParagraph"/>
              <w:numPr>
                <w:ilvl w:val="0"/>
                <w:numId w:val="2"/>
              </w:numPr>
            </w:pPr>
            <w:r>
              <w:rPr>
                <w:rFonts w:hint="eastAsia"/>
              </w:rPr>
              <w:t xml:space="preserve">Run </w:t>
            </w:r>
            <w:r>
              <w:t>‘</w:t>
            </w:r>
            <w:r>
              <w:rPr>
                <w:color w:val="00B0F0"/>
              </w:rPr>
              <w:t>NK_SW</w:t>
            </w:r>
            <w:r w:rsidRPr="004A09FF">
              <w:rPr>
                <w:rFonts w:hint="eastAsia"/>
                <w:color w:val="00B0F0"/>
              </w:rPr>
              <w:t>.mod</w:t>
            </w:r>
            <w:r w:rsidRPr="004A09FF">
              <w:rPr>
                <w:color w:val="00B0F0"/>
              </w:rPr>
              <w:t>’</w:t>
            </w:r>
            <w:r w:rsidRPr="004A09FF">
              <w:rPr>
                <w:rFonts w:hint="eastAsia"/>
                <w:color w:val="00B0F0"/>
              </w:rPr>
              <w:t xml:space="preserve"> </w:t>
            </w:r>
            <w:r>
              <w:t>by changing the macro for habit type (external vs. internal)</w:t>
            </w:r>
          </w:p>
          <w:p w14:paraId="5E18EEE5" w14:textId="0996F932" w:rsidR="00777358" w:rsidRDefault="000B400B" w:rsidP="000B400B">
            <w:pPr>
              <w:pStyle w:val="ListParagraph"/>
              <w:numPr>
                <w:ilvl w:val="1"/>
                <w:numId w:val="2"/>
              </w:numPr>
            </w:pPr>
            <w:r>
              <w:rPr>
                <w:i/>
                <w:iCs/>
              </w:rPr>
              <w:t xml:space="preserve">Revise </w:t>
            </w:r>
            <w:r>
              <w:rPr>
                <w:i/>
                <w:iCs/>
              </w:rPr>
              <w:t>line 2</w:t>
            </w:r>
            <w:r>
              <w:rPr>
                <w:i/>
                <w:iCs/>
              </w:rPr>
              <w:t>.</w:t>
            </w:r>
            <w:r>
              <w:rPr>
                <w:i/>
                <w:iCs/>
              </w:rPr>
              <w:t xml:space="preserve"> ASSUMED presence of both nominal rigidities.</w:t>
            </w:r>
          </w:p>
        </w:tc>
      </w:tr>
      <w:tr w:rsidR="004A09FF" w14:paraId="3DA98CE9" w14:textId="77777777" w:rsidTr="00172BBF">
        <w:tc>
          <w:tcPr>
            <w:tcW w:w="9350" w:type="dxa"/>
          </w:tcPr>
          <w:p w14:paraId="06554685" w14:textId="77777777" w:rsidR="004A09FF" w:rsidRDefault="004A09FF" w:rsidP="00172BBF">
            <w:r>
              <w:rPr>
                <w:rFonts w:hint="eastAsia"/>
              </w:rPr>
              <w:t>Results</w:t>
            </w:r>
          </w:p>
          <w:p w14:paraId="38786207" w14:textId="5DF1DC4E" w:rsidR="00777358" w:rsidRDefault="003F2134" w:rsidP="00777358">
            <w:pPr>
              <w:pStyle w:val="ListParagraph"/>
              <w:numPr>
                <w:ilvl w:val="1"/>
                <w:numId w:val="2"/>
              </w:numPr>
            </w:pPr>
            <w:r>
              <w:rPr>
                <w:rFonts w:hint="eastAsia"/>
              </w:rPr>
              <w:t>&lt;</w:t>
            </w:r>
            <w:r w:rsidR="003A0A01">
              <w:t>InternalvsExternal-TFP</w:t>
            </w:r>
            <w:r>
              <w:rPr>
                <w:rFonts w:hint="eastAsia"/>
              </w:rPr>
              <w:t>.png&gt;</w:t>
            </w:r>
          </w:p>
          <w:p w14:paraId="10902012" w14:textId="65537903" w:rsidR="000B400B" w:rsidRPr="000B400B" w:rsidRDefault="003A0A01" w:rsidP="000B400B">
            <w:pPr>
              <w:pStyle w:val="ListParagraph"/>
              <w:ind w:left="1080"/>
              <w:jc w:val="center"/>
            </w:pPr>
            <w:r>
              <w:rPr>
                <w:noProof/>
              </w:rPr>
              <w:drawing>
                <wp:inline distT="0" distB="0" distL="0" distR="0" wp14:anchorId="4E566598" wp14:editId="0646C460">
                  <wp:extent cx="4204557" cy="3347025"/>
                  <wp:effectExtent l="0" t="0" r="0" b="6350"/>
                  <wp:docPr id="124344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43615" name="Picture 12434436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1701" cy="3352712"/>
                          </a:xfrm>
                          <a:prstGeom prst="rect">
                            <a:avLst/>
                          </a:prstGeom>
                        </pic:spPr>
                      </pic:pic>
                    </a:graphicData>
                  </a:graphic>
                </wp:inline>
              </w:drawing>
            </w:r>
          </w:p>
          <w:p w14:paraId="590C085C" w14:textId="79B586B4" w:rsidR="003F2134" w:rsidRPr="003F2134" w:rsidRDefault="003A0A01" w:rsidP="00777358">
            <w:pPr>
              <w:pStyle w:val="ListParagraph"/>
              <w:numPr>
                <w:ilvl w:val="1"/>
                <w:numId w:val="2"/>
              </w:numPr>
              <w:rPr>
                <w:i/>
                <w:iCs/>
              </w:rPr>
            </w:pPr>
            <w:r w:rsidRPr="009915D1">
              <w:rPr>
                <w:rFonts w:hint="eastAsia"/>
                <w:i/>
                <w:iCs/>
              </w:rPr>
              <w:t>For G</w:t>
            </w:r>
            <w:r>
              <w:rPr>
                <w:i/>
                <w:iCs/>
              </w:rPr>
              <w:t>overnment Expenditure</w:t>
            </w:r>
            <w:r w:rsidRPr="009915D1">
              <w:rPr>
                <w:rFonts w:hint="eastAsia"/>
                <w:i/>
                <w:iCs/>
              </w:rPr>
              <w:t xml:space="preserve">, </w:t>
            </w:r>
            <w:r>
              <w:rPr>
                <w:i/>
                <w:iCs/>
              </w:rPr>
              <w:t xml:space="preserve">Capital Quality, </w:t>
            </w:r>
            <w:r w:rsidRPr="009915D1">
              <w:rPr>
                <w:rFonts w:hint="eastAsia"/>
                <w:i/>
                <w:iCs/>
              </w:rPr>
              <w:t>M</w:t>
            </w:r>
            <w:r>
              <w:rPr>
                <w:i/>
                <w:iCs/>
              </w:rPr>
              <w:t>onetary Policy</w:t>
            </w:r>
            <w:r w:rsidRPr="009915D1">
              <w:rPr>
                <w:rFonts w:hint="eastAsia"/>
                <w:i/>
                <w:iCs/>
              </w:rPr>
              <w:t>,</w:t>
            </w:r>
            <w:r>
              <w:rPr>
                <w:i/>
                <w:iCs/>
              </w:rPr>
              <w:t xml:space="preserve"> Price-/Wage-</w:t>
            </w:r>
            <w:r w:rsidRPr="009915D1">
              <w:rPr>
                <w:rFonts w:hint="eastAsia"/>
                <w:i/>
                <w:iCs/>
              </w:rPr>
              <w:t xml:space="preserve"> </w:t>
            </w:r>
            <w:r>
              <w:rPr>
                <w:i/>
                <w:iCs/>
              </w:rPr>
              <w:t xml:space="preserve">Markup, Risk Premium </w:t>
            </w:r>
            <w:r w:rsidRPr="009915D1">
              <w:rPr>
                <w:rFonts w:hint="eastAsia"/>
                <w:i/>
                <w:iCs/>
              </w:rPr>
              <w:t xml:space="preserve">shocks, see the corresponding </w:t>
            </w:r>
            <w:proofErr w:type="spellStart"/>
            <w:r w:rsidRPr="009915D1">
              <w:rPr>
                <w:rFonts w:hint="eastAsia"/>
                <w:i/>
                <w:iCs/>
              </w:rPr>
              <w:t>png</w:t>
            </w:r>
            <w:proofErr w:type="spellEnd"/>
            <w:r w:rsidRPr="009915D1">
              <w:rPr>
                <w:rFonts w:hint="eastAsia"/>
                <w:i/>
                <w:iCs/>
              </w:rPr>
              <w:t xml:space="preserve"> files</w:t>
            </w:r>
          </w:p>
        </w:tc>
      </w:tr>
      <w:tr w:rsidR="004A09FF" w14:paraId="1BCD7514" w14:textId="77777777" w:rsidTr="00172BBF">
        <w:tc>
          <w:tcPr>
            <w:tcW w:w="9350" w:type="dxa"/>
          </w:tcPr>
          <w:p w14:paraId="14A92E77" w14:textId="77777777" w:rsidR="004A09FF" w:rsidRPr="002865F9" w:rsidRDefault="004A09FF" w:rsidP="00172BBF">
            <w:pPr>
              <w:rPr>
                <w:b/>
                <w:bCs/>
              </w:rPr>
            </w:pPr>
            <w:r w:rsidRPr="002865F9">
              <w:rPr>
                <w:rFonts w:hint="eastAsia"/>
                <w:b/>
                <w:bCs/>
              </w:rPr>
              <w:t>Discussion</w:t>
            </w:r>
          </w:p>
          <w:p w14:paraId="2C8F982B" w14:textId="5688249B" w:rsidR="002865F9" w:rsidRPr="000B400B" w:rsidRDefault="000B400B" w:rsidP="000B400B">
            <w:r w:rsidRPr="000B400B">
              <w:t>This</w:t>
            </w:r>
            <w:r>
              <w:t xml:space="preserve"> figure shows the </w:t>
            </w:r>
            <w:r w:rsidR="003A0A01">
              <w:t>IRF to TFP shock</w:t>
            </w:r>
            <w:r w:rsidR="00FA2A40">
              <w:t xml:space="preserve"> for economies with external- and internal-habit preferences. Just looking at the set of IRFs, we see that the two models yield identical qualitative inferences. The only difference lies with Consumption and Welfare. There are two striking observations: 1) output dynamics in the two economies are mostly identical while consumption dynamics differ; 2) the internal habit </w:t>
            </w:r>
            <w:r w:rsidR="002377D5">
              <w:t>preferences seems to imply greater welfare gains from the same TFP shock. The first observation can be split into two parts: equal output and unequal consumption. Equal output is necessary because the production side of the economy is identical. Consumption levels differ solely because of the differences in preference set up: external habit preferences use aggregate per capita consumption (homogenous value), while internal habit preferences use the idiosyncratic household consumption of the previous period. This implies that even when evaluated at the symmetric equilibrium (</w:t>
            </w:r>
            <m:oMath>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w:r w:rsidR="002377D5">
              <w:t xml:space="preserve">), the marginal utility from consumption for internal habitat is lower by a fixed amount: </w:t>
            </w:r>
            <m:oMath>
              <m:r>
                <w:rPr>
                  <w:rFonts w:ascii="Cambria Math" w:hAnsi="Cambria Math"/>
                </w:rPr>
                <m:t>-βχ</m:t>
              </m:r>
              <m:d>
                <m:dPr>
                  <m:ctrlPr>
                    <w:rPr>
                      <w:rFonts w:ascii="Cambria Math" w:hAnsi="Cambria Math"/>
                      <w:i/>
                    </w:rPr>
                  </m:ctrlPr>
                </m:dPr>
                <m:e>
                  <m:r>
                    <w:rPr>
                      <w:rFonts w:ascii="Cambria Math" w:hAnsi="Cambria Math"/>
                    </w:rPr>
                    <m:t>1-ϱ</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c,t+1</m:t>
                      </m:r>
                    </m:sub>
                    <m:sup>
                      <m:r>
                        <m:rPr>
                          <m:sty m:val="p"/>
                        </m:rPr>
                        <w:rPr>
                          <w:rFonts w:ascii="Cambria Math" w:hAnsi="Cambria Math"/>
                        </w:rPr>
                        <m:t>ext. hab</m:t>
                      </m:r>
                    </m:sup>
                  </m:sSubSup>
                </m:e>
              </m:d>
              <m:r>
                <w:rPr>
                  <w:rFonts w:ascii="Cambria Math" w:hAnsi="Cambria Math"/>
                </w:rPr>
                <m:t>=</m:t>
              </m:r>
              <m:r>
                <w:rPr>
                  <w:rFonts w:ascii="Cambria Math" w:hAnsi="Cambria Math"/>
                </w:rPr>
                <m:t>-βχ</m:t>
              </m:r>
              <m:d>
                <m:dPr>
                  <m:ctrlPr>
                    <w:rPr>
                      <w:rFonts w:ascii="Cambria Math" w:hAnsi="Cambria Math"/>
                      <w:i/>
                    </w:rPr>
                  </m:ctrlPr>
                </m:dPr>
                <m:e>
                  <m:r>
                    <w:rPr>
                      <w:rFonts w:ascii="Cambria Math" w:hAnsi="Cambria Math"/>
                    </w:rPr>
                    <m:t>1-ϱ</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t+1</m:t>
                              </m:r>
                            </m:sub>
                            <m:sup>
                              <m:r>
                                <w:rPr>
                                  <w:rFonts w:ascii="Cambria Math" w:hAnsi="Cambria Math"/>
                                </w:rPr>
                                <m:t>j</m:t>
                              </m:r>
                            </m:sup>
                          </m:sSubSup>
                          <m:r>
                            <w:rPr>
                              <w:rFonts w:ascii="Cambria Math" w:hAnsi="Cambria Math"/>
                            </w:rPr>
                            <m:t>-χ</m:t>
                          </m:r>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j</m:t>
                              </m:r>
                            </m:sup>
                          </m:sSubSup>
                          <m:r>
                            <w:rPr>
                              <w:rFonts w:ascii="Cambria Math" w:hAnsi="Cambria Math"/>
                            </w:rPr>
                            <m:t xml:space="preserve"> </m:t>
                          </m:r>
                        </m:e>
                      </m:d>
                    </m:e>
                    <m:sup>
                      <m:d>
                        <m:dPr>
                          <m:ctrlPr>
                            <w:rPr>
                              <w:rFonts w:ascii="Cambria Math" w:hAnsi="Cambria Math"/>
                              <w:i/>
                            </w:rPr>
                          </m:ctrlPr>
                        </m:dPr>
                        <m:e>
                          <m:r>
                            <w:rPr>
                              <w:rFonts w:ascii="Cambria Math" w:hAnsi="Cambria Math"/>
                            </w:rPr>
                            <m:t>1-ϱ</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c</m:t>
                              </m:r>
                            </m:sub>
                          </m:sSub>
                        </m:e>
                      </m:d>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j</m:t>
                              </m:r>
                            </m:sup>
                          </m:sSubSup>
                        </m:e>
                      </m:d>
                    </m:e>
                    <m:sup>
                      <m:r>
                        <w:rPr>
                          <w:rFonts w:ascii="Cambria Math" w:hAnsi="Cambria Math"/>
                        </w:rPr>
                        <m:t>ϱ(1-</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sup>
                  </m:sSup>
                </m:e>
              </m:d>
            </m:oMath>
            <w:r w:rsidR="00620C7D">
              <w:t xml:space="preserve">. That is, if the household expects next period consumption to be higher than this period consumption, then the </w:t>
            </w:r>
            <w:r w:rsidR="00620C7D">
              <w:lastRenderedPageBreak/>
              <w:t xml:space="preserve">MUC is lower this period (compared to the external habit case). Out of a consumption smoothing incentive, these households would consume a little less this period (compared to the external habit case). Before the unexpected TFP shock hits, the two economies are identical, but when the economy observes the shock, the </w:t>
            </w:r>
            <w:proofErr w:type="gramStart"/>
            <w:r w:rsidR="00620C7D">
              <w:t>aforementioned process</w:t>
            </w:r>
            <w:proofErr w:type="gramEnd"/>
            <w:r w:rsidR="00620C7D">
              <w:t xml:space="preserve"> kicks in. The reduced consumption is then converted into capital investment. Another way to understand the internal habit preferences is that consumption smoothing of the household is of greater ‘importance.’ As such, even when there is a productivity increase, these households with internal habit </w:t>
            </w:r>
            <w:proofErr w:type="gramStart"/>
            <w:r w:rsidR="00620C7D">
              <w:t>is</w:t>
            </w:r>
            <w:proofErr w:type="gramEnd"/>
            <w:r w:rsidR="00620C7D">
              <w:t xml:space="preserve"> willing to give up consuming more for a smoother change in consumption behavior. </w:t>
            </w:r>
            <w:r w:rsidR="004B4331">
              <w:t xml:space="preserve">Because of this, there will be more investment in this economy, and thereby a more sustained welfare </w:t>
            </w:r>
            <w:proofErr w:type="gramStart"/>
            <w:r w:rsidR="004B4331">
              <w:t>gain</w:t>
            </w:r>
            <w:proofErr w:type="gramEnd"/>
            <w:r w:rsidR="004B4331">
              <w:t xml:space="preserve"> from the TFP shock.</w:t>
            </w:r>
          </w:p>
        </w:tc>
      </w:tr>
    </w:tbl>
    <w:p w14:paraId="65D9582F" w14:textId="05BFB7ED" w:rsidR="004A09FF" w:rsidRDefault="004A09FF"/>
    <w:p w14:paraId="20727E9E" w14:textId="77777777" w:rsidR="00B83B6B" w:rsidRDefault="00B83B6B"/>
    <w:p w14:paraId="7E9BCD03" w14:textId="77777777" w:rsidR="004C1765" w:rsidRDefault="004C1765">
      <w:pPr>
        <w:rPr>
          <w:rFonts w:eastAsiaTheme="majorEastAsia" w:cstheme="majorBidi"/>
          <w:color w:val="0F4761" w:themeColor="accent1" w:themeShade="BF"/>
          <w:sz w:val="28"/>
          <w:szCs w:val="28"/>
        </w:rPr>
      </w:pPr>
      <w:r>
        <w:br w:type="page"/>
      </w:r>
    </w:p>
    <w:p w14:paraId="12797785" w14:textId="2F02CC73" w:rsidR="004A09FF" w:rsidRDefault="0027350B" w:rsidP="004C1765">
      <w:pPr>
        <w:pStyle w:val="Heading3"/>
      </w:pPr>
      <w:r>
        <w:lastRenderedPageBreak/>
        <w:t>Capital Utilization</w:t>
      </w:r>
    </w:p>
    <w:tbl>
      <w:tblPr>
        <w:tblStyle w:val="TableGrid"/>
        <w:tblW w:w="0" w:type="auto"/>
        <w:tblLook w:val="04A0" w:firstRow="1" w:lastRow="0" w:firstColumn="1" w:lastColumn="0" w:noHBand="0" w:noVBand="1"/>
      </w:tblPr>
      <w:tblGrid>
        <w:gridCol w:w="9350"/>
      </w:tblGrid>
      <w:tr w:rsidR="00794EFC" w14:paraId="161A8EE7" w14:textId="77777777" w:rsidTr="00172BBF">
        <w:tc>
          <w:tcPr>
            <w:tcW w:w="9350" w:type="dxa"/>
          </w:tcPr>
          <w:p w14:paraId="64A4DA49" w14:textId="77777777" w:rsidR="00794EFC" w:rsidRDefault="00794EFC" w:rsidP="00172BBF">
            <w:r>
              <w:rPr>
                <w:rFonts w:hint="eastAsia"/>
              </w:rPr>
              <w:t>Do</w:t>
            </w:r>
          </w:p>
          <w:p w14:paraId="23570175" w14:textId="10C4EAEE" w:rsidR="0027350B" w:rsidRDefault="0027350B" w:rsidP="0027350B">
            <w:pPr>
              <w:pStyle w:val="ListParagraph"/>
              <w:numPr>
                <w:ilvl w:val="0"/>
                <w:numId w:val="3"/>
              </w:numPr>
            </w:pPr>
            <w:r>
              <w:t xml:space="preserve">Create new file </w:t>
            </w:r>
            <w:r>
              <w:t>‘</w:t>
            </w:r>
            <w:r>
              <w:rPr>
                <w:color w:val="00B0F0"/>
              </w:rPr>
              <w:t>NK_SW</w:t>
            </w:r>
            <w:r>
              <w:rPr>
                <w:color w:val="00B0F0"/>
              </w:rPr>
              <w:t>_noUtilization</w:t>
            </w:r>
            <w:r w:rsidRPr="004A09FF">
              <w:rPr>
                <w:rFonts w:hint="eastAsia"/>
                <w:color w:val="00B0F0"/>
              </w:rPr>
              <w:t>.mod</w:t>
            </w:r>
            <w:r w:rsidRPr="0027350B">
              <w:t>’</w:t>
            </w:r>
          </w:p>
          <w:p w14:paraId="32A2CA08" w14:textId="77777777" w:rsidR="00794EFC" w:rsidRPr="006C55E4" w:rsidRDefault="0027350B" w:rsidP="00794EFC">
            <w:pPr>
              <w:pStyle w:val="ListParagraph"/>
              <w:numPr>
                <w:ilvl w:val="1"/>
                <w:numId w:val="3"/>
              </w:numPr>
            </w:pPr>
            <w:r>
              <w:t xml:space="preserve">Remove utilization variable u </w:t>
            </w:r>
            <w:r w:rsidRPr="0027350B">
              <w:rPr>
                <w:i/>
                <w:iCs/>
              </w:rPr>
              <w:t>(line 9)</w:t>
            </w:r>
          </w:p>
          <w:p w14:paraId="4EFE0B51" w14:textId="0304FBD2" w:rsidR="006C55E4" w:rsidRPr="0027350B" w:rsidRDefault="006C55E4" w:rsidP="006C55E4">
            <w:pPr>
              <w:pStyle w:val="ListParagraph"/>
              <w:numPr>
                <w:ilvl w:val="2"/>
                <w:numId w:val="3"/>
              </w:numPr>
            </w:pPr>
            <w:r>
              <w:t xml:space="preserve">Remove capital rental condition with capital utilization cost </w:t>
            </w:r>
            <w:r w:rsidRPr="006C55E4">
              <w:rPr>
                <w:i/>
                <w:iCs/>
              </w:rPr>
              <w:t>(line 132)</w:t>
            </w:r>
          </w:p>
          <w:p w14:paraId="0DBBBA83" w14:textId="77777777" w:rsidR="0027350B" w:rsidRDefault="006C55E4" w:rsidP="00794EFC">
            <w:pPr>
              <w:pStyle w:val="ListParagraph"/>
              <w:numPr>
                <w:ilvl w:val="1"/>
                <w:numId w:val="3"/>
              </w:numPr>
            </w:pPr>
            <w:r>
              <w:t xml:space="preserve">Set a(u)=0 </w:t>
            </w:r>
            <w:r w:rsidRPr="00E8201A">
              <w:rPr>
                <w:i/>
                <w:iCs/>
              </w:rPr>
              <w:t>(line 155)</w:t>
            </w:r>
          </w:p>
          <w:p w14:paraId="243DA941" w14:textId="7579B906" w:rsidR="006C55E4" w:rsidRPr="006217D1" w:rsidRDefault="006C55E4" w:rsidP="00794EFC">
            <w:pPr>
              <w:pStyle w:val="ListParagraph"/>
              <w:numPr>
                <w:ilvl w:val="1"/>
                <w:numId w:val="3"/>
              </w:numPr>
              <w:rPr>
                <w:sz w:val="18"/>
                <w:szCs w:val="18"/>
              </w:rPr>
            </w:pPr>
            <w:r>
              <w:t xml:space="preserve">Set u=1 for everywhere it </w:t>
            </w:r>
            <w:r w:rsidRPr="006217D1">
              <w:t>appears</w:t>
            </w:r>
            <w:r w:rsidR="006217D1" w:rsidRPr="006217D1">
              <w:rPr>
                <w:sz w:val="21"/>
                <w:szCs w:val="21"/>
              </w:rPr>
              <w:t xml:space="preserve"> </w:t>
            </w:r>
            <w:r w:rsidR="006217D1" w:rsidRPr="006217D1">
              <w:rPr>
                <w:sz w:val="18"/>
                <w:szCs w:val="18"/>
              </w:rPr>
              <w:t xml:space="preserve">(equations displayed are </w:t>
            </w:r>
            <w:r w:rsidR="006217D1">
              <w:rPr>
                <w:sz w:val="18"/>
                <w:szCs w:val="18"/>
              </w:rPr>
              <w:t>non-</w:t>
            </w:r>
            <w:r w:rsidR="006217D1" w:rsidRPr="006217D1">
              <w:rPr>
                <w:sz w:val="18"/>
                <w:szCs w:val="18"/>
              </w:rPr>
              <w:t>detrended versions)</w:t>
            </w:r>
          </w:p>
          <w:p w14:paraId="3B23014D" w14:textId="0DFF28B6" w:rsidR="006C55E4" w:rsidRDefault="006C55E4" w:rsidP="006C55E4">
            <w:pPr>
              <w:pStyle w:val="ListParagraph"/>
              <w:numPr>
                <w:ilvl w:val="2"/>
                <w:numId w:val="3"/>
              </w:numPr>
              <w:rPr>
                <w:i/>
                <w:iCs/>
              </w:rPr>
            </w:pPr>
            <w:r w:rsidRPr="006C55E4">
              <w:rPr>
                <w:i/>
                <w:iCs/>
              </w:rPr>
              <w:t xml:space="preserve">[Tobin’s Q, </w:t>
            </w:r>
            <w:r w:rsidRPr="00E8201A">
              <w:rPr>
                <w:i/>
                <w:iCs/>
                <w:u w:val="single"/>
              </w:rPr>
              <w:t>line 138</w:t>
            </w:r>
            <w:r w:rsidRPr="006C55E4">
              <w:rPr>
                <w:i/>
                <w:iCs/>
              </w:rPr>
              <w:t>]</w:t>
            </w:r>
            <w:r>
              <w:t xml:space="preserve"> </w:t>
            </w:r>
            <m:oMath>
              <m: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t,t+1</m:t>
                        </m:r>
                      </m:sub>
                    </m:sSub>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t+1</m:t>
                                </m:r>
                              </m:sub>
                              <m:sup>
                                <m:r>
                                  <w:rPr>
                                    <w:rFonts w:ascii="Cambria Math" w:hAnsi="Cambria Math"/>
                                  </w:rPr>
                                  <m:t>K</m:t>
                                </m:r>
                              </m:sup>
                            </m:sSubSup>
                            <m:r>
                              <w:rPr>
                                <w:rFonts w:ascii="Cambria Math" w:hAnsi="Cambria Math"/>
                              </w:rPr>
                              <m:t>*</m:t>
                            </m:r>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t+1</m:t>
                                </m:r>
                              </m:sub>
                            </m:sSub>
                            <m:r>
                              <w:rPr>
                                <w:rFonts w:ascii="Cambria Math" w:hAnsi="Cambria Math"/>
                              </w:rPr>
                              <m:t>-</m:t>
                            </m:r>
                            <m:r>
                              <w:rPr>
                                <w:rFonts w:ascii="Cambria Math" w:hAnsi="Cambria Math"/>
                                <w:color w:val="A6A6A6" w:themeColor="background1" w:themeShade="A6"/>
                              </w:rPr>
                              <m:t>a(</m:t>
                            </m:r>
                            <m:sSub>
                              <m:sSubPr>
                                <m:ctrlPr>
                                  <w:rPr>
                                    <w:rFonts w:ascii="Cambria Math" w:hAnsi="Cambria Math"/>
                                    <w:i/>
                                    <w:color w:val="A6A6A6" w:themeColor="background1" w:themeShade="A6"/>
                                  </w:rPr>
                                </m:ctrlPr>
                              </m:sSubPr>
                              <m:e>
                                <m:r>
                                  <w:rPr>
                                    <w:rFonts w:ascii="Cambria Math" w:hAnsi="Cambria Math"/>
                                    <w:color w:val="A6A6A6" w:themeColor="background1" w:themeShade="A6"/>
                                  </w:rPr>
                                  <m:t>u</m:t>
                                </m:r>
                              </m:e>
                              <m:sub>
                                <m:r>
                                  <w:rPr>
                                    <w:rFonts w:ascii="Cambria Math" w:hAnsi="Cambria Math"/>
                                    <w:color w:val="A6A6A6" w:themeColor="background1" w:themeShade="A6"/>
                                  </w:rPr>
                                  <m:t>t+1</m:t>
                                </m:r>
                              </m:sub>
                            </m:sSub>
                            <m:r>
                              <w:rPr>
                                <w:rFonts w:ascii="Cambria Math" w:hAnsi="Cambria Math"/>
                                <w:color w:val="A6A6A6" w:themeColor="background1" w:themeShade="A6"/>
                              </w:rPr>
                              <m:t>)</m:t>
                            </m:r>
                          </m:e>
                        </m:d>
                      </m:e>
                    </m:d>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Q</m:t>
                        </m:r>
                      </m:e>
                      <m:sub>
                        <m:r>
                          <w:rPr>
                            <w:rFonts w:ascii="Cambria Math" w:hAnsi="Cambria Math"/>
                          </w:rPr>
                          <m:t>t+1</m:t>
                        </m:r>
                      </m:sub>
                    </m:sSub>
                  </m:e>
                </m:d>
              </m:oMath>
            </m:oMathPara>
          </w:p>
          <w:p w14:paraId="069CA872" w14:textId="0EC7FC48" w:rsidR="006C55E4" w:rsidRDefault="00E8201A" w:rsidP="006C55E4">
            <w:pPr>
              <w:pStyle w:val="ListParagraph"/>
              <w:numPr>
                <w:ilvl w:val="2"/>
                <w:numId w:val="3"/>
              </w:numPr>
              <w:rPr>
                <w:i/>
                <w:iCs/>
              </w:rPr>
            </w:pPr>
            <w:r>
              <w:rPr>
                <w:i/>
                <w:iCs/>
              </w:rPr>
              <w:t xml:space="preserve">[Production, </w:t>
            </w:r>
            <w:r w:rsidRPr="00E8201A">
              <w:rPr>
                <w:i/>
                <w:iCs/>
                <w:u w:val="single"/>
              </w:rPr>
              <w:t>line 182</w:t>
            </w:r>
            <w:r>
              <w:rPr>
                <w:i/>
                <w:iCs/>
              </w:rPr>
              <w:t xml:space="preserve">] </w:t>
            </w:r>
            <w:r>
              <w:rPr>
                <w:i/>
                <w:iCs/>
              </w:rPr>
              <w:br/>
            </w:r>
            <m:oMathPara>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W</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d</m:t>
                            </m:r>
                          </m:sup>
                        </m:sSubSup>
                      </m:e>
                    </m:d>
                  </m:e>
                  <m:sup>
                    <m:r>
                      <w:rPr>
                        <w:rFonts w:ascii="Cambria Math" w:hAnsi="Cambria Math"/>
                      </w:rPr>
                      <m:t>α</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t</m:t>
                            </m:r>
                          </m:sub>
                        </m:sSub>
                        <m:sSub>
                          <m:sSubPr>
                            <m:ctrlPr>
                              <w:rPr>
                                <w:rFonts w:ascii="Cambria Math" w:hAnsi="Cambria Math"/>
                                <w:i/>
                              </w:rPr>
                            </m:ctrlPr>
                          </m:sSubPr>
                          <m:e>
                            <m:r>
                              <w:rPr>
                                <w:rFonts w:ascii="Cambria Math" w:hAnsi="Cambria Math"/>
                              </w:rPr>
                              <m:t>K</m:t>
                            </m:r>
                          </m:e>
                          <m:sub>
                            <m:r>
                              <w:rPr>
                                <w:rFonts w:ascii="Cambria Math" w:hAnsi="Cambria Math"/>
                              </w:rPr>
                              <m:t>t-1</m:t>
                            </m:r>
                          </m:sub>
                        </m:sSub>
                      </m:e>
                    </m:d>
                  </m:e>
                  <m:sup>
                    <m:r>
                      <w:rPr>
                        <w:rFonts w:ascii="Cambria Math" w:hAnsi="Cambria Math"/>
                      </w:rPr>
                      <m:t>1-α</m:t>
                    </m:r>
                  </m:sup>
                </m:sSup>
              </m:oMath>
            </m:oMathPara>
          </w:p>
          <w:p w14:paraId="2312B467" w14:textId="6F8BB3A1" w:rsidR="00E8201A" w:rsidRPr="006217D1" w:rsidRDefault="00E8201A" w:rsidP="006C55E4">
            <w:pPr>
              <w:pStyle w:val="ListParagraph"/>
              <w:numPr>
                <w:ilvl w:val="2"/>
                <w:numId w:val="3"/>
              </w:numPr>
              <w:rPr>
                <w:i/>
                <w:iCs/>
              </w:rPr>
            </w:pPr>
            <w:r>
              <w:rPr>
                <w:i/>
                <w:iCs/>
              </w:rPr>
              <w:t xml:space="preserve">[Firm FOC K, </w:t>
            </w:r>
            <w:r w:rsidRPr="00E8201A">
              <w:rPr>
                <w:i/>
                <w:iCs/>
                <w:u w:val="single"/>
              </w:rPr>
              <w:t>line 189</w:t>
            </w:r>
            <w:r>
              <w:rPr>
                <w:i/>
                <w:iCs/>
              </w:rPr>
              <w:t>]</w:t>
            </w:r>
            <w:r>
              <w:rPr>
                <w:i/>
                <w:iCs/>
              </w:rPr>
              <w:br/>
            </w: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d>
                  <m:dPr>
                    <m:ctrlPr>
                      <w:rPr>
                        <w:rFonts w:ascii="Cambria Math" w:hAnsi="Cambria Math"/>
                        <w:i/>
                      </w:rPr>
                    </m:ctrlPr>
                  </m:dPr>
                  <m:e>
                    <m:r>
                      <w:rPr>
                        <w:rFonts w:ascii="Cambria Math" w:hAnsi="Cambria Math"/>
                      </w:rPr>
                      <m:t>1-α</m:t>
                    </m:r>
                  </m:e>
                </m:d>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W</m:t>
                        </m:r>
                      </m:sup>
                    </m:sSubSup>
                  </m:num>
                  <m:den>
                    <m:sSub>
                      <m:sSubPr>
                        <m:ctrlPr>
                          <w:rPr>
                            <w:rFonts w:ascii="Cambria Math" w:hAnsi="Cambria Math"/>
                            <w:i/>
                          </w:rPr>
                        </m:ctrlPr>
                      </m:sSubPr>
                      <m:e>
                        <m:r>
                          <w:rPr>
                            <w:rFonts w:ascii="Cambria Math" w:hAnsi="Cambria Math"/>
                          </w:rPr>
                          <m:t>P</m:t>
                        </m:r>
                      </m:e>
                      <m:sub>
                        <m:r>
                          <w:rPr>
                            <w:rFonts w:ascii="Cambria Math" w:hAnsi="Cambria Math"/>
                          </w:rPr>
                          <m:t>t</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W</m:t>
                        </m:r>
                      </m:sup>
                    </m:sSubSup>
                  </m:num>
                  <m:den>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t</m:t>
                        </m:r>
                      </m:sub>
                    </m:sSub>
                    <m:sSub>
                      <m:sSubPr>
                        <m:ctrlPr>
                          <w:rPr>
                            <w:rFonts w:ascii="Cambria Math" w:hAnsi="Cambria Math"/>
                            <w:i/>
                          </w:rPr>
                        </m:ctrlPr>
                      </m:sSubPr>
                      <m:e>
                        <m:r>
                          <w:rPr>
                            <w:rFonts w:ascii="Cambria Math" w:hAnsi="Cambria Math"/>
                          </w:rPr>
                          <m:t>K</m:t>
                        </m:r>
                      </m:e>
                      <m:sub>
                        <m:r>
                          <w:rPr>
                            <w:rFonts w:ascii="Cambria Math" w:hAnsi="Cambria Math"/>
                          </w:rPr>
                          <m:t>t-1</m:t>
                        </m:r>
                      </m:sub>
                    </m:sSub>
                  </m:den>
                </m:f>
              </m:oMath>
            </m:oMathPara>
          </w:p>
          <w:p w14:paraId="1EFAC138" w14:textId="4DE76572" w:rsidR="006217D1" w:rsidRDefault="006217D1" w:rsidP="006C55E4">
            <w:pPr>
              <w:pStyle w:val="ListParagraph"/>
              <w:numPr>
                <w:ilvl w:val="2"/>
                <w:numId w:val="3"/>
              </w:numPr>
              <w:rPr>
                <w:i/>
                <w:iCs/>
              </w:rPr>
            </w:pPr>
            <w:r>
              <w:rPr>
                <w:i/>
                <w:iCs/>
              </w:rPr>
              <w:t>[Gross Return on K, line 226]</w:t>
            </w:r>
          </w:p>
          <w:p w14:paraId="331272A9" w14:textId="3CC45A0E" w:rsidR="006217D1" w:rsidRPr="006217D1" w:rsidRDefault="006217D1" w:rsidP="006217D1">
            <w:pPr>
              <w:ind w:left="993"/>
              <w:rPr>
                <w:i/>
                <w:iCs/>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t</m:t>
                        </m:r>
                      </m:sub>
                    </m:sSub>
                    <m:r>
                      <w:rPr>
                        <w:rFonts w:ascii="Cambria Math" w:hAnsi="Cambria Math"/>
                      </w:rPr>
                      <m:t>-</m:t>
                    </m:r>
                    <m:r>
                      <w:rPr>
                        <w:rFonts w:ascii="Cambria Math" w:hAnsi="Cambria Math"/>
                        <w:color w:val="A6A6A6" w:themeColor="background1" w:themeShade="A6"/>
                      </w:rPr>
                      <m:t>a</m:t>
                    </m:r>
                    <m:d>
                      <m:dPr>
                        <m:ctrlPr>
                          <w:rPr>
                            <w:rFonts w:ascii="Cambria Math" w:hAnsi="Cambria Math"/>
                            <w:i/>
                            <w:color w:val="A6A6A6" w:themeColor="background1" w:themeShade="A6"/>
                          </w:rPr>
                        </m:ctrlPr>
                      </m:dPr>
                      <m:e>
                        <m:sSub>
                          <m:sSubPr>
                            <m:ctrlPr>
                              <w:rPr>
                                <w:rFonts w:ascii="Cambria Math" w:hAnsi="Cambria Math"/>
                                <w:i/>
                                <w:color w:val="A6A6A6" w:themeColor="background1" w:themeShade="A6"/>
                              </w:rPr>
                            </m:ctrlPr>
                          </m:sSubPr>
                          <m:e>
                            <m:r>
                              <w:rPr>
                                <w:rFonts w:ascii="Cambria Math" w:hAnsi="Cambria Math"/>
                                <w:color w:val="A6A6A6" w:themeColor="background1" w:themeShade="A6"/>
                              </w:rPr>
                              <m:t>u</m:t>
                            </m:r>
                          </m:e>
                          <m:sub>
                            <m:r>
                              <w:rPr>
                                <w:rFonts w:ascii="Cambria Math" w:hAnsi="Cambria Math"/>
                                <w:color w:val="A6A6A6" w:themeColor="background1" w:themeShade="A6"/>
                              </w:rPr>
                              <m:t>t</m:t>
                            </m:r>
                          </m:sub>
                        </m:sSub>
                      </m:e>
                    </m:d>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Q</m:t>
                        </m:r>
                      </m:e>
                      <m:sub>
                        <m:r>
                          <w:rPr>
                            <w:rFonts w:ascii="Cambria Math" w:hAnsi="Cambria Math"/>
                          </w:rPr>
                          <m:t>t</m:t>
                        </m:r>
                      </m:sub>
                    </m:sSub>
                  </m:num>
                  <m:den>
                    <m:sSub>
                      <m:sSubPr>
                        <m:ctrlPr>
                          <w:rPr>
                            <w:rFonts w:ascii="Cambria Math" w:hAnsi="Cambria Math"/>
                            <w:i/>
                          </w:rPr>
                        </m:ctrlPr>
                      </m:sSubPr>
                      <m:e>
                        <m:r>
                          <w:rPr>
                            <w:rFonts w:ascii="Cambria Math" w:hAnsi="Cambria Math"/>
                          </w:rPr>
                          <m:t>Q</m:t>
                        </m:r>
                      </m:e>
                      <m:sub>
                        <m:r>
                          <w:rPr>
                            <w:rFonts w:ascii="Cambria Math" w:hAnsi="Cambria Math"/>
                          </w:rPr>
                          <m:t>t-1</m:t>
                        </m:r>
                      </m:sub>
                    </m:sSub>
                  </m:den>
                </m:f>
              </m:oMath>
            </m:oMathPara>
          </w:p>
          <w:p w14:paraId="4358ED7C" w14:textId="5B63F94A" w:rsidR="006C55E4" w:rsidRDefault="006C55E4" w:rsidP="00794EFC">
            <w:pPr>
              <w:pStyle w:val="ListParagraph"/>
              <w:numPr>
                <w:ilvl w:val="1"/>
                <w:numId w:val="3"/>
              </w:numPr>
            </w:pPr>
            <w:r>
              <w:t xml:space="preserve">Set </w:t>
            </w:r>
            <w:proofErr w:type="spellStart"/>
            <w:r>
              <w:t>adash</w:t>
            </w:r>
            <w:proofErr w:type="spellEnd"/>
            <w:r>
              <w:t xml:space="preserve"> =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oMath>
            <w:r>
              <w:t xml:space="preserve"> (to clear steady state model</w:t>
            </w:r>
            <w:r w:rsidR="00E8201A">
              <w:t xml:space="preserve">, </w:t>
            </w:r>
            <w:r w:rsidR="00E8201A" w:rsidRPr="00E8201A">
              <w:rPr>
                <w:i/>
                <w:iCs/>
              </w:rPr>
              <w:t>line 159</w:t>
            </w:r>
            <w:r>
              <w:t>)</w:t>
            </w:r>
          </w:p>
          <w:p w14:paraId="2C215730" w14:textId="6D97CB65" w:rsidR="006C55E4" w:rsidRDefault="006C55E4" w:rsidP="006C55E4"/>
        </w:tc>
      </w:tr>
      <w:tr w:rsidR="00794EFC" w14:paraId="721D33B9" w14:textId="77777777" w:rsidTr="00172BBF">
        <w:tc>
          <w:tcPr>
            <w:tcW w:w="9350" w:type="dxa"/>
          </w:tcPr>
          <w:p w14:paraId="13E8EBD1" w14:textId="77777777" w:rsidR="00794EFC" w:rsidRDefault="00794EFC" w:rsidP="00172BBF">
            <w:r>
              <w:rPr>
                <w:rFonts w:hint="eastAsia"/>
              </w:rPr>
              <w:t>Results</w:t>
            </w:r>
          </w:p>
          <w:p w14:paraId="2D16C1D2" w14:textId="6E7CCBB6" w:rsidR="004C1765" w:rsidRDefault="004C1765" w:rsidP="00616F56">
            <w:pPr>
              <w:pStyle w:val="ListParagraph"/>
              <w:numPr>
                <w:ilvl w:val="1"/>
                <w:numId w:val="3"/>
              </w:numPr>
            </w:pPr>
            <w:r>
              <w:rPr>
                <w:rFonts w:hint="eastAsia"/>
              </w:rPr>
              <w:t>&lt;</w:t>
            </w:r>
            <w:r w:rsidR="006217D1">
              <w:t>UtilizationCost-TFP</w:t>
            </w:r>
            <w:r>
              <w:rPr>
                <w:rFonts w:hint="eastAsia"/>
              </w:rPr>
              <w:t>.png&gt;</w:t>
            </w:r>
            <w:r w:rsidR="006217D1">
              <w:rPr>
                <w:noProof/>
              </w:rPr>
              <w:drawing>
                <wp:inline distT="0" distB="0" distL="0" distR="0" wp14:anchorId="2FAF596C" wp14:editId="453E6362">
                  <wp:extent cx="4375657" cy="3483229"/>
                  <wp:effectExtent l="0" t="0" r="6350" b="0"/>
                  <wp:docPr id="1522533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33564" name="Picture 15225335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7619" cy="3492752"/>
                          </a:xfrm>
                          <a:prstGeom prst="rect">
                            <a:avLst/>
                          </a:prstGeom>
                        </pic:spPr>
                      </pic:pic>
                    </a:graphicData>
                  </a:graphic>
                </wp:inline>
              </w:drawing>
            </w:r>
          </w:p>
          <w:p w14:paraId="1CD6911D" w14:textId="77777777" w:rsidR="00616F56" w:rsidRDefault="00616F56" w:rsidP="00616F56"/>
          <w:p w14:paraId="790E6181" w14:textId="77777777" w:rsidR="00616F56" w:rsidRDefault="00616F56" w:rsidP="00616F56"/>
          <w:p w14:paraId="76DD8C1F" w14:textId="7BD9C71C" w:rsidR="00616F56" w:rsidRDefault="00616F56" w:rsidP="00794EFC">
            <w:pPr>
              <w:pStyle w:val="ListParagraph"/>
              <w:numPr>
                <w:ilvl w:val="1"/>
                <w:numId w:val="3"/>
              </w:numPr>
            </w:pPr>
            <w:r>
              <w:lastRenderedPageBreak/>
              <w:t xml:space="preserve">&lt; </w:t>
            </w:r>
            <w:r>
              <w:t>UtilizationCost-</w:t>
            </w:r>
            <w:r>
              <w:t>CapQuality</w:t>
            </w:r>
            <w:r>
              <w:rPr>
                <w:rFonts w:hint="eastAsia"/>
              </w:rPr>
              <w:t>.png</w:t>
            </w:r>
            <w:r>
              <w:t xml:space="preserve"> &gt;</w:t>
            </w:r>
          </w:p>
          <w:p w14:paraId="7E32AC3C" w14:textId="6D17C720" w:rsidR="00616F56" w:rsidRPr="00616F56" w:rsidRDefault="00616F56" w:rsidP="00616F56">
            <w:pPr>
              <w:pStyle w:val="ListParagraph"/>
              <w:ind w:left="1080"/>
            </w:pPr>
            <w:r>
              <w:rPr>
                <w:noProof/>
              </w:rPr>
              <w:drawing>
                <wp:inline distT="0" distB="0" distL="0" distR="0" wp14:anchorId="443F17F4" wp14:editId="23F1A6E0">
                  <wp:extent cx="4935866" cy="3929181"/>
                  <wp:effectExtent l="0" t="0" r="4445" b="0"/>
                  <wp:docPr id="526490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90495" name="Picture 5264904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1393" cy="3941541"/>
                          </a:xfrm>
                          <a:prstGeom prst="rect">
                            <a:avLst/>
                          </a:prstGeom>
                        </pic:spPr>
                      </pic:pic>
                    </a:graphicData>
                  </a:graphic>
                </wp:inline>
              </w:drawing>
            </w:r>
          </w:p>
          <w:p w14:paraId="69AB77BB" w14:textId="2C5579F9" w:rsidR="004C1765" w:rsidRDefault="00616F56" w:rsidP="00794EFC">
            <w:pPr>
              <w:pStyle w:val="ListParagraph"/>
              <w:numPr>
                <w:ilvl w:val="1"/>
                <w:numId w:val="3"/>
              </w:numPr>
            </w:pPr>
            <w:r w:rsidRPr="009915D1">
              <w:rPr>
                <w:rFonts w:hint="eastAsia"/>
                <w:i/>
                <w:iCs/>
              </w:rPr>
              <w:t>For G</w:t>
            </w:r>
            <w:r>
              <w:rPr>
                <w:i/>
                <w:iCs/>
              </w:rPr>
              <w:t>overnment Expenditure</w:t>
            </w:r>
            <w:r w:rsidRPr="009915D1">
              <w:rPr>
                <w:rFonts w:hint="eastAsia"/>
                <w:i/>
                <w:iCs/>
              </w:rPr>
              <w:t>, M</w:t>
            </w:r>
            <w:r>
              <w:rPr>
                <w:i/>
                <w:iCs/>
              </w:rPr>
              <w:t>onetary Policy</w:t>
            </w:r>
            <w:r w:rsidRPr="009915D1">
              <w:rPr>
                <w:rFonts w:hint="eastAsia"/>
                <w:i/>
                <w:iCs/>
              </w:rPr>
              <w:t>,</w:t>
            </w:r>
            <w:r>
              <w:rPr>
                <w:i/>
                <w:iCs/>
              </w:rPr>
              <w:t xml:space="preserve"> Price-/Wage-</w:t>
            </w:r>
            <w:r w:rsidRPr="009915D1">
              <w:rPr>
                <w:rFonts w:hint="eastAsia"/>
                <w:i/>
                <w:iCs/>
              </w:rPr>
              <w:t xml:space="preserve"> </w:t>
            </w:r>
            <w:r>
              <w:rPr>
                <w:i/>
                <w:iCs/>
              </w:rPr>
              <w:t xml:space="preserve">Markup, Risk Premium </w:t>
            </w:r>
            <w:r w:rsidRPr="009915D1">
              <w:rPr>
                <w:rFonts w:hint="eastAsia"/>
                <w:i/>
                <w:iCs/>
              </w:rPr>
              <w:t xml:space="preserve">shocks, see the corresponding </w:t>
            </w:r>
            <w:proofErr w:type="spellStart"/>
            <w:r w:rsidRPr="009915D1">
              <w:rPr>
                <w:rFonts w:hint="eastAsia"/>
                <w:i/>
                <w:iCs/>
              </w:rPr>
              <w:t>png</w:t>
            </w:r>
            <w:proofErr w:type="spellEnd"/>
            <w:r w:rsidRPr="009915D1">
              <w:rPr>
                <w:rFonts w:hint="eastAsia"/>
                <w:i/>
                <w:iCs/>
              </w:rPr>
              <w:t xml:space="preserve"> files</w:t>
            </w:r>
          </w:p>
        </w:tc>
      </w:tr>
      <w:tr w:rsidR="00794EFC" w14:paraId="34C47E00" w14:textId="77777777" w:rsidTr="00172BBF">
        <w:tc>
          <w:tcPr>
            <w:tcW w:w="9350" w:type="dxa"/>
          </w:tcPr>
          <w:p w14:paraId="58FCD4B2" w14:textId="77777777" w:rsidR="00794EFC" w:rsidRDefault="00794EFC" w:rsidP="00172BBF">
            <w:pPr>
              <w:rPr>
                <w:b/>
                <w:bCs/>
              </w:rPr>
            </w:pPr>
            <w:r w:rsidRPr="004C1765">
              <w:rPr>
                <w:rFonts w:hint="eastAsia"/>
                <w:b/>
                <w:bCs/>
              </w:rPr>
              <w:lastRenderedPageBreak/>
              <w:t>Discussion</w:t>
            </w:r>
          </w:p>
          <w:p w14:paraId="2B99CB47" w14:textId="750F615E" w:rsidR="00616F56" w:rsidRDefault="00616F56" w:rsidP="00172BBF">
            <w:r>
              <w:t xml:space="preserve">With a positive TFP shock, things look very similar, regardless of the presence of capital utilization costs. Yet when there is a positive capital quality shock, things become much more interesting. </w:t>
            </w:r>
            <w:r w:rsidR="00695F44">
              <w:t xml:space="preserve">Following an increase in capital productivity, the economy without variable utilization is stuck with the amount of capital stock it inherited from the previous period. Then, this productivity increase will be reflected in a price deflation. Yet, when utilization is variable, the economy can choose to incur a bit of a utilization cost and increase production by increasing capital utilization rates. This reduces the deflationary pressures. Furthermore, because the firms in the economy with variable utilization </w:t>
            </w:r>
            <w:r w:rsidR="006606D3">
              <w:t xml:space="preserve">has more options in the face of external shocks (by adjusting utilization rates subject to </w:t>
            </w:r>
            <w:proofErr w:type="gramStart"/>
            <w:r w:rsidR="006606D3">
              <w:t>an</w:t>
            </w:r>
            <w:proofErr w:type="gramEnd"/>
            <w:r w:rsidR="006606D3">
              <w:t xml:space="preserve"> utilization cost), its IRFs are slightly less volatile. </w:t>
            </w:r>
          </w:p>
          <w:p w14:paraId="28A77DDF" w14:textId="77777777" w:rsidR="00616F56" w:rsidRDefault="00616F56" w:rsidP="00172BBF"/>
          <w:p w14:paraId="2F1D9306" w14:textId="77777777" w:rsidR="00616F56" w:rsidRDefault="00616F56" w:rsidP="00172BBF"/>
          <w:p w14:paraId="65562489" w14:textId="181A0F28" w:rsidR="00616F56" w:rsidRPr="004C1765" w:rsidRDefault="00616F56" w:rsidP="00172BBF">
            <w:r w:rsidRPr="00B96B37">
              <w:rPr>
                <w:color w:val="0070C0"/>
              </w:rPr>
              <w:t xml:space="preserve">Question, IF I allow </w:t>
            </w:r>
            <m:oMath>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t</m:t>
                  </m:r>
                </m:sub>
                <m:sup>
                  <m:r>
                    <w:rPr>
                      <w:rFonts w:ascii="Cambria Math" w:hAnsi="Cambria Math"/>
                      <w:color w:val="0070C0"/>
                    </w:rPr>
                    <m:t>K</m:t>
                  </m:r>
                </m:sup>
              </m:sSub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a</m:t>
                  </m:r>
                </m:e>
                <m:sup>
                  <m:r>
                    <w:rPr>
                      <w:rFonts w:ascii="Cambria Math" w:hAnsi="Cambria Math"/>
                      <w:color w:val="0070C0"/>
                    </w:rPr>
                    <m:t>'</m:t>
                  </m:r>
                </m:sup>
              </m:sSup>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u</m:t>
                      </m:r>
                    </m:e>
                    <m:sub>
                      <m:r>
                        <w:rPr>
                          <w:rFonts w:ascii="Cambria Math" w:hAnsi="Cambria Math"/>
                          <w:color w:val="0070C0"/>
                        </w:rPr>
                        <m:t>t</m:t>
                      </m:r>
                    </m:sub>
                  </m:sSub>
                </m:e>
              </m:d>
            </m:oMath>
            <w:r w:rsidRPr="00B96B37">
              <w:rPr>
                <w:color w:val="0070C0"/>
              </w:rPr>
              <w:t xml:space="preserve">, and comment away the firm’s FOC for capital, I can ALSO get </w:t>
            </w:r>
            <w:proofErr w:type="spellStart"/>
            <w:proofErr w:type="gramStart"/>
            <w:r w:rsidRPr="00B96B37">
              <w:rPr>
                <w:color w:val="0070C0"/>
              </w:rPr>
              <w:t>a</w:t>
            </w:r>
            <w:proofErr w:type="spellEnd"/>
            <w:proofErr w:type="gramEnd"/>
            <w:r w:rsidRPr="00B96B37">
              <w:rPr>
                <w:color w:val="0070C0"/>
              </w:rPr>
              <w:t xml:space="preserve"> error-free </w:t>
            </w:r>
            <w:proofErr w:type="spellStart"/>
            <w:r w:rsidRPr="00B96B37">
              <w:rPr>
                <w:color w:val="0070C0"/>
              </w:rPr>
              <w:t>Dynare</w:t>
            </w:r>
            <w:proofErr w:type="spellEnd"/>
            <w:r w:rsidRPr="00B96B37">
              <w:rPr>
                <w:color w:val="0070C0"/>
              </w:rPr>
              <w:t xml:space="preserve"> IRF figure, but it looks very incorrect. I think this is a good lesson that </w:t>
            </w:r>
            <w:proofErr w:type="spellStart"/>
            <w:r w:rsidRPr="00B96B37">
              <w:rPr>
                <w:color w:val="0070C0"/>
              </w:rPr>
              <w:t>Dynare</w:t>
            </w:r>
            <w:proofErr w:type="spellEnd"/>
            <w:r w:rsidRPr="00B96B37">
              <w:rPr>
                <w:color w:val="0070C0"/>
              </w:rPr>
              <w:t xml:space="preserve"> will return an IRF if steady-state and BK conditions hold. But it does not guarantee it’s the “correct” model it’s solving. </w:t>
            </w:r>
          </w:p>
        </w:tc>
      </w:tr>
    </w:tbl>
    <w:p w14:paraId="440B761A" w14:textId="3A339AFC" w:rsidR="0047173C" w:rsidRDefault="0047173C"/>
    <w:sectPr w:rsidR="00471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8D3"/>
    <w:multiLevelType w:val="hybridMultilevel"/>
    <w:tmpl w:val="ABA41C32"/>
    <w:lvl w:ilvl="0" w:tplc="5F605D9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CA6035"/>
    <w:multiLevelType w:val="hybridMultilevel"/>
    <w:tmpl w:val="2120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F3E40"/>
    <w:multiLevelType w:val="hybridMultilevel"/>
    <w:tmpl w:val="ABA41C32"/>
    <w:lvl w:ilvl="0" w:tplc="FFFFFFFF">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73D5943"/>
    <w:multiLevelType w:val="hybridMultilevel"/>
    <w:tmpl w:val="652E2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4191A"/>
    <w:multiLevelType w:val="hybridMultilevel"/>
    <w:tmpl w:val="2744E98C"/>
    <w:lvl w:ilvl="0" w:tplc="FFFFFFFF">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04090001">
      <w:start w:val="1"/>
      <w:numFmt w:val="bullet"/>
      <w:lvlText w:val=""/>
      <w:lvlJc w:val="left"/>
      <w:pPr>
        <w:ind w:left="1353"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54262159">
    <w:abstractNumId w:val="3"/>
  </w:num>
  <w:num w:numId="2" w16cid:durableId="2136101851">
    <w:abstractNumId w:val="0"/>
  </w:num>
  <w:num w:numId="3" w16cid:durableId="1104299776">
    <w:abstractNumId w:val="4"/>
  </w:num>
  <w:num w:numId="4" w16cid:durableId="1271398762">
    <w:abstractNumId w:val="2"/>
  </w:num>
  <w:num w:numId="5" w16cid:durableId="451553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FF"/>
    <w:rsid w:val="000103ED"/>
    <w:rsid w:val="00021B40"/>
    <w:rsid w:val="000B400B"/>
    <w:rsid w:val="000D2F21"/>
    <w:rsid w:val="000F3D21"/>
    <w:rsid w:val="000F622C"/>
    <w:rsid w:val="0015421C"/>
    <w:rsid w:val="00161A07"/>
    <w:rsid w:val="001964F2"/>
    <w:rsid w:val="002377D5"/>
    <w:rsid w:val="00255673"/>
    <w:rsid w:val="0027350B"/>
    <w:rsid w:val="002865F9"/>
    <w:rsid w:val="002A192F"/>
    <w:rsid w:val="002A7D58"/>
    <w:rsid w:val="003A0A01"/>
    <w:rsid w:val="003A3CB5"/>
    <w:rsid w:val="003F2134"/>
    <w:rsid w:val="004056A3"/>
    <w:rsid w:val="0047173C"/>
    <w:rsid w:val="004A09FF"/>
    <w:rsid w:val="004B0162"/>
    <w:rsid w:val="004B4331"/>
    <w:rsid w:val="004C1765"/>
    <w:rsid w:val="00555F35"/>
    <w:rsid w:val="00582D0B"/>
    <w:rsid w:val="00616F56"/>
    <w:rsid w:val="00620C7D"/>
    <w:rsid w:val="006217D1"/>
    <w:rsid w:val="0063452F"/>
    <w:rsid w:val="006606D3"/>
    <w:rsid w:val="006741CC"/>
    <w:rsid w:val="00695F44"/>
    <w:rsid w:val="006C55E4"/>
    <w:rsid w:val="00777358"/>
    <w:rsid w:val="00794EFC"/>
    <w:rsid w:val="007A2978"/>
    <w:rsid w:val="007D2EA2"/>
    <w:rsid w:val="007D72C2"/>
    <w:rsid w:val="007F56AD"/>
    <w:rsid w:val="00912FEB"/>
    <w:rsid w:val="009158A1"/>
    <w:rsid w:val="00980CAF"/>
    <w:rsid w:val="009915D1"/>
    <w:rsid w:val="0099776D"/>
    <w:rsid w:val="00A64B5D"/>
    <w:rsid w:val="00AC7F4A"/>
    <w:rsid w:val="00B10D58"/>
    <w:rsid w:val="00B83B6B"/>
    <w:rsid w:val="00B96B37"/>
    <w:rsid w:val="00BA027B"/>
    <w:rsid w:val="00D45CF4"/>
    <w:rsid w:val="00DD7353"/>
    <w:rsid w:val="00E162EB"/>
    <w:rsid w:val="00E8201A"/>
    <w:rsid w:val="00E94B14"/>
    <w:rsid w:val="00EC4C61"/>
    <w:rsid w:val="00F64679"/>
    <w:rsid w:val="00FA2A40"/>
    <w:rsid w:val="00FD24C1"/>
    <w:rsid w:val="00FF2C3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4F25A7"/>
  <w15:chartTrackingRefBased/>
  <w15:docId w15:val="{C7566647-E3BD-5E49-856E-6CA111C4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0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0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0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F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4A09F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4A09F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A09F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A09F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A09F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A09F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A09F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A09F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A09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F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A09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F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A09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09FF"/>
    <w:rPr>
      <w:i/>
      <w:iCs/>
      <w:color w:val="404040" w:themeColor="text1" w:themeTint="BF"/>
      <w:lang w:val="en-US"/>
    </w:rPr>
  </w:style>
  <w:style w:type="paragraph" w:styleId="ListParagraph">
    <w:name w:val="List Paragraph"/>
    <w:basedOn w:val="Normal"/>
    <w:uiPriority w:val="34"/>
    <w:qFormat/>
    <w:rsid w:val="004A09FF"/>
    <w:pPr>
      <w:ind w:left="720"/>
      <w:contextualSpacing/>
    </w:pPr>
  </w:style>
  <w:style w:type="character" w:styleId="IntenseEmphasis">
    <w:name w:val="Intense Emphasis"/>
    <w:basedOn w:val="DefaultParagraphFont"/>
    <w:uiPriority w:val="21"/>
    <w:qFormat/>
    <w:rsid w:val="004A09FF"/>
    <w:rPr>
      <w:i/>
      <w:iCs/>
      <w:color w:val="0F4761" w:themeColor="accent1" w:themeShade="BF"/>
    </w:rPr>
  </w:style>
  <w:style w:type="paragraph" w:styleId="IntenseQuote">
    <w:name w:val="Intense Quote"/>
    <w:basedOn w:val="Normal"/>
    <w:next w:val="Normal"/>
    <w:link w:val="IntenseQuoteChar"/>
    <w:uiPriority w:val="30"/>
    <w:qFormat/>
    <w:rsid w:val="004A0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FF"/>
    <w:rPr>
      <w:i/>
      <w:iCs/>
      <w:color w:val="0F4761" w:themeColor="accent1" w:themeShade="BF"/>
      <w:lang w:val="en-US"/>
    </w:rPr>
  </w:style>
  <w:style w:type="character" w:styleId="IntenseReference">
    <w:name w:val="Intense Reference"/>
    <w:basedOn w:val="DefaultParagraphFont"/>
    <w:uiPriority w:val="32"/>
    <w:qFormat/>
    <w:rsid w:val="004A09FF"/>
    <w:rPr>
      <w:b/>
      <w:bCs/>
      <w:smallCaps/>
      <w:color w:val="0F4761" w:themeColor="accent1" w:themeShade="BF"/>
      <w:spacing w:val="5"/>
    </w:rPr>
  </w:style>
  <w:style w:type="table" w:styleId="TableGrid">
    <w:name w:val="Table Grid"/>
    <w:basedOn w:val="TableNormal"/>
    <w:uiPriority w:val="39"/>
    <w:rsid w:val="004A0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56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383278">
      <w:bodyDiv w:val="1"/>
      <w:marLeft w:val="0"/>
      <w:marRight w:val="0"/>
      <w:marTop w:val="0"/>
      <w:marBottom w:val="0"/>
      <w:divBdr>
        <w:top w:val="none" w:sz="0" w:space="0" w:color="auto"/>
        <w:left w:val="none" w:sz="0" w:space="0" w:color="auto"/>
        <w:bottom w:val="none" w:sz="0" w:space="0" w:color="auto"/>
        <w:right w:val="none" w:sz="0" w:space="0" w:color="auto"/>
      </w:divBdr>
    </w:div>
    <w:div w:id="15868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之瀚 俞</dc:creator>
  <cp:keywords/>
  <dc:description/>
  <cp:lastModifiedBy>之瀚 俞</cp:lastModifiedBy>
  <cp:revision>21</cp:revision>
  <dcterms:created xsi:type="dcterms:W3CDTF">2024-03-29T08:52:00Z</dcterms:created>
  <dcterms:modified xsi:type="dcterms:W3CDTF">2024-04-14T08:28:00Z</dcterms:modified>
</cp:coreProperties>
</file>