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50345" w14:textId="31AF5BF9" w:rsidR="005D1305" w:rsidRDefault="005D1305" w:rsidP="005D1305">
      <w:pPr>
        <w:pStyle w:val="Heading2"/>
        <w:jc w:val="center"/>
      </w:pPr>
      <w:r>
        <w:rPr>
          <w:rFonts w:hint="eastAsia"/>
        </w:rPr>
        <w:t>Assignment 6</w:t>
      </w:r>
    </w:p>
    <w:p w14:paraId="74EB3B3D" w14:textId="77777777" w:rsidR="005D1305" w:rsidRDefault="005D1305" w:rsidP="005D1305">
      <w:pPr>
        <w:jc w:val="right"/>
      </w:pPr>
      <w:proofErr w:type="spellStart"/>
      <w:r>
        <w:rPr>
          <w:rFonts w:hint="eastAsia"/>
        </w:rPr>
        <w:t>Zhihan</w:t>
      </w:r>
      <w:proofErr w:type="spellEnd"/>
      <w:r>
        <w:rPr>
          <w:rFonts w:hint="eastAsia"/>
        </w:rPr>
        <w:t xml:space="preserve"> Yu (2101111618)</w:t>
      </w:r>
    </w:p>
    <w:p w14:paraId="7F4C96CE" w14:textId="06F940E6" w:rsidR="005D1305" w:rsidRDefault="00F163A1" w:rsidP="005D1305">
      <w:pPr>
        <w:pStyle w:val="Heading3"/>
      </w:pPr>
      <w:r>
        <w:rPr>
          <w:rFonts w:hint="eastAsia"/>
        </w:rPr>
        <w:t>Comparing Monetary Policy Rules using Basic Estimation</w:t>
      </w:r>
    </w:p>
    <w:tbl>
      <w:tblPr>
        <w:tblStyle w:val="TableGrid"/>
        <w:tblW w:w="0" w:type="auto"/>
        <w:tblLook w:val="04A0" w:firstRow="1" w:lastRow="0" w:firstColumn="1" w:lastColumn="0" w:noHBand="0" w:noVBand="1"/>
      </w:tblPr>
      <w:tblGrid>
        <w:gridCol w:w="9350"/>
      </w:tblGrid>
      <w:tr w:rsidR="005D1305" w14:paraId="45FBDB72" w14:textId="77777777" w:rsidTr="00474279">
        <w:tc>
          <w:tcPr>
            <w:tcW w:w="9350" w:type="dxa"/>
          </w:tcPr>
          <w:p w14:paraId="38426295" w14:textId="77777777" w:rsidR="005D1305" w:rsidRDefault="005D1305" w:rsidP="00474279">
            <w:r>
              <w:rPr>
                <w:rFonts w:hint="eastAsia"/>
              </w:rPr>
              <w:t>Do</w:t>
            </w:r>
          </w:p>
          <w:p w14:paraId="65CCD0CF" w14:textId="5924629C" w:rsidR="005D1305" w:rsidRDefault="005D1305" w:rsidP="00474279">
            <w:pPr>
              <w:pStyle w:val="ListParagraph"/>
              <w:numPr>
                <w:ilvl w:val="0"/>
                <w:numId w:val="1"/>
              </w:numPr>
            </w:pPr>
            <w:r>
              <w:rPr>
                <w:rFonts w:hint="eastAsia"/>
              </w:rPr>
              <w:t xml:space="preserve">Run </w:t>
            </w:r>
            <w:r>
              <w:t>‘</w:t>
            </w:r>
            <w:r w:rsidR="00F163A1">
              <w:rPr>
                <w:rFonts w:hint="eastAsia"/>
                <w:color w:val="00B0F0"/>
              </w:rPr>
              <w:t>NKlinear_Est</w:t>
            </w:r>
            <w:r w:rsidRPr="004A09FF">
              <w:rPr>
                <w:rFonts w:hint="eastAsia"/>
                <w:color w:val="00B0F0"/>
              </w:rPr>
              <w:t>.mod</w:t>
            </w:r>
            <w:r w:rsidRPr="004A09FF">
              <w:rPr>
                <w:color w:val="00B0F0"/>
              </w:rPr>
              <w:t>’</w:t>
            </w:r>
            <w:r w:rsidRPr="004A09FF">
              <w:rPr>
                <w:rFonts w:hint="eastAsia"/>
                <w:color w:val="00B0F0"/>
              </w:rPr>
              <w:t xml:space="preserve"> </w:t>
            </w:r>
            <w:r w:rsidR="001E6A40">
              <w:rPr>
                <w:rFonts w:hint="eastAsia"/>
              </w:rPr>
              <w:t>with either the Implementable Rule or the Taylor Rule</w:t>
            </w:r>
          </w:p>
          <w:p w14:paraId="51BC75B1" w14:textId="06721701" w:rsidR="005D1305" w:rsidRPr="0063452F" w:rsidRDefault="005D1305" w:rsidP="00474279">
            <w:pPr>
              <w:pStyle w:val="ListParagraph"/>
              <w:numPr>
                <w:ilvl w:val="1"/>
                <w:numId w:val="1"/>
              </w:numPr>
              <w:rPr>
                <w:i/>
                <w:iCs/>
              </w:rPr>
            </w:pPr>
            <w:r>
              <w:rPr>
                <w:i/>
                <w:iCs/>
              </w:rPr>
              <w:t xml:space="preserve">Revise lines </w:t>
            </w:r>
            <w:r w:rsidR="001E6A40">
              <w:rPr>
                <w:rFonts w:hint="eastAsia"/>
                <w:i/>
                <w:iCs/>
              </w:rPr>
              <w:t>217</w:t>
            </w:r>
            <w:r>
              <w:rPr>
                <w:i/>
                <w:iCs/>
              </w:rPr>
              <w:t>-</w:t>
            </w:r>
            <w:r w:rsidR="001E6A40">
              <w:rPr>
                <w:rFonts w:hint="eastAsia"/>
                <w:i/>
                <w:iCs/>
              </w:rPr>
              <w:t>220</w:t>
            </w:r>
            <w:r>
              <w:rPr>
                <w:i/>
                <w:iCs/>
              </w:rPr>
              <w:t>.</w:t>
            </w:r>
          </w:p>
        </w:tc>
      </w:tr>
      <w:tr w:rsidR="005D1305" w14:paraId="4CFDF671" w14:textId="77777777" w:rsidTr="00474279">
        <w:tc>
          <w:tcPr>
            <w:tcW w:w="9350" w:type="dxa"/>
          </w:tcPr>
          <w:p w14:paraId="6A1E7D94" w14:textId="77777777" w:rsidR="005D1305" w:rsidRDefault="005D1305" w:rsidP="00474279">
            <w:r>
              <w:rPr>
                <w:rFonts w:hint="eastAsia"/>
              </w:rPr>
              <w:t>Results</w:t>
            </w:r>
          </w:p>
          <w:p w14:paraId="2EC47673" w14:textId="207B3456" w:rsidR="005D1305" w:rsidRDefault="005D1305" w:rsidP="00474279">
            <w:pPr>
              <w:pStyle w:val="ListParagraph"/>
              <w:numPr>
                <w:ilvl w:val="0"/>
                <w:numId w:val="1"/>
              </w:numPr>
            </w:pPr>
            <w:r>
              <w:rPr>
                <w:rFonts w:hint="eastAsia"/>
              </w:rPr>
              <w:t>&lt;</w:t>
            </w:r>
            <w:r w:rsidR="001E6A40">
              <w:t xml:space="preserve"> </w:t>
            </w:r>
            <w:r w:rsidR="001E6A40" w:rsidRPr="001E6A40">
              <w:rPr>
                <w:i/>
                <w:iCs/>
              </w:rPr>
              <w:t>IMPTAYLOR-TFPshock</w:t>
            </w:r>
            <w:r w:rsidRPr="007A2978">
              <w:rPr>
                <w:i/>
                <w:iCs/>
              </w:rPr>
              <w:t>.png</w:t>
            </w:r>
            <w:r>
              <w:rPr>
                <w:rFonts w:hint="eastAsia"/>
              </w:rPr>
              <w:t>&gt;</w:t>
            </w:r>
          </w:p>
          <w:p w14:paraId="4200F1E5" w14:textId="06C0A229" w:rsidR="005D1305" w:rsidRDefault="001E6A40" w:rsidP="00474279">
            <w:pPr>
              <w:jc w:val="center"/>
            </w:pPr>
            <w:r>
              <w:rPr>
                <w:noProof/>
              </w:rPr>
              <w:drawing>
                <wp:inline distT="0" distB="0" distL="0" distR="0" wp14:anchorId="2719A988" wp14:editId="411C4689">
                  <wp:extent cx="5943600" cy="4731385"/>
                  <wp:effectExtent l="0" t="0" r="0" b="5715"/>
                  <wp:docPr id="1310877417" name="Picture 1" descr="A group of graphs showing the different values of the s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877417" name="Picture 1" descr="A group of graphs showing the different values of the same&#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731385"/>
                          </a:xfrm>
                          <a:prstGeom prst="rect">
                            <a:avLst/>
                          </a:prstGeom>
                        </pic:spPr>
                      </pic:pic>
                    </a:graphicData>
                  </a:graphic>
                </wp:inline>
              </w:drawing>
            </w:r>
          </w:p>
          <w:p w14:paraId="394CA90C" w14:textId="3822E7EC" w:rsidR="005D1305" w:rsidRPr="009915D1" w:rsidRDefault="005D1305" w:rsidP="00474279">
            <w:pPr>
              <w:pStyle w:val="ListParagraph"/>
              <w:numPr>
                <w:ilvl w:val="0"/>
                <w:numId w:val="1"/>
              </w:numPr>
              <w:rPr>
                <w:i/>
                <w:iCs/>
              </w:rPr>
            </w:pPr>
            <w:r w:rsidRPr="009915D1">
              <w:rPr>
                <w:rFonts w:hint="eastAsia"/>
                <w:i/>
                <w:iCs/>
              </w:rPr>
              <w:t xml:space="preserve">For </w:t>
            </w:r>
            <w:r w:rsidR="001E6A40">
              <w:rPr>
                <w:rFonts w:hint="eastAsia"/>
                <w:i/>
                <w:iCs/>
              </w:rPr>
              <w:t>remaining</w:t>
            </w:r>
            <w:r>
              <w:rPr>
                <w:i/>
                <w:iCs/>
              </w:rPr>
              <w:t xml:space="preserve"> </w:t>
            </w:r>
            <w:r w:rsidRPr="009915D1">
              <w:rPr>
                <w:rFonts w:hint="eastAsia"/>
                <w:i/>
                <w:iCs/>
              </w:rPr>
              <w:t xml:space="preserve">shocks, see the corresponding </w:t>
            </w:r>
            <w:proofErr w:type="spellStart"/>
            <w:r w:rsidRPr="009915D1">
              <w:rPr>
                <w:rFonts w:hint="eastAsia"/>
                <w:i/>
                <w:iCs/>
              </w:rPr>
              <w:t>png</w:t>
            </w:r>
            <w:proofErr w:type="spellEnd"/>
            <w:r w:rsidRPr="009915D1">
              <w:rPr>
                <w:rFonts w:hint="eastAsia"/>
                <w:i/>
                <w:iCs/>
              </w:rPr>
              <w:t xml:space="preserve"> files.</w:t>
            </w:r>
          </w:p>
        </w:tc>
      </w:tr>
      <w:tr w:rsidR="005D1305" w14:paraId="1CC5B9E4" w14:textId="77777777" w:rsidTr="00474279">
        <w:tc>
          <w:tcPr>
            <w:tcW w:w="9350" w:type="dxa"/>
          </w:tcPr>
          <w:p w14:paraId="45E43906" w14:textId="77777777" w:rsidR="005D1305" w:rsidRPr="004B0162" w:rsidRDefault="005D1305" w:rsidP="00474279">
            <w:pPr>
              <w:rPr>
                <w:b/>
                <w:bCs/>
              </w:rPr>
            </w:pPr>
            <w:r w:rsidRPr="004B0162">
              <w:rPr>
                <w:rFonts w:hint="eastAsia"/>
                <w:b/>
                <w:bCs/>
              </w:rPr>
              <w:t>Discussion</w:t>
            </w:r>
          </w:p>
          <w:p w14:paraId="0A7D6E57" w14:textId="3F3889B8" w:rsidR="00963191" w:rsidRPr="00BF0179" w:rsidRDefault="001E6A40" w:rsidP="00474279">
            <w:pPr>
              <w:rPr>
                <w:i/>
              </w:rPr>
            </w:pPr>
            <w:r w:rsidRPr="001E6A40">
              <w:rPr>
                <w:rFonts w:hint="eastAsia"/>
              </w:rPr>
              <w:t xml:space="preserve">This </w:t>
            </w:r>
            <w:r>
              <w:rPr>
                <w:rFonts w:hint="eastAsia"/>
              </w:rPr>
              <w:t xml:space="preserve">figure illustrates the </w:t>
            </w:r>
            <w:r w:rsidR="009540A5">
              <w:rPr>
                <w:rFonts w:hint="eastAsia"/>
              </w:rPr>
              <w:t xml:space="preserve">response of </w:t>
            </w:r>
            <w:r>
              <w:rPr>
                <w:rFonts w:hint="eastAsia"/>
              </w:rPr>
              <w:t xml:space="preserve">different monetary policy rules </w:t>
            </w:r>
            <w:r w:rsidR="009540A5">
              <w:rPr>
                <w:rFonts w:hint="eastAsia"/>
              </w:rPr>
              <w:t xml:space="preserve">(implementable in black; Taylor rule in red) to a </w:t>
            </w:r>
            <w:r w:rsidR="009540A5">
              <w:t>positive</w:t>
            </w:r>
            <w:r w:rsidR="009540A5">
              <w:rPr>
                <w:rFonts w:hint="eastAsia"/>
              </w:rPr>
              <w:t xml:space="preserve"> TFP shock. Immediately, we see </w:t>
            </w:r>
            <w:r w:rsidR="009540A5">
              <w:t>that</w:t>
            </w:r>
            <w:r w:rsidR="009540A5">
              <w:rPr>
                <w:rFonts w:hint="eastAsia"/>
              </w:rPr>
              <w:t xml:space="preserve"> the TFP shock </w:t>
            </w:r>
            <w:r w:rsidR="00963191">
              <w:rPr>
                <w:rFonts w:hint="eastAsia"/>
              </w:rPr>
              <w:t xml:space="preserve">has qualitatively the same effects on the economy for both types of monetary policy rules. The biggest quantitative difference </w:t>
            </w:r>
            <w:r w:rsidR="00963191">
              <w:t>between</w:t>
            </w:r>
            <w:r w:rsidR="00963191">
              <w:rPr>
                <w:rFonts w:hint="eastAsia"/>
              </w:rPr>
              <w:t xml:space="preserve"> the two monetary rules lies with the impulse response of aggregate consumption. We see that the TFP shock pushed up aggregate output roughly the same amount in the first couple quarters </w:t>
            </w:r>
            <w:r w:rsidR="00232D1B">
              <w:rPr>
                <w:rFonts w:hint="eastAsia"/>
              </w:rPr>
              <w:t xml:space="preserve">but the impact for </w:t>
            </w:r>
            <w:r w:rsidR="00232D1B">
              <w:rPr>
                <w:rFonts w:hint="eastAsia"/>
              </w:rPr>
              <w:lastRenderedPageBreak/>
              <w:t xml:space="preserve">aggregate output is more sustained </w:t>
            </w:r>
            <w:r w:rsidR="00232D1B">
              <w:t>under</w:t>
            </w:r>
            <w:r w:rsidR="00232D1B">
              <w:rPr>
                <w:rFonts w:hint="eastAsia"/>
              </w:rPr>
              <w:t xml:space="preserve"> the Taylor R</w:t>
            </w:r>
            <w:r w:rsidR="00232D1B">
              <w:t>u</w:t>
            </w:r>
            <w:r w:rsidR="00232D1B">
              <w:rPr>
                <w:rFonts w:hint="eastAsia"/>
              </w:rPr>
              <w:t xml:space="preserve">le. This more sustained output gain (compared to the implementable rule) is a result of the consumption-investment dynamic. Under the Taylor Rule, </w:t>
            </w:r>
            <w:r w:rsidR="00232D1B">
              <w:t>inter</w:t>
            </w:r>
            <w:r w:rsidR="00232D1B">
              <w:rPr>
                <w:rFonts w:hint="eastAsia"/>
              </w:rPr>
              <w:t xml:space="preserve">est rates are affected by both output gap and inflation levels. In a flexible price economy, under the same positive TFP shock, the boon will propagate frictionlessly and result in a gain in output; this output gain is slightly muted in an economy with price rigidity. As such, in face of a positive TFP shock, the output gap would widen, and </w:t>
            </w:r>
            <w:r w:rsidR="00232D1B">
              <w:t>because</w:t>
            </w:r>
            <w:r w:rsidR="00232D1B">
              <w:rPr>
                <w:rFonts w:hint="eastAsia"/>
              </w:rPr>
              <w:t xml:space="preserve"> output gap </w:t>
            </w:r>
            <m:oMath>
              <m:r>
                <w:rPr>
                  <w:rFonts w:ascii="Cambria Math" w:hAnsi="Cambria Math"/>
                </w:rPr>
                <m:t>Y-</m:t>
              </m:r>
              <m:sSup>
                <m:sSupPr>
                  <m:ctrlPr>
                    <w:rPr>
                      <w:rFonts w:ascii="Cambria Math" w:hAnsi="Cambria Math"/>
                      <w:i/>
                    </w:rPr>
                  </m:ctrlPr>
                </m:sSupPr>
                <m:e>
                  <m:r>
                    <w:rPr>
                      <w:rFonts w:ascii="Cambria Math" w:hAnsi="Cambria Math"/>
                    </w:rPr>
                    <m:t>Y</m:t>
                  </m:r>
                </m:e>
                <m:sup>
                  <m:r>
                    <m:rPr>
                      <m:sty m:val="p"/>
                    </m:rPr>
                    <w:rPr>
                      <w:rFonts w:ascii="Cambria Math" w:hAnsi="Cambria Math"/>
                    </w:rPr>
                    <m:t>Flex</m:t>
                  </m:r>
                </m:sup>
              </m:sSup>
            </m:oMath>
            <w:r w:rsidR="00BF0179">
              <w:rPr>
                <w:rFonts w:hint="eastAsia"/>
              </w:rPr>
              <w:t xml:space="preserve"> is a negative number, the Taylor Rule would dictate a drop in interest rates. Because of the productivity gain, prices, </w:t>
            </w:r>
            <w:r w:rsidR="00BF0179" w:rsidRPr="00BF0179">
              <w:rPr>
                <w:rFonts w:hint="eastAsia"/>
                <w:i/>
                <w:iCs/>
              </w:rPr>
              <w:t>ceteris paribus</w:t>
            </w:r>
            <w:r w:rsidR="00BF0179">
              <w:rPr>
                <w:rFonts w:hint="eastAsia"/>
              </w:rPr>
              <w:t xml:space="preserve">, will drop, as depicted by the </w:t>
            </w:r>
            <w:r w:rsidR="00BF0179">
              <w:t>initial</w:t>
            </w:r>
            <w:r w:rsidR="00BF0179">
              <w:rPr>
                <w:rFonts w:hint="eastAsia"/>
              </w:rPr>
              <w:t xml:space="preserve"> deflationary process. Under the Taylor Rule, where both output gap and inflation are policy-targeted objects, </w:t>
            </w:r>
            <w:r w:rsidR="00BF0179">
              <w:t>consumption and</w:t>
            </w:r>
            <w:r w:rsidR="00BF0179">
              <w:rPr>
                <w:rFonts w:hint="eastAsia"/>
              </w:rPr>
              <w:t xml:space="preserve"> investment dynamics imply a more sustained effect. </w:t>
            </w:r>
          </w:p>
          <w:p w14:paraId="2C181619" w14:textId="77777777" w:rsidR="00963191" w:rsidRDefault="00963191" w:rsidP="00474279"/>
          <w:p w14:paraId="61C6A571" w14:textId="20797F46" w:rsidR="005D1305" w:rsidRPr="00A64B5D" w:rsidRDefault="00BF0179" w:rsidP="00474279">
            <w:pPr>
              <w:rPr>
                <w:color w:val="4C94D8" w:themeColor="text2" w:themeTint="80"/>
              </w:rPr>
            </w:pPr>
            <w:r>
              <w:rPr>
                <w:rFonts w:hint="eastAsia"/>
              </w:rPr>
              <w:t xml:space="preserve">Finally, the top panel of impulse response functions shed light on how the various monetary policy rules may affect the Bayesian estimation of parameters. While both </w:t>
            </w:r>
            <w:r>
              <w:t>models</w:t>
            </w:r>
            <w:r>
              <w:rPr>
                <w:rFonts w:hint="eastAsia"/>
              </w:rPr>
              <w:t xml:space="preserve"> were given </w:t>
            </w:r>
            <w:r w:rsidR="00BF229F">
              <w:rPr>
                <w:rFonts w:hint="eastAsia"/>
              </w:rPr>
              <w:t xml:space="preserve">the information (raw data, parameter priors, </w:t>
            </w:r>
            <w:proofErr w:type="spellStart"/>
            <w:r w:rsidR="00BF229F">
              <w:rPr>
                <w:rFonts w:hint="eastAsia"/>
              </w:rPr>
              <w:t>ect</w:t>
            </w:r>
            <w:proofErr w:type="spellEnd"/>
            <w:r w:rsidR="00BF229F">
              <w:rPr>
                <w:rFonts w:hint="eastAsia"/>
              </w:rPr>
              <w:t>.), the estimated results still differ.</w:t>
            </w:r>
            <w:r w:rsidR="000E2438">
              <w:rPr>
                <w:rFonts w:hint="eastAsia"/>
              </w:rPr>
              <w:t xml:space="preserve"> A </w:t>
            </w:r>
            <w:r w:rsidR="000E2438">
              <w:t>straightforward</w:t>
            </w:r>
            <w:r w:rsidR="000E2438">
              <w:rPr>
                <w:rFonts w:hint="eastAsia"/>
              </w:rPr>
              <w:t xml:space="preserve"> metric to look at is the </w:t>
            </w:r>
            <w:r w:rsidR="000E2438">
              <w:t>persistence</w:t>
            </w:r>
            <w:r w:rsidR="000E2438">
              <w:rPr>
                <w:rFonts w:hint="eastAsia"/>
              </w:rPr>
              <w:t xml:space="preserve"> parameter for TFP shocks. In the model</w:t>
            </w:r>
            <w:r w:rsidR="00BF229F">
              <w:rPr>
                <w:rFonts w:hint="eastAsia"/>
              </w:rPr>
              <w:t xml:space="preserve"> </w:t>
            </w:r>
            <w:r w:rsidR="000E2438">
              <w:rPr>
                <w:rFonts w:hint="eastAsia"/>
              </w:rPr>
              <w:t xml:space="preserve">of Taylor Rule, </w:t>
            </w:r>
            <m:oMath>
              <m:sSubSup>
                <m:sSubSupPr>
                  <m:ctrlPr>
                    <w:rPr>
                      <w:rFonts w:ascii="Cambria Math" w:hAnsi="Cambria Math"/>
                      <w:i/>
                    </w:rPr>
                  </m:ctrlPr>
                </m:sSubSupPr>
                <m:e>
                  <m:r>
                    <w:rPr>
                      <w:rFonts w:ascii="Cambria Math" w:hAnsi="Cambria Math"/>
                    </w:rPr>
                    <m:t>ρ</m:t>
                  </m:r>
                </m:e>
                <m:sub>
                  <m:r>
                    <w:rPr>
                      <w:rFonts w:ascii="Cambria Math" w:hAnsi="Cambria Math"/>
                    </w:rPr>
                    <m:t>A</m:t>
                  </m:r>
                </m:sub>
                <m:sup>
                  <m:r>
                    <m:rPr>
                      <m:sty m:val="p"/>
                    </m:rPr>
                    <w:rPr>
                      <w:rFonts w:ascii="Cambria Math" w:hAnsi="Cambria Math" w:hint="eastAsia"/>
                    </w:rPr>
                    <m:t>Tay</m:t>
                  </m:r>
                </m:sup>
              </m:sSubSup>
              <m:r>
                <w:rPr>
                  <w:rFonts w:ascii="Cambria Math" w:hAnsi="Cambria Math"/>
                </w:rPr>
                <m:t>=0.8252</m:t>
              </m:r>
            </m:oMath>
            <w:r w:rsidR="000E2438">
              <w:rPr>
                <w:rFonts w:hint="eastAsia"/>
              </w:rPr>
              <w:t xml:space="preserve">, while </w:t>
            </w:r>
            <m:oMath>
              <m:sSubSup>
                <m:sSubSupPr>
                  <m:ctrlPr>
                    <w:rPr>
                      <w:rFonts w:ascii="Cambria Math" w:hAnsi="Cambria Math"/>
                      <w:i/>
                    </w:rPr>
                  </m:ctrlPr>
                </m:sSubSupPr>
                <m:e>
                  <m:r>
                    <w:rPr>
                      <w:rFonts w:ascii="Cambria Math" w:hAnsi="Cambria Math"/>
                    </w:rPr>
                    <m:t>ρ</m:t>
                  </m:r>
                </m:e>
                <m:sub>
                  <m:r>
                    <w:rPr>
                      <w:rFonts w:ascii="Cambria Math" w:hAnsi="Cambria Math"/>
                    </w:rPr>
                    <m:t>A</m:t>
                  </m:r>
                </m:sub>
                <m:sup>
                  <m:r>
                    <m:rPr>
                      <m:sty m:val="p"/>
                    </m:rPr>
                    <w:rPr>
                      <w:rFonts w:ascii="Cambria Math" w:hAnsi="Cambria Math"/>
                    </w:rPr>
                    <m:t>Imp</m:t>
                  </m:r>
                </m:sup>
              </m:sSubSup>
              <m:r>
                <w:rPr>
                  <w:rFonts w:ascii="Cambria Math" w:hAnsi="Cambria Math"/>
                </w:rPr>
                <m:t>=0.8667</m:t>
              </m:r>
            </m:oMath>
            <w:r w:rsidR="000E2438">
              <w:rPr>
                <w:rFonts w:hint="eastAsia"/>
              </w:rPr>
              <w:t xml:space="preserve">. Such fundamental difference in the shock process would necessarily lead to different IRFs. </w:t>
            </w:r>
            <w:r w:rsidR="00BF229F">
              <w:rPr>
                <w:rFonts w:hint="eastAsia"/>
              </w:rPr>
              <w:t>This</w:t>
            </w:r>
            <w:r w:rsidR="000E2438">
              <w:rPr>
                <w:rFonts w:hint="eastAsia"/>
              </w:rPr>
              <w:t xml:space="preserve"> observation also</w:t>
            </w:r>
            <w:r w:rsidR="00BF229F">
              <w:rPr>
                <w:rFonts w:hint="eastAsia"/>
              </w:rPr>
              <w:t xml:space="preserve"> underscores the fact that Bayesian estimation is a joint estimation process that factors in data and the model</w:t>
            </w:r>
            <w:r w:rsidR="000E2438">
              <w:rPr>
                <w:rFonts w:hint="eastAsia"/>
              </w:rPr>
              <w:t xml:space="preserve"> specification. </w:t>
            </w:r>
          </w:p>
        </w:tc>
      </w:tr>
    </w:tbl>
    <w:p w14:paraId="6ADDACEE" w14:textId="77777777" w:rsidR="007D72C2" w:rsidRDefault="007D72C2"/>
    <w:p w14:paraId="03E1A488" w14:textId="77777777" w:rsidR="003E4DB8" w:rsidRDefault="003E4DB8">
      <w:pPr>
        <w:rPr>
          <w:rFonts w:eastAsiaTheme="majorEastAsia" w:cstheme="majorBidi"/>
          <w:color w:val="0F4761" w:themeColor="accent1" w:themeShade="BF"/>
          <w:sz w:val="28"/>
          <w:szCs w:val="28"/>
        </w:rPr>
      </w:pPr>
      <w:r>
        <w:br w:type="page"/>
      </w:r>
    </w:p>
    <w:p w14:paraId="390FCC93" w14:textId="72FE2DA0" w:rsidR="003E4DB8" w:rsidRDefault="003E4DB8" w:rsidP="003E4DB8">
      <w:pPr>
        <w:pStyle w:val="Heading3"/>
      </w:pPr>
      <w:r>
        <w:rPr>
          <w:rFonts w:hint="eastAsia"/>
        </w:rPr>
        <w:lastRenderedPageBreak/>
        <w:t>Comparing Monte Carlo Simulation Magnitudes</w:t>
      </w:r>
    </w:p>
    <w:tbl>
      <w:tblPr>
        <w:tblStyle w:val="TableGrid"/>
        <w:tblW w:w="0" w:type="auto"/>
        <w:tblLook w:val="04A0" w:firstRow="1" w:lastRow="0" w:firstColumn="1" w:lastColumn="0" w:noHBand="0" w:noVBand="1"/>
      </w:tblPr>
      <w:tblGrid>
        <w:gridCol w:w="9350"/>
      </w:tblGrid>
      <w:tr w:rsidR="003E4DB8" w14:paraId="0144AC61" w14:textId="77777777" w:rsidTr="00474279">
        <w:tc>
          <w:tcPr>
            <w:tcW w:w="9350" w:type="dxa"/>
          </w:tcPr>
          <w:p w14:paraId="2E27F6CD" w14:textId="77777777" w:rsidR="003E4DB8" w:rsidRDefault="003E4DB8" w:rsidP="00474279">
            <w:r>
              <w:rPr>
                <w:rFonts w:hint="eastAsia"/>
              </w:rPr>
              <w:t>Do</w:t>
            </w:r>
          </w:p>
          <w:p w14:paraId="4E33D051" w14:textId="0D505810" w:rsidR="003E4DB8" w:rsidRDefault="003E4DB8" w:rsidP="00474279">
            <w:pPr>
              <w:pStyle w:val="ListParagraph"/>
              <w:numPr>
                <w:ilvl w:val="0"/>
                <w:numId w:val="1"/>
              </w:numPr>
            </w:pPr>
            <w:r>
              <w:rPr>
                <w:rFonts w:hint="eastAsia"/>
              </w:rPr>
              <w:t xml:space="preserve">Run </w:t>
            </w:r>
            <w:r>
              <w:t>‘</w:t>
            </w:r>
            <w:r>
              <w:rPr>
                <w:rFonts w:hint="eastAsia"/>
                <w:color w:val="00B0F0"/>
              </w:rPr>
              <w:t>NKlinear_Est</w:t>
            </w:r>
            <w:r w:rsidRPr="004A09FF">
              <w:rPr>
                <w:rFonts w:hint="eastAsia"/>
                <w:color w:val="00B0F0"/>
              </w:rPr>
              <w:t>.mod</w:t>
            </w:r>
            <w:r w:rsidRPr="004A09FF">
              <w:rPr>
                <w:color w:val="00B0F0"/>
              </w:rPr>
              <w:t>’</w:t>
            </w:r>
            <w:r w:rsidRPr="004A09FF">
              <w:rPr>
                <w:rFonts w:hint="eastAsia"/>
                <w:color w:val="00B0F0"/>
              </w:rPr>
              <w:t xml:space="preserve"> </w:t>
            </w:r>
            <w:r>
              <w:rPr>
                <w:rFonts w:hint="eastAsia"/>
              </w:rPr>
              <w:t xml:space="preserve">Implementable Rule for 10k and 100k times. </w:t>
            </w:r>
          </w:p>
          <w:p w14:paraId="34CB95F5" w14:textId="336A331A" w:rsidR="003E4DB8" w:rsidRPr="0063452F" w:rsidRDefault="003E4DB8" w:rsidP="00474279">
            <w:pPr>
              <w:pStyle w:val="ListParagraph"/>
              <w:numPr>
                <w:ilvl w:val="1"/>
                <w:numId w:val="1"/>
              </w:numPr>
              <w:rPr>
                <w:i/>
                <w:iCs/>
              </w:rPr>
            </w:pPr>
            <w:r>
              <w:rPr>
                <w:i/>
                <w:iCs/>
              </w:rPr>
              <w:t xml:space="preserve">Revise line </w:t>
            </w:r>
            <w:r>
              <w:rPr>
                <w:rFonts w:hint="eastAsia"/>
                <w:i/>
                <w:iCs/>
              </w:rPr>
              <w:t>302</w:t>
            </w:r>
            <w:r>
              <w:rPr>
                <w:i/>
                <w:iCs/>
              </w:rPr>
              <w:t>.</w:t>
            </w:r>
          </w:p>
        </w:tc>
      </w:tr>
      <w:tr w:rsidR="00DB32CE" w14:paraId="1993A681" w14:textId="77777777" w:rsidTr="00474279">
        <w:tc>
          <w:tcPr>
            <w:tcW w:w="9350" w:type="dxa"/>
          </w:tcPr>
          <w:p w14:paraId="1FD75593" w14:textId="77777777" w:rsidR="00DB32CE" w:rsidRDefault="00DB32CE" w:rsidP="00DB32CE">
            <w:r>
              <w:rPr>
                <w:rFonts w:hint="eastAsia"/>
              </w:rPr>
              <w:t>Results</w:t>
            </w:r>
          </w:p>
          <w:p w14:paraId="25949EE9" w14:textId="3DF2B03A" w:rsidR="00DB32CE" w:rsidRDefault="00DB32CE" w:rsidP="00474279">
            <w:pPr>
              <w:pStyle w:val="ListParagraph"/>
              <w:numPr>
                <w:ilvl w:val="0"/>
                <w:numId w:val="1"/>
              </w:numPr>
            </w:pPr>
            <w:r>
              <w:rPr>
                <w:rFonts w:hint="eastAsia"/>
              </w:rPr>
              <w:t>&lt;</w:t>
            </w:r>
            <w:r>
              <w:t xml:space="preserve"> </w:t>
            </w:r>
            <w:r w:rsidR="00BC13B0">
              <w:rPr>
                <w:rFonts w:hint="eastAsia"/>
                <w:i/>
                <w:iCs/>
              </w:rPr>
              <w:t>MONTECARLO</w:t>
            </w:r>
            <w:r w:rsidRPr="00DB32CE">
              <w:rPr>
                <w:i/>
                <w:iCs/>
              </w:rPr>
              <w:t>-TFPshock</w:t>
            </w:r>
            <w:r>
              <w:rPr>
                <w:rFonts w:hint="eastAsia"/>
                <w:i/>
                <w:iCs/>
              </w:rPr>
              <w:t>.png</w:t>
            </w:r>
            <w:r>
              <w:rPr>
                <w:rFonts w:hint="eastAsia"/>
              </w:rPr>
              <w:t>&gt;</w:t>
            </w:r>
          </w:p>
          <w:p w14:paraId="36DD385E" w14:textId="1513EB89" w:rsidR="00DB32CE" w:rsidRPr="00BC13B0" w:rsidRDefault="00BC13B0" w:rsidP="00BC13B0">
            <w:pPr>
              <w:pStyle w:val="ListParagraph"/>
              <w:jc w:val="center"/>
              <w:rPr>
                <w:rFonts w:hint="eastAsia"/>
              </w:rPr>
            </w:pPr>
            <w:r>
              <w:rPr>
                <w:rFonts w:hint="eastAsia"/>
                <w:noProof/>
              </w:rPr>
              <w:drawing>
                <wp:inline distT="0" distB="0" distL="0" distR="0" wp14:anchorId="383FB538" wp14:editId="720C665D">
                  <wp:extent cx="4835785" cy="3849512"/>
                  <wp:effectExtent l="0" t="0" r="3175" b="0"/>
                  <wp:docPr id="163241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41604" name="Picture 163241604"/>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41784" cy="3854288"/>
                          </a:xfrm>
                          <a:prstGeom prst="rect">
                            <a:avLst/>
                          </a:prstGeom>
                        </pic:spPr>
                      </pic:pic>
                    </a:graphicData>
                  </a:graphic>
                </wp:inline>
              </w:drawing>
            </w:r>
          </w:p>
          <w:p w14:paraId="24EC555D" w14:textId="4D3F3D05" w:rsidR="00DB32CE" w:rsidRPr="00DB32CE" w:rsidRDefault="00DB32CE" w:rsidP="00DB32CE">
            <w:pPr>
              <w:pStyle w:val="ListParagraph"/>
              <w:jc w:val="center"/>
              <w:rPr>
                <w:i/>
                <w:iCs/>
              </w:rPr>
            </w:pPr>
          </w:p>
        </w:tc>
      </w:tr>
      <w:tr w:rsidR="003E4DB8" w14:paraId="18423850" w14:textId="77777777" w:rsidTr="00474279">
        <w:tc>
          <w:tcPr>
            <w:tcW w:w="9350" w:type="dxa"/>
          </w:tcPr>
          <w:p w14:paraId="04638263" w14:textId="77777777" w:rsidR="003E4DB8" w:rsidRPr="004B0162" w:rsidRDefault="003E4DB8" w:rsidP="00474279">
            <w:pPr>
              <w:rPr>
                <w:b/>
                <w:bCs/>
              </w:rPr>
            </w:pPr>
            <w:r w:rsidRPr="004B0162">
              <w:rPr>
                <w:rFonts w:hint="eastAsia"/>
                <w:b/>
                <w:bCs/>
              </w:rPr>
              <w:t>Discussion</w:t>
            </w:r>
          </w:p>
          <w:p w14:paraId="7D253A80" w14:textId="11B76E2E" w:rsidR="003E4DB8" w:rsidRPr="00A64B5D" w:rsidRDefault="004F4A08" w:rsidP="00474279">
            <w:pPr>
              <w:rPr>
                <w:color w:val="4C94D8" w:themeColor="text2" w:themeTint="80"/>
              </w:rPr>
            </w:pPr>
            <w:r>
              <w:rPr>
                <w:rFonts w:hint="eastAsia"/>
              </w:rPr>
              <w:t xml:space="preserve">In this part, I ran the same Implementable Rule model under different number of Monte Carlo simulations. Initially, the number of samples was set to 10,000 (for immediate results), and later set to 100,000. </w:t>
            </w:r>
            <w:r w:rsidR="002105A8">
              <w:rPr>
                <w:rFonts w:hint="eastAsia"/>
              </w:rPr>
              <w:t xml:space="preserve">Obviously, increasing </w:t>
            </w:r>
            <w:r w:rsidR="002105A8">
              <w:t>the</w:t>
            </w:r>
            <w:r w:rsidR="002105A8">
              <w:rPr>
                <w:rFonts w:hint="eastAsia"/>
              </w:rPr>
              <w:t xml:space="preserve"> number of samples will allow the algorithm to explore a greater space and potentially yield better estimates. </w:t>
            </w:r>
          </w:p>
        </w:tc>
      </w:tr>
    </w:tbl>
    <w:p w14:paraId="0CC06EDC" w14:textId="77777777" w:rsidR="00416D23" w:rsidRDefault="00416D23"/>
    <w:p w14:paraId="0A3EFE4D" w14:textId="77777777" w:rsidR="00BC13B0" w:rsidRDefault="00BC13B0" w:rsidP="00BC13B0">
      <w:pPr>
        <w:pStyle w:val="Heading3"/>
      </w:pPr>
      <w:r>
        <w:rPr>
          <w:rFonts w:hint="eastAsia"/>
        </w:rPr>
        <w:t>Comparing Monte Carlo Simulation Magnitudes</w:t>
      </w:r>
    </w:p>
    <w:tbl>
      <w:tblPr>
        <w:tblStyle w:val="TableGrid"/>
        <w:tblW w:w="0" w:type="auto"/>
        <w:tblLook w:val="04A0" w:firstRow="1" w:lastRow="0" w:firstColumn="1" w:lastColumn="0" w:noHBand="0" w:noVBand="1"/>
      </w:tblPr>
      <w:tblGrid>
        <w:gridCol w:w="9350"/>
      </w:tblGrid>
      <w:tr w:rsidR="00DB32CE" w14:paraId="72097892" w14:textId="77777777" w:rsidTr="00BC13B0">
        <w:tc>
          <w:tcPr>
            <w:tcW w:w="9350" w:type="dxa"/>
          </w:tcPr>
          <w:p w14:paraId="5DF91670" w14:textId="77777777" w:rsidR="00DB32CE" w:rsidRDefault="00DB32CE" w:rsidP="00474279">
            <w:r>
              <w:rPr>
                <w:rFonts w:hint="eastAsia"/>
              </w:rPr>
              <w:t>Do</w:t>
            </w:r>
          </w:p>
          <w:p w14:paraId="37DE9D4E" w14:textId="27E98F2B" w:rsidR="00DB32CE" w:rsidRDefault="00DB32CE" w:rsidP="00474279">
            <w:pPr>
              <w:pStyle w:val="ListParagraph"/>
              <w:numPr>
                <w:ilvl w:val="0"/>
                <w:numId w:val="1"/>
              </w:numPr>
            </w:pPr>
            <w:r>
              <w:rPr>
                <w:rFonts w:hint="eastAsia"/>
              </w:rPr>
              <w:t xml:space="preserve">Run </w:t>
            </w:r>
            <w:r>
              <w:t>‘</w:t>
            </w:r>
            <w:r>
              <w:rPr>
                <w:rFonts w:hint="eastAsia"/>
                <w:color w:val="00B0F0"/>
              </w:rPr>
              <w:t>NKlinear_Est2</w:t>
            </w:r>
            <w:r w:rsidRPr="004A09FF">
              <w:rPr>
                <w:rFonts w:hint="eastAsia"/>
                <w:color w:val="00B0F0"/>
              </w:rPr>
              <w:t>.mod</w:t>
            </w:r>
            <w:r w:rsidRPr="004A09FF">
              <w:rPr>
                <w:color w:val="00B0F0"/>
              </w:rPr>
              <w:t>’</w:t>
            </w:r>
            <w:r w:rsidRPr="004A09FF">
              <w:rPr>
                <w:rFonts w:hint="eastAsia"/>
                <w:color w:val="00B0F0"/>
              </w:rPr>
              <w:t xml:space="preserve"> </w:t>
            </w:r>
            <w:r>
              <w:rPr>
                <w:rFonts w:hint="eastAsia"/>
              </w:rPr>
              <w:t>with Implementable Rule</w:t>
            </w:r>
          </w:p>
          <w:p w14:paraId="30094013" w14:textId="071CCA9F" w:rsidR="00DB32CE" w:rsidRPr="00DB32CE" w:rsidRDefault="00DB32CE" w:rsidP="00DB32CE">
            <w:pPr>
              <w:pStyle w:val="ListParagraph"/>
              <w:numPr>
                <w:ilvl w:val="0"/>
                <w:numId w:val="1"/>
              </w:numPr>
            </w:pPr>
            <w:r>
              <w:rPr>
                <w:rFonts w:hint="eastAsia"/>
              </w:rPr>
              <w:t xml:space="preserve">Include variable dc and </w:t>
            </w:r>
            <w:proofErr w:type="spellStart"/>
            <w:r>
              <w:rPr>
                <w:rFonts w:hint="eastAsia"/>
              </w:rPr>
              <w:t>ctrend</w:t>
            </w:r>
            <w:proofErr w:type="spellEnd"/>
            <w:r>
              <w:rPr>
                <w:rFonts w:hint="eastAsia"/>
              </w:rPr>
              <w:t xml:space="preserve"> so that </w:t>
            </w:r>
            <m:oMath>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t-1</m:t>
                  </m:r>
                </m:sub>
              </m:sSub>
              <m:r>
                <w:rPr>
                  <w:rFonts w:ascii="Cambria Math" w:hAnsi="Cambria Math"/>
                </w:rPr>
                <m:t>+ctrend</m:t>
              </m:r>
            </m:oMath>
          </w:p>
          <w:p w14:paraId="72459246" w14:textId="6C9C3B6C" w:rsidR="00DB32CE" w:rsidRPr="0063452F" w:rsidRDefault="00DB32CE" w:rsidP="00474279">
            <w:pPr>
              <w:pStyle w:val="ListParagraph"/>
              <w:numPr>
                <w:ilvl w:val="1"/>
                <w:numId w:val="1"/>
              </w:numPr>
              <w:rPr>
                <w:i/>
                <w:iCs/>
              </w:rPr>
            </w:pPr>
            <w:r>
              <w:rPr>
                <w:i/>
                <w:iCs/>
              </w:rPr>
              <w:t>Revise line</w:t>
            </w:r>
            <w:r>
              <w:rPr>
                <w:rFonts w:hint="eastAsia"/>
                <w:i/>
                <w:iCs/>
              </w:rPr>
              <w:t>s</w:t>
            </w:r>
            <w:r>
              <w:rPr>
                <w:i/>
                <w:iCs/>
              </w:rPr>
              <w:t xml:space="preserve"> </w:t>
            </w:r>
            <w:r>
              <w:rPr>
                <w:rFonts w:hint="eastAsia"/>
                <w:i/>
                <w:iCs/>
              </w:rPr>
              <w:t>18 (declare var/param)</w:t>
            </w:r>
          </w:p>
        </w:tc>
      </w:tr>
      <w:tr w:rsidR="00BC13B0" w:rsidRPr="00DB32CE" w14:paraId="2C61EE90" w14:textId="77777777" w:rsidTr="00474279">
        <w:tc>
          <w:tcPr>
            <w:tcW w:w="9350" w:type="dxa"/>
          </w:tcPr>
          <w:p w14:paraId="78B1A30F" w14:textId="77777777" w:rsidR="00BC13B0" w:rsidRDefault="00BC13B0" w:rsidP="00474279">
            <w:r>
              <w:rPr>
                <w:rFonts w:hint="eastAsia"/>
              </w:rPr>
              <w:t>Results</w:t>
            </w:r>
          </w:p>
          <w:p w14:paraId="51C96950" w14:textId="77777777" w:rsidR="00BC13B0" w:rsidRDefault="00BC13B0" w:rsidP="00474279">
            <w:pPr>
              <w:pStyle w:val="ListParagraph"/>
              <w:numPr>
                <w:ilvl w:val="0"/>
                <w:numId w:val="1"/>
              </w:numPr>
            </w:pPr>
            <w:r>
              <w:rPr>
                <w:rFonts w:hint="eastAsia"/>
              </w:rPr>
              <w:t>&lt;</w:t>
            </w:r>
            <w:r>
              <w:t xml:space="preserve"> </w:t>
            </w:r>
            <w:r w:rsidRPr="00DB32CE">
              <w:rPr>
                <w:i/>
                <w:iCs/>
              </w:rPr>
              <w:t>ILL-TFPshock</w:t>
            </w:r>
            <w:r>
              <w:rPr>
                <w:rFonts w:hint="eastAsia"/>
                <w:i/>
                <w:iCs/>
              </w:rPr>
              <w:t>.png</w:t>
            </w:r>
            <w:r>
              <w:rPr>
                <w:rFonts w:hint="eastAsia"/>
              </w:rPr>
              <w:t>&gt;</w:t>
            </w:r>
          </w:p>
          <w:p w14:paraId="36DA0D70" w14:textId="77777777" w:rsidR="00BC13B0" w:rsidRDefault="00BC13B0" w:rsidP="00474279">
            <w:pPr>
              <w:pStyle w:val="ListParagraph"/>
              <w:jc w:val="center"/>
            </w:pPr>
            <w:r>
              <w:rPr>
                <w:rFonts w:hint="eastAsia"/>
                <w:noProof/>
              </w:rPr>
              <w:lastRenderedPageBreak/>
              <w:drawing>
                <wp:inline distT="0" distB="0" distL="0" distR="0" wp14:anchorId="4409C3A2" wp14:editId="5A3563B7">
                  <wp:extent cx="4738199" cy="3771829"/>
                  <wp:effectExtent l="0" t="0" r="0" b="635"/>
                  <wp:docPr id="901178766" name="Picture 2" descr="A graph of different types of polic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178766" name="Picture 2" descr="A graph of different types of policy&#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54138" cy="3784517"/>
                          </a:xfrm>
                          <a:prstGeom prst="rect">
                            <a:avLst/>
                          </a:prstGeom>
                        </pic:spPr>
                      </pic:pic>
                    </a:graphicData>
                  </a:graphic>
                </wp:inline>
              </w:drawing>
            </w:r>
          </w:p>
          <w:p w14:paraId="66424053" w14:textId="77777777" w:rsidR="00BC13B0" w:rsidRDefault="00BC13B0" w:rsidP="00474279">
            <w:pPr>
              <w:pStyle w:val="ListParagraph"/>
              <w:numPr>
                <w:ilvl w:val="0"/>
                <w:numId w:val="1"/>
              </w:numPr>
              <w:rPr>
                <w:i/>
                <w:iCs/>
              </w:rPr>
            </w:pPr>
            <w:r w:rsidRPr="00DB32CE">
              <w:rPr>
                <w:rFonts w:hint="eastAsia"/>
                <w:i/>
                <w:iCs/>
              </w:rPr>
              <w:t>&lt;</w:t>
            </w:r>
            <w:r w:rsidRPr="00DB32CE">
              <w:rPr>
                <w:i/>
                <w:iCs/>
              </w:rPr>
              <w:t xml:space="preserve"> ACF_comparisons</w:t>
            </w:r>
            <w:r w:rsidRPr="00DB32CE">
              <w:rPr>
                <w:rFonts w:hint="eastAsia"/>
                <w:i/>
                <w:iCs/>
              </w:rPr>
              <w:t>.png&gt;</w:t>
            </w:r>
          </w:p>
          <w:p w14:paraId="16AAAAAA" w14:textId="77777777" w:rsidR="00BC13B0" w:rsidRPr="00DB32CE" w:rsidRDefault="00BC13B0" w:rsidP="00474279">
            <w:pPr>
              <w:pStyle w:val="ListParagraph"/>
              <w:jc w:val="center"/>
              <w:rPr>
                <w:i/>
                <w:iCs/>
              </w:rPr>
            </w:pPr>
            <w:r>
              <w:rPr>
                <w:rFonts w:hint="eastAsia"/>
                <w:i/>
                <w:iCs/>
                <w:noProof/>
              </w:rPr>
              <w:lastRenderedPageBreak/>
              <w:drawing>
                <wp:inline distT="0" distB="0" distL="0" distR="0" wp14:anchorId="17C2F5F3" wp14:editId="2D62305D">
                  <wp:extent cx="4634089" cy="3475567"/>
                  <wp:effectExtent l="0" t="0" r="1905" b="4445"/>
                  <wp:docPr id="949917793" name="Picture 3" descr="A group of graphs with red and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268470" name="Picture 3" descr="A group of graphs with red and green lin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41142" cy="3480857"/>
                          </a:xfrm>
                          <a:prstGeom prst="rect">
                            <a:avLst/>
                          </a:prstGeom>
                        </pic:spPr>
                      </pic:pic>
                    </a:graphicData>
                  </a:graphic>
                </wp:inline>
              </w:drawing>
            </w:r>
          </w:p>
        </w:tc>
      </w:tr>
      <w:tr w:rsidR="00DB32CE" w14:paraId="2A7E2CBD" w14:textId="77777777" w:rsidTr="00BC13B0">
        <w:tc>
          <w:tcPr>
            <w:tcW w:w="9350" w:type="dxa"/>
          </w:tcPr>
          <w:p w14:paraId="70635DAA" w14:textId="77777777" w:rsidR="00DB32CE" w:rsidRPr="004B0162" w:rsidRDefault="00DB32CE" w:rsidP="00474279">
            <w:pPr>
              <w:rPr>
                <w:b/>
                <w:bCs/>
              </w:rPr>
            </w:pPr>
            <w:r w:rsidRPr="004B0162">
              <w:rPr>
                <w:rFonts w:hint="eastAsia"/>
                <w:b/>
                <w:bCs/>
              </w:rPr>
              <w:lastRenderedPageBreak/>
              <w:t>Discussion</w:t>
            </w:r>
          </w:p>
          <w:p w14:paraId="2F0D40DD" w14:textId="56FCD312" w:rsidR="00DB32CE" w:rsidRPr="00A64B5D" w:rsidRDefault="00DB32CE" w:rsidP="00474279">
            <w:pPr>
              <w:rPr>
                <w:rFonts w:hint="eastAsia"/>
                <w:color w:val="4C94D8" w:themeColor="text2" w:themeTint="80"/>
              </w:rPr>
            </w:pPr>
            <w:r>
              <w:rPr>
                <w:rFonts w:hint="eastAsia"/>
              </w:rPr>
              <w:t xml:space="preserve">Under a positive TFP shock, </w:t>
            </w:r>
            <w:r w:rsidR="00412145">
              <w:rPr>
                <w:rFonts w:hint="eastAsia"/>
              </w:rPr>
              <w:t>t</w:t>
            </w:r>
            <w:r w:rsidR="00412145">
              <w:rPr>
                <w:rFonts w:hint="eastAsia"/>
              </w:rPr>
              <w:t xml:space="preserve">he greatest difference is lies in the impulse response of consumption patterns (thereby also affecting investment dynamics since output dynamics are roughly the same). When there is an additional </w:t>
            </w:r>
            <w:r w:rsidR="00412145">
              <w:t>observable</w:t>
            </w:r>
            <w:r w:rsidR="00412145">
              <w:rPr>
                <w:rFonts w:hint="eastAsia"/>
              </w:rPr>
              <w:t xml:space="preserve">, we can see that the autocorrelation of output computed matches the data better, while both inflation and interest rate ACF remain relatively consistent. Under proper identification, </w:t>
            </w:r>
            <w:r w:rsidR="00412145">
              <w:t>consumption</w:t>
            </w:r>
            <w:r w:rsidR="00412145">
              <w:rPr>
                <w:rFonts w:hint="eastAsia"/>
              </w:rPr>
              <w:t xml:space="preserve"> increase immediately and then quickly returns back to steady state; the dynamics under the ill-identified model is less responsive to </w:t>
            </w:r>
            <w:r w:rsidR="00412145">
              <w:t>the</w:t>
            </w:r>
            <w:r w:rsidR="00412145">
              <w:rPr>
                <w:rFonts w:hint="eastAsia"/>
              </w:rPr>
              <w:t xml:space="preserve"> transitory TFP </w:t>
            </w:r>
            <w:proofErr w:type="gramStart"/>
            <w:r w:rsidR="00412145">
              <w:rPr>
                <w:rFonts w:hint="eastAsia"/>
              </w:rPr>
              <w:t>shock, and</w:t>
            </w:r>
            <w:proofErr w:type="gramEnd"/>
            <w:r w:rsidR="00412145">
              <w:rPr>
                <w:rFonts w:hint="eastAsia"/>
              </w:rPr>
              <w:t xml:space="preserve"> returns back to </w:t>
            </w:r>
            <w:r w:rsidR="00412145">
              <w:t>steady</w:t>
            </w:r>
            <w:r w:rsidR="00412145">
              <w:rPr>
                <w:rFonts w:hint="eastAsia"/>
              </w:rPr>
              <w:t xml:space="preserve"> state in a </w:t>
            </w:r>
            <w:r w:rsidR="00412145">
              <w:t>much</w:t>
            </w:r>
            <w:r w:rsidR="00412145">
              <w:rPr>
                <w:rFonts w:hint="eastAsia"/>
              </w:rPr>
              <w:t xml:space="preserve"> prolonged fashion.</w:t>
            </w:r>
            <w:r w:rsidR="00BC13B0">
              <w:rPr>
                <w:rFonts w:hint="eastAsia"/>
              </w:rPr>
              <w:t xml:space="preserve"> Looking at the ACFs, we see that </w:t>
            </w:r>
            <w:r w:rsidR="00BC13B0" w:rsidRPr="00BC13B0">
              <w:t>'Ill-identified' models tend to deviate from the actual data, suggesting a model misfit. The corrected model seems to better capture the dynamics of the data for all three variables.</w:t>
            </w:r>
            <w:r w:rsidR="00BC13B0">
              <w:rPr>
                <w:rFonts w:hint="eastAsia"/>
              </w:rPr>
              <w:t xml:space="preserve"> </w:t>
            </w:r>
            <w:r w:rsidR="00BC13B0" w:rsidRPr="00BC13B0">
              <w:t>The actual data suggest that all three variables exhibit some level of persistence, with interest rates appearing to be the most persistent. This implies that shocks to the interest rates would have lasting effects on the economy.</w:t>
            </w:r>
          </w:p>
        </w:tc>
      </w:tr>
    </w:tbl>
    <w:p w14:paraId="458708F4" w14:textId="77777777" w:rsidR="00DB32CE" w:rsidRDefault="00DB32CE" w:rsidP="00DB32CE"/>
    <w:p w14:paraId="6FD5F770" w14:textId="77777777" w:rsidR="00DB32CE" w:rsidRDefault="00DB32CE"/>
    <w:sectPr w:rsidR="00DB32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3D5943"/>
    <w:multiLevelType w:val="hybridMultilevel"/>
    <w:tmpl w:val="652E2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4262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305"/>
    <w:rsid w:val="000D2F21"/>
    <w:rsid w:val="000E2438"/>
    <w:rsid w:val="000F3D21"/>
    <w:rsid w:val="001E6A40"/>
    <w:rsid w:val="002105A8"/>
    <w:rsid w:val="00232D1B"/>
    <w:rsid w:val="003A3CB5"/>
    <w:rsid w:val="003E4DB8"/>
    <w:rsid w:val="00412145"/>
    <w:rsid w:val="00416D23"/>
    <w:rsid w:val="004F4A08"/>
    <w:rsid w:val="005C4D31"/>
    <w:rsid w:val="005D1305"/>
    <w:rsid w:val="006741CC"/>
    <w:rsid w:val="007D72C2"/>
    <w:rsid w:val="00905340"/>
    <w:rsid w:val="009540A5"/>
    <w:rsid w:val="00963191"/>
    <w:rsid w:val="00B051FA"/>
    <w:rsid w:val="00BC13B0"/>
    <w:rsid w:val="00BF0179"/>
    <w:rsid w:val="00BF229F"/>
    <w:rsid w:val="00CB0E5F"/>
    <w:rsid w:val="00DB32CE"/>
    <w:rsid w:val="00E162EB"/>
    <w:rsid w:val="00F163A1"/>
    <w:rsid w:val="00FF2C37"/>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58EB8C"/>
  <w15:chartTrackingRefBased/>
  <w15:docId w15:val="{F19E8C95-EEB5-ED40-9214-9B4CED672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305"/>
    <w:rPr>
      <w:lang w:val="en-US"/>
    </w:rPr>
  </w:style>
  <w:style w:type="paragraph" w:styleId="Heading1">
    <w:name w:val="heading 1"/>
    <w:basedOn w:val="Normal"/>
    <w:next w:val="Normal"/>
    <w:link w:val="Heading1Char"/>
    <w:uiPriority w:val="9"/>
    <w:qFormat/>
    <w:rsid w:val="005D13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D13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D13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13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13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130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130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130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130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305"/>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rsid w:val="005D1305"/>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rsid w:val="005D1305"/>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5D1305"/>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5D1305"/>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5D1305"/>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5D1305"/>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5D1305"/>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5D1305"/>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5D130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1305"/>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5D130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1305"/>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5D130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D1305"/>
    <w:rPr>
      <w:i/>
      <w:iCs/>
      <w:color w:val="404040" w:themeColor="text1" w:themeTint="BF"/>
      <w:lang w:val="en-US"/>
    </w:rPr>
  </w:style>
  <w:style w:type="paragraph" w:styleId="ListParagraph">
    <w:name w:val="List Paragraph"/>
    <w:basedOn w:val="Normal"/>
    <w:uiPriority w:val="34"/>
    <w:qFormat/>
    <w:rsid w:val="005D1305"/>
    <w:pPr>
      <w:ind w:left="720"/>
      <w:contextualSpacing/>
    </w:pPr>
  </w:style>
  <w:style w:type="character" w:styleId="IntenseEmphasis">
    <w:name w:val="Intense Emphasis"/>
    <w:basedOn w:val="DefaultParagraphFont"/>
    <w:uiPriority w:val="21"/>
    <w:qFormat/>
    <w:rsid w:val="005D1305"/>
    <w:rPr>
      <w:i/>
      <w:iCs/>
      <w:color w:val="0F4761" w:themeColor="accent1" w:themeShade="BF"/>
    </w:rPr>
  </w:style>
  <w:style w:type="paragraph" w:styleId="IntenseQuote">
    <w:name w:val="Intense Quote"/>
    <w:basedOn w:val="Normal"/>
    <w:next w:val="Normal"/>
    <w:link w:val="IntenseQuoteChar"/>
    <w:uiPriority w:val="30"/>
    <w:qFormat/>
    <w:rsid w:val="005D13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1305"/>
    <w:rPr>
      <w:i/>
      <w:iCs/>
      <w:color w:val="0F4761" w:themeColor="accent1" w:themeShade="BF"/>
      <w:lang w:val="en-US"/>
    </w:rPr>
  </w:style>
  <w:style w:type="character" w:styleId="IntenseReference">
    <w:name w:val="Intense Reference"/>
    <w:basedOn w:val="DefaultParagraphFont"/>
    <w:uiPriority w:val="32"/>
    <w:qFormat/>
    <w:rsid w:val="005D1305"/>
    <w:rPr>
      <w:b/>
      <w:bCs/>
      <w:smallCaps/>
      <w:color w:val="0F4761" w:themeColor="accent1" w:themeShade="BF"/>
      <w:spacing w:val="5"/>
    </w:rPr>
  </w:style>
  <w:style w:type="table" w:styleId="TableGrid">
    <w:name w:val="Table Grid"/>
    <w:basedOn w:val="TableNormal"/>
    <w:uiPriority w:val="39"/>
    <w:rsid w:val="005D13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32D1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24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647</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之瀚 俞</dc:creator>
  <cp:keywords/>
  <dc:description/>
  <cp:lastModifiedBy>之瀚 俞</cp:lastModifiedBy>
  <cp:revision>9</cp:revision>
  <dcterms:created xsi:type="dcterms:W3CDTF">2024-04-24T01:04:00Z</dcterms:created>
  <dcterms:modified xsi:type="dcterms:W3CDTF">2024-04-24T04:52:00Z</dcterms:modified>
</cp:coreProperties>
</file>