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1750BC">
      <w:pPr>
        <w:rPr>
          <w:rFonts w:ascii="仿宋_GB2312" w:eastAsia="仿宋_GB2312"/>
          <w:b/>
          <w:bCs/>
          <w:sz w:val="72"/>
          <w:szCs w:val="72"/>
        </w:rPr>
      </w:pPr>
      <w:r>
        <w:rPr>
          <w:rFonts w:hint="eastAsia" w:ascii="仿宋_GB2312" w:eastAsia="仿宋_GB2312" w:cs="仿宋_GB2312"/>
          <w:b/>
          <w:bCs/>
          <w:sz w:val="28"/>
          <w:szCs w:val="28"/>
        </w:rPr>
        <w:t>课程编号：</w:t>
      </w:r>
    </w:p>
    <w:p w14:paraId="7D6D5C7C">
      <w:pPr>
        <w:jc w:val="center"/>
        <w:rPr>
          <w:rFonts w:hint="eastAsia" w:ascii="仿宋_GB2312" w:eastAsia="仿宋_GB2312" w:cs="仿宋_GB2312"/>
          <w:b/>
          <w:bCs/>
          <w:sz w:val="72"/>
          <w:szCs w:val="72"/>
        </w:rPr>
      </w:pPr>
    </w:p>
    <w:p w14:paraId="7DF653E0">
      <w:pPr>
        <w:jc w:val="center"/>
        <w:rPr>
          <w:rFonts w:hint="eastAsia" w:ascii="仿宋_GB2312" w:eastAsia="仿宋_GB2312" w:cs="仿宋_GB2312"/>
          <w:b/>
          <w:bCs/>
          <w:sz w:val="72"/>
          <w:szCs w:val="72"/>
        </w:rPr>
      </w:pPr>
    </w:p>
    <w:p w14:paraId="0F811DC8">
      <w:pPr>
        <w:jc w:val="center"/>
        <w:rPr>
          <w:rFonts w:hint="default" w:ascii="仿宋_GB2312" w:eastAsia="仿宋_GB2312"/>
          <w:b/>
          <w:bCs/>
          <w:sz w:val="72"/>
          <w:szCs w:val="72"/>
          <w:lang w:val="en-US" w:eastAsia="zh-CN"/>
        </w:rPr>
      </w:pPr>
      <w:r>
        <w:rPr>
          <w:rFonts w:hint="eastAsia" w:ascii="仿宋_GB2312" w:eastAsia="仿宋_GB2312" w:cs="仿宋_GB2312"/>
          <w:b/>
          <w:bCs/>
          <w:sz w:val="72"/>
          <w:szCs w:val="72"/>
          <w:lang w:eastAsia="zh-CN"/>
        </w:rPr>
        <w:t>《</w:t>
      </w:r>
      <w:r>
        <w:rPr>
          <w:rFonts w:hint="eastAsia" w:ascii="仿宋_GB2312" w:eastAsia="仿宋_GB2312" w:cs="仿宋_GB2312"/>
          <w:b/>
          <w:bCs/>
          <w:sz w:val="72"/>
          <w:szCs w:val="72"/>
        </w:rPr>
        <w:t>开源</w:t>
      </w:r>
      <w:r>
        <w:rPr>
          <w:rFonts w:hint="eastAsia" w:ascii="仿宋_GB2312" w:eastAsia="仿宋_GB2312" w:cs="仿宋_GB2312"/>
          <w:b/>
          <w:bCs/>
          <w:sz w:val="72"/>
          <w:szCs w:val="72"/>
          <w:lang w:val="en-US" w:eastAsia="zh-CN"/>
        </w:rPr>
        <w:t>创新思维》</w:t>
      </w:r>
    </w:p>
    <w:p w14:paraId="67604145">
      <w:pPr>
        <w:jc w:val="center"/>
        <w:rPr>
          <w:rFonts w:ascii="仿宋_GB2312" w:eastAsia="仿宋_GB2312"/>
          <w:b/>
          <w:bCs/>
          <w:sz w:val="72"/>
          <w:szCs w:val="72"/>
        </w:rPr>
      </w:pPr>
      <w:r>
        <w:rPr>
          <w:rFonts w:hint="eastAsia" w:ascii="仿宋_GB2312" w:eastAsia="仿宋_GB2312" w:cs="仿宋_GB2312"/>
          <w:b/>
          <w:bCs/>
          <w:sz w:val="72"/>
          <w:szCs w:val="72"/>
        </w:rPr>
        <w:t>平时作业报告</w:t>
      </w:r>
    </w:p>
    <w:p w14:paraId="72B4D612">
      <w:pPr>
        <w:jc w:val="center"/>
        <w:rPr>
          <w:rFonts w:ascii="仿宋_GB2312" w:eastAsia="仿宋_GB2312"/>
          <w:b/>
          <w:bCs/>
          <w:sz w:val="52"/>
          <w:szCs w:val="52"/>
        </w:rPr>
      </w:pPr>
    </w:p>
    <w:p w14:paraId="1E8560DC">
      <w:pPr>
        <w:jc w:val="center"/>
        <w:rPr>
          <w:rFonts w:ascii="宋体"/>
          <w:sz w:val="28"/>
          <w:szCs w:val="28"/>
        </w:rPr>
      </w:pPr>
    </w:p>
    <w:p w14:paraId="1E615644">
      <w:pPr>
        <w:jc w:val="center"/>
        <w:rPr>
          <w:rFonts w:ascii="宋体"/>
          <w:sz w:val="28"/>
          <w:szCs w:val="28"/>
        </w:rPr>
      </w:pPr>
    </w:p>
    <w:p w14:paraId="27E03F4E">
      <w:pPr>
        <w:jc w:val="center"/>
        <w:rPr>
          <w:rFonts w:ascii="宋体"/>
          <w:sz w:val="28"/>
          <w:szCs w:val="28"/>
        </w:rPr>
      </w:pPr>
    </w:p>
    <w:p w14:paraId="0CE85110">
      <w:pPr>
        <w:jc w:val="center"/>
        <w:rPr>
          <w:rFonts w:ascii="宋体"/>
          <w:sz w:val="28"/>
          <w:szCs w:val="28"/>
        </w:rPr>
      </w:pPr>
    </w:p>
    <w:p w14:paraId="1C97CF4E">
      <w:pPr>
        <w:jc w:val="center"/>
        <w:rPr>
          <w:rFonts w:ascii="宋体"/>
          <w:sz w:val="28"/>
          <w:szCs w:val="28"/>
        </w:rPr>
      </w:pPr>
    </w:p>
    <w:p w14:paraId="7DE1962F">
      <w:pPr>
        <w:rPr>
          <w:rFonts w:ascii="仿宋_GB2312" w:eastAsia="仿宋_GB2312"/>
        </w:rPr>
      </w:pPr>
    </w:p>
    <w:p w14:paraId="08818189">
      <w:pPr>
        <w:rPr>
          <w:rFonts w:ascii="仿宋_GB2312" w:eastAsia="仿宋_GB2312"/>
        </w:rPr>
      </w:pPr>
    </w:p>
    <w:p w14:paraId="6B531FE3">
      <w:pPr>
        <w:rPr>
          <w:rFonts w:ascii="仿宋_GB2312" w:eastAsia="仿宋_GB2312"/>
        </w:rPr>
      </w:pPr>
    </w:p>
    <w:p w14:paraId="6EFB2D5D">
      <w:pPr>
        <w:rPr>
          <w:rFonts w:ascii="仿宋_GB2312" w:eastAsia="仿宋_GB2312"/>
        </w:rPr>
      </w:pPr>
    </w:p>
    <w:tbl>
      <w:tblPr>
        <w:tblStyle w:val="6"/>
        <w:tblW w:w="79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1594"/>
        <w:gridCol w:w="56"/>
        <w:gridCol w:w="2145"/>
        <w:gridCol w:w="2183"/>
      </w:tblGrid>
      <w:tr w14:paraId="04EF7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35084A30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姓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名</w:t>
            </w:r>
          </w:p>
        </w:tc>
        <w:tc>
          <w:tcPr>
            <w:tcW w:w="1594" w:type="dxa"/>
            <w:vAlign w:val="center"/>
          </w:tcPr>
          <w:p w14:paraId="1A12E197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/>
            <w:r>
              <w:rPr>
                <w:sz w:val="21"/>
              </w:rPr>
              <w:t>俞章喆</w:t>
            </w:r>
          </w:p>
        </w:tc>
        <w:tc>
          <w:tcPr>
            <w:tcW w:w="2201" w:type="dxa"/>
            <w:gridSpan w:val="2"/>
            <w:vAlign w:val="center"/>
          </w:tcPr>
          <w:p>
            <w:r>
              <w:t>f25016237</w:t>
            </w:r>
          </w:p>
        </w:tc>
        <w:tc>
          <w:tcPr>
            <w:tcW w:w="2183" w:type="dxa"/>
            <w:vAlign w:val="center"/>
          </w:tcPr>
          <w:p w14:paraId="7FEEBDA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/>
            <w:r>
              <w:rPr>
                <w:sz w:val="21"/>
              </w:rPr>
              <w:t>f25016237</w:t>
            </w:r>
          </w:p>
        </w:tc>
      </w:tr>
      <w:tr w14:paraId="66C5B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719C5919">
            <w:pPr>
              <w:wordWrap w:val="0"/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班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级</w:t>
            </w:r>
          </w:p>
        </w:tc>
        <w:tc>
          <w:tcPr>
            <w:tcW w:w="1594" w:type="dxa"/>
            <w:vAlign w:val="center"/>
          </w:tcPr>
          <w:p w14:paraId="1612FE55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201" w:type="dxa"/>
            <w:gridSpan w:val="2"/>
            <w:vAlign w:val="center"/>
          </w:tcPr>
          <w:p w14:paraId="71B3CC3B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指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导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教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1"/>
                <w:kern w:val="0"/>
                <w:sz w:val="24"/>
                <w:szCs w:val="24"/>
              </w:rPr>
              <w:t>师</w:t>
            </w:r>
          </w:p>
        </w:tc>
        <w:tc>
          <w:tcPr>
            <w:tcW w:w="2183" w:type="dxa"/>
            <w:vAlign w:val="center"/>
          </w:tcPr>
          <w:p w14:paraId="19AEECF8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祝欣蓉</w:t>
            </w:r>
          </w:p>
        </w:tc>
      </w:tr>
      <w:tr w14:paraId="42BD8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49391E54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期</w:t>
            </w:r>
          </w:p>
        </w:tc>
        <w:tc>
          <w:tcPr>
            <w:tcW w:w="5978" w:type="dxa"/>
            <w:gridSpan w:val="4"/>
            <w:vAlign w:val="center"/>
          </w:tcPr>
          <w:p w14:paraId="2F4D4785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20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-20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  <w:lang w:val="en-US" w:eastAsia="zh-CN"/>
              </w:rPr>
              <w:t>27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秋季学</w:t>
            </w:r>
            <w:r>
              <w:rPr>
                <w:rFonts w:hint="eastAsia" w:ascii="仿宋" w:hAnsi="仿宋" w:eastAsia="仿宋" w:cs="仿宋"/>
                <w:b/>
                <w:bCs/>
                <w:spacing w:val="0"/>
                <w:kern w:val="0"/>
                <w:sz w:val="24"/>
                <w:szCs w:val="24"/>
                <w:fitText w:val="2892" w:id="1715366501"/>
              </w:rPr>
              <w:t>期</w:t>
            </w:r>
          </w:p>
        </w:tc>
      </w:tr>
      <w:tr w14:paraId="3CAFD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7CBDA2F8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时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间</w:t>
            </w:r>
          </w:p>
        </w:tc>
        <w:tc>
          <w:tcPr>
            <w:tcW w:w="5978" w:type="dxa"/>
            <w:gridSpan w:val="4"/>
            <w:vAlign w:val="center"/>
          </w:tcPr>
          <w:p w14:paraId="1221FB3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周</w:t>
            </w:r>
            <w:r>
              <w:rPr>
                <w:rFonts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——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  <w:lang w:val="en-US" w:eastAsia="zh-CN"/>
              </w:rPr>
              <w:t>16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b/>
                <w:bCs/>
                <w:spacing w:val="3"/>
                <w:kern w:val="0"/>
                <w:sz w:val="24"/>
                <w:szCs w:val="24"/>
                <w:fitText w:val="2892" w:id="1"/>
              </w:rPr>
              <w:t>周</w:t>
            </w:r>
          </w:p>
        </w:tc>
      </w:tr>
      <w:tr w14:paraId="51E73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4127BB84">
            <w:pPr>
              <w:wordWrap w:val="0"/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报告日期</w:t>
            </w:r>
          </w:p>
        </w:tc>
        <w:tc>
          <w:tcPr>
            <w:tcW w:w="5978" w:type="dxa"/>
            <w:gridSpan w:val="4"/>
            <w:vAlign w:val="center"/>
          </w:tcPr>
          <w:p w14:paraId="2C519C55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/>
            <w:r>
              <w:rPr>
                <w:sz w:val="21"/>
              </w:rPr>
              <w:t>2026-10-14</w:t>
            </w:r>
          </w:p>
        </w:tc>
      </w:tr>
      <w:tr w14:paraId="4D61B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restart"/>
            <w:vAlign w:val="center"/>
          </w:tcPr>
          <w:p w14:paraId="2E95CE6D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评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定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成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绩</w:t>
            </w:r>
          </w:p>
        </w:tc>
        <w:tc>
          <w:tcPr>
            <w:tcW w:w="1650" w:type="dxa"/>
            <w:gridSpan w:val="2"/>
            <w:vMerge w:val="restart"/>
            <w:vAlign w:val="center"/>
          </w:tcPr>
          <w:p w14:paraId="441CE6CB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23CEC041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302"/>
                <w:kern w:val="0"/>
                <w:sz w:val="24"/>
                <w:szCs w:val="24"/>
                <w:fitText w:val="1928" w:id="2"/>
              </w:rPr>
              <w:t>评定</w:t>
            </w:r>
            <w:r>
              <w:rPr>
                <w:rFonts w:hint="eastAsia" w:ascii="仿宋" w:hAnsi="仿宋" w:eastAsia="仿宋" w:cs="仿宋"/>
                <w:b/>
                <w:bCs/>
                <w:spacing w:val="0"/>
                <w:kern w:val="0"/>
                <w:sz w:val="24"/>
                <w:szCs w:val="24"/>
                <w:fitText w:val="1928" w:id="2"/>
              </w:rPr>
              <w:t>人</w:t>
            </w:r>
          </w:p>
        </w:tc>
        <w:tc>
          <w:tcPr>
            <w:tcW w:w="2183" w:type="dxa"/>
            <w:vAlign w:val="center"/>
          </w:tcPr>
          <w:p w14:paraId="4DB25488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祝欣蓉</w:t>
            </w:r>
          </w:p>
        </w:tc>
      </w:tr>
      <w:tr w14:paraId="48668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continue"/>
            <w:vAlign w:val="center"/>
          </w:tcPr>
          <w:p w14:paraId="383DB938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1650" w:type="dxa"/>
            <w:gridSpan w:val="2"/>
            <w:vMerge w:val="continue"/>
            <w:vAlign w:val="center"/>
          </w:tcPr>
          <w:p w14:paraId="32F758F6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561C9102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评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定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日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4"/>
                <w:kern w:val="0"/>
                <w:sz w:val="24"/>
                <w:szCs w:val="24"/>
                <w:fitText w:val="1928" w:id="3"/>
              </w:rPr>
              <w:t>期</w:t>
            </w:r>
          </w:p>
        </w:tc>
        <w:tc>
          <w:tcPr>
            <w:tcW w:w="2183" w:type="dxa"/>
            <w:vAlign w:val="center"/>
          </w:tcPr>
          <w:p w14:paraId="20F3EA0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</w:tr>
    </w:tbl>
    <w:p w14:paraId="212ACDEC">
      <w:pPr>
        <w:widowControl/>
        <w:jc w:val="center"/>
        <w:rPr>
          <w:rFonts w:ascii="仿宋_GB2312" w:hAnsi="宋体" w:eastAsia="仿宋_GB2312"/>
          <w:b/>
          <w:bCs/>
          <w:sz w:val="28"/>
          <w:szCs w:val="28"/>
        </w:rPr>
      </w:pPr>
    </w:p>
    <w:tbl>
      <w:tblPr>
        <w:tblStyle w:val="6"/>
        <w:tblW w:w="8522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79"/>
        <w:gridCol w:w="1043"/>
      </w:tblGrid>
      <w:tr w14:paraId="67206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306EF4F9">
            <w:pPr>
              <w:spacing w:line="300" w:lineRule="auto"/>
              <w:jc w:val="center"/>
              <w:rPr>
                <w:rFonts w:ascii="仿宋" w:hAnsi="仿宋" w:eastAsia="仿宋"/>
                <w:b/>
                <w:bCs/>
                <w:kern w:val="0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</w:rPr>
              <w:t>考核标准</w:t>
            </w:r>
          </w:p>
        </w:tc>
        <w:tc>
          <w:tcPr>
            <w:tcW w:w="1043" w:type="dxa"/>
          </w:tcPr>
          <w:p w14:paraId="2BB8AF0D">
            <w:pPr>
              <w:widowControl/>
              <w:jc w:val="center"/>
              <w:rPr>
                <w:rFonts w:ascii="仿宋" w:hAnsi="仿宋" w:eastAsia="仿宋"/>
                <w:b/>
                <w:bCs/>
                <w:kern w:val="0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</w:rPr>
              <w:t>得分</w:t>
            </w:r>
          </w:p>
        </w:tc>
      </w:tr>
      <w:tr w14:paraId="70B67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603E2623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1</w:t>
            </w:r>
            <w:r>
              <w:rPr>
                <w:rFonts w:hint="eastAsia" w:ascii="仿宋" w:hAnsi="仿宋" w:eastAsia="仿宋" w:cs="仿宋"/>
                <w:kern w:val="0"/>
              </w:rPr>
              <w:t>）报告格式规范、语言通顺（</w:t>
            </w:r>
            <w:r>
              <w:rPr>
                <w:rFonts w:ascii="仿宋" w:hAnsi="仿宋" w:eastAsia="仿宋" w:cs="仿宋"/>
                <w:kern w:val="0"/>
              </w:rPr>
              <w:t>10%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4B49FE88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053CC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2407C561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2</w:t>
            </w:r>
            <w:r>
              <w:rPr>
                <w:rFonts w:hint="eastAsia" w:ascii="仿宋" w:hAnsi="仿宋" w:eastAsia="仿宋" w:cs="仿宋"/>
                <w:kern w:val="0"/>
              </w:rPr>
              <w:t>）质量标准分析合理（1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592BED55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345EE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06B4BA6C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3</w:t>
            </w:r>
            <w:r>
              <w:rPr>
                <w:rFonts w:hint="eastAsia" w:ascii="仿宋" w:hAnsi="仿宋" w:eastAsia="仿宋" w:cs="仿宋"/>
                <w:kern w:val="0"/>
              </w:rPr>
              <w:t>）测试方法分析全面、合理（</w:t>
            </w:r>
            <w:r>
              <w:rPr>
                <w:rFonts w:ascii="仿宋" w:hAnsi="仿宋" w:eastAsia="仿宋" w:cs="仿宋"/>
                <w:kern w:val="0"/>
              </w:rPr>
              <w:t>20%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5E606DBE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155A9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37F015F1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4</w:t>
            </w:r>
            <w:r>
              <w:rPr>
                <w:rFonts w:hint="eastAsia" w:ascii="仿宋" w:hAnsi="仿宋" w:eastAsia="仿宋" w:cs="仿宋"/>
                <w:kern w:val="0"/>
              </w:rPr>
              <w:t>）测试风险分析全面、合理（</w:t>
            </w:r>
            <w:r>
              <w:rPr>
                <w:rFonts w:ascii="仿宋" w:hAnsi="仿宋" w:eastAsia="仿宋" w:cs="仿宋"/>
                <w:kern w:val="0"/>
              </w:rPr>
              <w:t>20%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1086904D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182C1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4EEB5B32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5</w:t>
            </w:r>
            <w:r>
              <w:rPr>
                <w:rFonts w:hint="eastAsia" w:ascii="仿宋" w:hAnsi="仿宋" w:eastAsia="仿宋" w:cs="仿宋"/>
                <w:kern w:val="0"/>
              </w:rPr>
              <w:t>）测试总体测试策略全面、合理（3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</w:t>
            </w:r>
          </w:p>
        </w:tc>
        <w:tc>
          <w:tcPr>
            <w:tcW w:w="1043" w:type="dxa"/>
          </w:tcPr>
          <w:p w14:paraId="36167FA8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49649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6EB43FAF">
            <w:pPr>
              <w:spacing w:line="300" w:lineRule="auto"/>
              <w:rPr>
                <w:rFonts w:ascii="仿宋" w:hAnsi="仿宋" w:eastAsia="仿宋" w:cs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（6）测试充分性判断标准合理（10%）</w:t>
            </w:r>
          </w:p>
        </w:tc>
        <w:tc>
          <w:tcPr>
            <w:tcW w:w="1043" w:type="dxa"/>
          </w:tcPr>
          <w:p w14:paraId="13FC1955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</w:tbl>
    <w:p w14:paraId="32DAE905">
      <w:pPr>
        <w:widowControl/>
        <w:jc w:val="left"/>
        <w:rPr>
          <w:rFonts w:ascii="仿宋_GB2312" w:hAnsi="宋体" w:eastAsia="仿宋_GB2312"/>
          <w:sz w:val="24"/>
          <w:szCs w:val="24"/>
        </w:rPr>
      </w:pPr>
    </w:p>
    <w:p>
      <w:pPr>
        <w:jc w:val="center"/>
      </w:pPr>
      <w:r>
        <w:rPr>
          <w:rFonts w:ascii="Times New Roman" w:hAnsi="Times New Roman" w:eastAsia="黑体"/>
          <w:b/>
          <w:color w:val="000000"/>
          <w:sz w:val="28"/>
        </w:rPr>
        <w:t>一、选取的开源项目介绍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color w:val="000000"/>
          <w:sz w:val="21"/>
        </w:rPr>
        <w:t>本报告选取的开源项目是 Flask（https://github.com/pallets/flask），由 Pallets 开源社区维护，是使用 Python 编写的轻量级 Web 应用框架，采用 BSD-3-Clause 许可证发布，广泛用于 Web 服务与 API 的开发。本次扫描选用 Flask 3.0.0 官方源码包（sdist），解压后包含 280 个资源（231 个文件、49 个目录），共 1.43 MB，其中 Python 源码文件 82 个，其余为文档、配置、示例与测试文件。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color w:val="000000"/>
          <w:sz w:val="21"/>
        </w:rPr>
        <w:t>选择该项目的理由主要有三点：第一，Flask 应用广泛，被大量商业产品间接引用，其许可证合规情况具有实际分析价值；第二，Flask 代码规模适中、结构清晰，扫描结果易于人工核对；第三，项目发布在 PyPI 与 GitHub 上，可获取与官方发布完全一致的源码包，保证扫描结果可复现。</w:t>
      </w:r>
    </w:p>
    <w:p>
      <w:pPr>
        <w:jc w:val="center"/>
      </w:pPr>
      <w:r>
        <w:rPr>
          <w:rFonts w:ascii="Times New Roman" w:hAnsi="Times New Roman" w:eastAsia="黑体"/>
          <w:b/>
          <w:color w:val="000000"/>
          <w:sz w:val="28"/>
        </w:rPr>
        <w:t>二、许可证合规工具的安装过程及遇到的问题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color w:val="000000"/>
          <w:sz w:val="21"/>
        </w:rPr>
        <w:t>在参考工具列表中，经过对比后本报告选取 ScanCode Toolkit（https://github.com/aboutcode-org/scancode-toolkit）作为合规检测工具。选取理由如下：其一，ScanCode 是 AboutCode 社区出品、Apache-2.0 许可的成熟工具，被众多企业用于开源合规审计，社区活跃、文档完善；其二，它是命令行工具，pip 即可安装，无需 Web 服务与数据库环境；其三，它能够识别许可证、版权、包清单和直接依赖，并可将结果输出为 JSON、HTML、CSV、SPDX 等多种格式，报告内容全面。相比之下，Fossology 需要 Docker 与数据库环境，部署较重；Apache Rat 主要面向 Apache 自有工程的发布审计；Ninka 识别许可证种类有限且近年更新缓慢，故均未选用。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color w:val="000000"/>
          <w:sz w:val="21"/>
        </w:rPr>
        <w:t>安装环境为 Windows 11，Python 3.12.4。ScanCode 通过 pip 安装，安装命令如下（安装版本为 ScanCode Toolkit 32.5.0，内置 SPDX 许可证清单版本 3.27）：</w:t>
      </w:r>
    </w:p>
    <w:p>
      <w:pPr>
        <w:spacing w:lineRule="auto" w:line="300"/>
        <w:ind w:left="420"/>
      </w:pPr>
      <w:r>
        <w:rPr>
          <w:rFonts w:ascii="Times New Roman" w:hAnsi="Times New Roman" w:eastAsia="宋体"/>
          <w:color w:val="000000"/>
          <w:sz w:val="18"/>
        </w:rPr>
        <w:t>pip install scancode-toolkit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color w:val="000000"/>
          <w:sz w:val="21"/>
        </w:rPr>
        <w:t>安装过程遇到并解决了以下两个问题：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color w:val="000000"/>
          <w:sz w:val="21"/>
        </w:rPr>
        <w:t>（1）默认 PyPI 源下载缓慢导致安装长时间无进展。最初直接执行 pip install，依赖解析后下载几乎停滞，pip 进程在但缓存不增长。改用清华大学镜像源后顺利完成：pip install -i https://pypi.tuna.tsinghua.edu.cn/simple scancode-toolkit。全部依赖约 150 MB，安装成功。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color w:val="000000"/>
          <w:sz w:val="21"/>
        </w:rPr>
        <w:t>（2）多进程扫描异常退出。首次以默认多进程方式扫描时进程以 exit code 2 静默退出，日志无报错细节。改用 --processes 1（或 2）降低并发后扫描正常完成，推测与 Windows 下多进程内存限制有关。最终验证安装成功：scancode --version 输出 ScanCode version: 32.5.0。</w:t>
      </w:r>
    </w:p>
    <w:p>
      <w:pPr>
        <w:jc w:val="center"/>
      </w:pPr>
      <w:r>
        <w:rPr>
          <w:rFonts w:ascii="Times New Roman" w:hAnsi="Times New Roman" w:eastAsia="黑体"/>
          <w:b/>
          <w:color w:val="000000"/>
          <w:sz w:val="28"/>
        </w:rPr>
        <w:t>三、工具输出的检测报告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color w:val="000000"/>
          <w:sz w:val="21"/>
        </w:rPr>
        <w:t>将 Flask 3.0.0 源码解压至 scanwork/flask-3.0.0 目录后，执行如下命令生成许可证、版权与包信息的检测报告：</w:t>
      </w:r>
    </w:p>
    <w:p>
      <w:pPr>
        <w:spacing w:lineRule="auto" w:line="300"/>
        <w:ind w:left="420"/>
      </w:pPr>
      <w:r>
        <w:rPr>
          <w:rFonts w:ascii="Times New Roman" w:hAnsi="Times New Roman" w:eastAsia="宋体"/>
          <w:color w:val="000000"/>
          <w:sz w:val="18"/>
        </w:rPr>
        <w:t>scancode --license --copyright --package --info --processes 2 --ignore ".git" --html-app scancode_flask.html --json scancode_flask.json flask-3.0.0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color w:val="000000"/>
          <w:sz w:val="21"/>
        </w:rPr>
        <w:t>扫描耗时约 71 秒，0 个错误，速度 3.38 files/sec。终端输出的真实扫描摘要如图 1 所示：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27208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inal_sho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20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color w:val="000000"/>
          <w:sz w:val="18"/>
        </w:rPr>
        <w:t>图 1  ScanCode 终端扫描输出摘要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color w:val="000000"/>
          <w:sz w:val="21"/>
        </w:rPr>
        <w:t>工具同时输出了机器可读的 JSON 报告（scancode_flask.json，ScanCode Output Format version 4.1.0）与可交互的 HTML 报告（scancode_flask.html）。HTML 报告的 License Summary 页面如图 2 所示，左侧为文件树，右侧显示扫描文件总数（280），可通过 File Details 标签逐文件查看许可证检测详情，通过 Packages 标签查看识别出的软件包。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7406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tml_report_sho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color w:val="000000"/>
          <w:sz w:val="18"/>
        </w:rPr>
        <w:t>图 2  ScanCode 交互式 HTML 检测报告（flask-3.0.0）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color w:val="000000"/>
          <w:sz w:val="21"/>
        </w:rPr>
        <w:t>从 JSON 报告统计得到的真实检测结果如下：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color w:val="000000"/>
          <w:sz w:val="21"/>
        </w:rPr>
        <w:t>（1）共扫描 280 个资源（231 个文件、49 个目录），共 1.43 MB；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color w:val="000000"/>
          <w:sz w:val="21"/>
        </w:rPr>
        <w:t>（2）识别出软件包 1 个：pypi 包 Flask 3.0.0，声明许可证表达式为 bsd-new（SPDX：BSD-3-Clause），与 pyproject.toml 及 PKG-INFO 中的声明一致；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color w:val="000000"/>
          <w:sz w:val="21"/>
        </w:rPr>
        <w:t>（3）许可证检测共 10 处：BSD-3-Clause（bsd-new）8 处、unknown-license-reference 2 处；其中 3 个 LICENSE.rst 文件（根目录、examples/javascript、examples/tutorial）的 BSD-3-Clause 许可文本以 100.0 分全文本匹配，LICENSE.rst 匹配第 3—28 行；unknown-license-reference 出现在 CHANGES.rst 与 CONTRIBUTING.rst 中，是对许可证名称的文本提及而非有效许可声明；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color w:val="000000"/>
          <w:sz w:val="21"/>
        </w:rPr>
        <w:t>（4）含版权声明的文件 6 个，版权主体为 Pallets 组织（Copyright (c) 2010-2023 Pallets）；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color w:val="000000"/>
          <w:sz w:val="21"/>
        </w:rPr>
        <w:t>（5）未发现 GPL、AGPL 等强传染性（Copyleft）许可证，未发现许可证冲突。</w:t>
      </w:r>
    </w:p>
    <w:p>
      <w:pPr>
        <w:jc w:val="center"/>
      </w:pPr>
      <w:r>
        <w:rPr>
          <w:rFonts w:ascii="Times New Roman" w:hAnsi="Times New Roman" w:eastAsia="黑体"/>
          <w:b/>
          <w:color w:val="000000"/>
          <w:sz w:val="28"/>
        </w:rPr>
        <w:t>四、工具输出报告的详细分析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color w:val="000000"/>
          <w:sz w:val="21"/>
        </w:rPr>
        <w:t>4.1 许可证合规性分析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color w:val="000000"/>
          <w:sz w:val="21"/>
        </w:rPr>
        <w:t>从真实检测结果看，Flask 3.0.0 的包级声明许可证为 BSD-3-Clause，全部许可证检出均为 BSD-3-Clause 及对许可证的文本引用。BSD-3-Clause 属于宽松（Permissive）许可证，允许自由使用、修改、再分发与商业闭源使用，仅需在分发时保留版权与许可声明，并注意其不得使用作者名义背书的条款。因此，将 Flask 集成到任何商业产品中，只要在产品文档或"关于"页面中附上 BSD-3-Clause 许可文本与版权声明，即满足合规义务，合规风险很低。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color w:val="000000"/>
          <w:sz w:val="21"/>
        </w:rPr>
        <w:t>值得注意的是，CHANGES.rst 与 CONTRIBUTING.rst 中检出的 unknown-license-reference 并非有效许可声明，只是正文中出现了"BSD license"等文字。若不加甄别地统计，会误认为项目存在未知许可证文件。这说明工具输出必须结合 matched_line 与 score 人工复核：本例中 3 个 LICENSE.rst 的匹配分数为 100.0、匹配长度 216，是完整的许可文本；而 unknown-license-reference 的匹配只是短文本引用，不构成许可。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color w:val="000000"/>
          <w:sz w:val="21"/>
        </w:rPr>
        <w:t>4.2 工具检测能力分析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color w:val="000000"/>
          <w:sz w:val="21"/>
        </w:rPr>
        <w:t>ScanCode 的许可证识别基于许可证文本库（内置 SPDX 3.27 清单）结合 2-aho（Aho-Corasick）匹配器做文本相似度匹配，对 LICENSE 文件、源码文件头与包清单中声明的许可证识别准确率高，并以 score 给出置信度。其局限在于：第一，它扫描的是"声明"，无法验证分发二进制时是否真正履行了声明义务，即只解决"是什么许可证"，不解决"如何合规"；第二，源码文件未写明许可证时（本项目 231 个文件中仅 6 个含声明）会留空，需依赖包级声明兜底，这正是 SPDX/SBOM 中包级 license 声明的价值；第三，Windows 下多进程扫描存在稳定性问题，大仓库建议在 Linux 环境扫描。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color w:val="000000"/>
          <w:sz w:val="21"/>
        </w:rPr>
        <w:t>4.3 版权与归属分析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color w:val="000000"/>
          <w:sz w:val="21"/>
        </w:rPr>
        <w:t>报告中的版权信息显示 Flask 的版权主体为 Pallets（Copyright (c) 2010-2023 Pallets）。若用于二次开发并分发，建议直接复用其 LICENSE.rst 文件而非逐条摘录。ScanCode 支持据此自动生成归属（attribution）文档，可显著降低人工整理成本。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color w:val="000000"/>
          <w:sz w:val="21"/>
        </w:rPr>
        <w:t>4.4 合规建议与总结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color w:val="000000"/>
          <w:sz w:val="21"/>
        </w:rPr>
        <w:t>综合本次真实扫描结果，得出以下结论与建议：（1）Flask 3.0.0 许可证合规状况良好，包声明与文件检测均为 BSD-3-Clause，可安全引入教学与商业项目，合规动作仅需保留许可与版权声明；（2）应在项目物料清单（SBOM）中登记 Flask 的名称、版本与许可证表达式，ScanCode 导出的 JSON/SPDX 文件可直接作为登记材料；（3）工具自动结果必须辅以人工复核，尤其要区分"有效许可声明"与"许可证文本引用"；（4）建议将 ScanCode 扫描纳入 CI 流水线，在每次引入新依赖时自动重新扫描，实现持续的开源合规治理。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color w:val="000000"/>
          <w:sz w:val="21"/>
        </w:rPr>
        <w:t>通过本次作业，我完整实践了开源许可证合规检测的流程：选工具、装工具、跑扫描、读报告、做分析，理解了 BSD/MIT 宽松许可证与 GPL 类 Copyleft 许可证在义务上的本质差异，也认识到自动化工具与人工复核相结合才是可靠的开源合规实践。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1BED45">
    <w:pPr>
      <w:pStyle w:val="4"/>
      <w:jc w:val="center"/>
      <w:rPr>
        <w:rFonts w:ascii="宋体"/>
        <w:sz w:val="21"/>
        <w:szCs w:val="21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FC2EF0"/>
  <w:p w14:paraId="24A17E3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FF7"/>
    <w:rsid w:val="00004924"/>
    <w:rsid w:val="0004082D"/>
    <w:rsid w:val="00122EF6"/>
    <w:rsid w:val="001B25B7"/>
    <w:rsid w:val="00210F7B"/>
    <w:rsid w:val="002A68D5"/>
    <w:rsid w:val="002B1E36"/>
    <w:rsid w:val="002E6DAA"/>
    <w:rsid w:val="00300C0D"/>
    <w:rsid w:val="0031225C"/>
    <w:rsid w:val="00327EE0"/>
    <w:rsid w:val="003939A9"/>
    <w:rsid w:val="003D5142"/>
    <w:rsid w:val="004C0520"/>
    <w:rsid w:val="00543D41"/>
    <w:rsid w:val="0056650E"/>
    <w:rsid w:val="006271D4"/>
    <w:rsid w:val="00652FF7"/>
    <w:rsid w:val="00670E8A"/>
    <w:rsid w:val="00777921"/>
    <w:rsid w:val="00780EF2"/>
    <w:rsid w:val="007B2FC0"/>
    <w:rsid w:val="007B59F3"/>
    <w:rsid w:val="007E21F6"/>
    <w:rsid w:val="007E763B"/>
    <w:rsid w:val="007F5A3E"/>
    <w:rsid w:val="008E5344"/>
    <w:rsid w:val="00911CFD"/>
    <w:rsid w:val="00956CF2"/>
    <w:rsid w:val="00A15A10"/>
    <w:rsid w:val="00A4464A"/>
    <w:rsid w:val="00AB32CB"/>
    <w:rsid w:val="00AE7B1B"/>
    <w:rsid w:val="00BB2BBC"/>
    <w:rsid w:val="00BC35C9"/>
    <w:rsid w:val="00BE2E5F"/>
    <w:rsid w:val="00C70D3A"/>
    <w:rsid w:val="00C85277"/>
    <w:rsid w:val="00D02F64"/>
    <w:rsid w:val="00DF1951"/>
    <w:rsid w:val="00DF2C02"/>
    <w:rsid w:val="00E12444"/>
    <w:rsid w:val="00E749A8"/>
    <w:rsid w:val="00E85B11"/>
    <w:rsid w:val="00E911C2"/>
    <w:rsid w:val="00F61227"/>
    <w:rsid w:val="00F93499"/>
    <w:rsid w:val="00F95DEC"/>
    <w:rsid w:val="00FE3EF8"/>
    <w:rsid w:val="05F15D1D"/>
    <w:rsid w:val="0695635D"/>
    <w:rsid w:val="0C620734"/>
    <w:rsid w:val="12FD788F"/>
    <w:rsid w:val="1A101EFF"/>
    <w:rsid w:val="1AB55DD4"/>
    <w:rsid w:val="1C787CA6"/>
    <w:rsid w:val="23E65FFA"/>
    <w:rsid w:val="32FB6306"/>
    <w:rsid w:val="36034403"/>
    <w:rsid w:val="38DD575A"/>
    <w:rsid w:val="3BDF39ED"/>
    <w:rsid w:val="3D775432"/>
    <w:rsid w:val="47351CE1"/>
    <w:rsid w:val="4C987DD0"/>
    <w:rsid w:val="60CA19D8"/>
    <w:rsid w:val="665D5E75"/>
    <w:rsid w:val="6D2E4BAB"/>
    <w:rsid w:val="71E75D3D"/>
    <w:rsid w:val="720A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nhideWhenUsed="0" w:uiPriority="99" w:semiHidden="0" w:name="heading 3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3"/>
    <w:basedOn w:val="1"/>
    <w:next w:val="1"/>
    <w:link w:val="9"/>
    <w:qFormat/>
    <w:uiPriority w:val="9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0"/>
    <w:semiHidden/>
    <w:qFormat/>
    <w:uiPriority w:val="99"/>
    <w:rPr>
      <w:sz w:val="18"/>
      <w:szCs w:val="18"/>
    </w:rPr>
  </w:style>
  <w:style w:type="paragraph" w:styleId="4">
    <w:name w:val="footer"/>
    <w:basedOn w:val="1"/>
    <w:link w:val="1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3 字符"/>
    <w:link w:val="2"/>
    <w:semiHidden/>
    <w:qFormat/>
    <w:locked/>
    <w:uiPriority w:val="99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0">
    <w:name w:val="批注框文本 字符"/>
    <w:link w:val="3"/>
    <w:semiHidden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脚 字符"/>
    <w:link w:val="4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眉 字符"/>
    <w:link w:val="5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3">
    <w:name w:val="List Paragraph1"/>
    <w:basedOn w:val="1"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3</Pages>
  <Words>364</Words>
  <Characters>401</Characters>
  <Lines>3</Lines>
  <Paragraphs>1</Paragraphs>
  <TotalTime>6</TotalTime>
  <ScaleCrop>false</ScaleCrop>
  <LinksUpToDate>false</LinksUpToDate>
  <CharactersWithSpaces>444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2023-08-22T04:51:00Z</dcterms:created>
  <dc:creator>微软用户</dc:creator>
  <cp:lastModifiedBy>依帆临水</cp:lastModifiedBy>
  <dcterms:modified xsi:type="dcterms:W3CDTF">2026-10-08T11:26:42Z</dcterms:modified>
  <dc:title>课程编号：B0801*****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eyJoZGlkIjoiNDgwYTczMWY1MmU4Njk2MDNiY2QyNDljNjZhY2Y5OGIiLCJ1c2VySWQiOiIzMTAyOTEwNTUifQ==</vt:lpwstr>
  </property>
  <property fmtid="{D5CDD505-2E9C-101B-9397-08002B2CF9AE}" pid="4" name="ICV">
    <vt:lpwstr>2FCBE16CC9AA4110AD018CF3B4DFFEB0_12</vt:lpwstr>
  </property>
</Properties>
</file>