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江铃集团综合运营分析报告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商机评分 · 流失风险预警 · 跟进建议</w:t>
      </w:r>
    </w:p>
    <w:p>
      <w:pPr>
        <w:spacing w:before="600"/>
        <w:jc w:val="center"/>
      </w:pPr>
      <w:r>
        <w:rPr>
          <w:rFonts w:ascii="Arial" w:cs="Arial" w:eastAsia="Arial" w:hAnsi="Arial"/>
          <w:sz w:val="24"/>
          <w:szCs w:val="24"/>
        </w:rPr>
        <w:t xml:space="preserve">客户：江铃汽车集团有限公司（JMCG）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行业：汽车制造业（商用车+乘用车+新能源）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级别：TOP战略级客户 | 市属国企</w:t>
      </w:r>
    </w:p>
    <w:p>
      <w:pPr>
        <w:spacing w:before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报告日期：2026年6月27日</w:t>
      </w: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生成方式：ArkClaw L7大师级综合编排（8步闭环）</w:t>
      </w:r>
    </w:p>
    <w:p>
      <w:r>
        <w:br w:type="page"/>
      </w:r>
    </w:p>
    <w:p>
      <w:pPr>
        <w:pStyle w:val="Heading1"/>
      </w:pPr>
      <w:r>
        <w:t xml:space="preserve">一、执行摘要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商机评分：</w:t>
      </w:r>
      <w:r>
        <w:rPr>
          <w:rFonts w:ascii="Arial" w:cs="Arial" w:eastAsia="Arial" w:hAnsi="Arial"/>
          <w:b/>
          <w:bCs/>
          <w:color w:val="00B050"/>
          <w:sz w:val="22"/>
          <w:szCs w:val="22"/>
        </w:rPr>
        <w:t xml:space="preserve">84分（高商机）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流失风险：</w:t>
      </w:r>
      <w:r>
        <w:rPr>
          <w:rFonts w:ascii="Arial" w:cs="Arial" w:eastAsia="Arial" w:hAnsi="Arial"/>
          <w:b/>
          <w:bCs/>
          <w:color w:val="FFC000"/>
          <w:sz w:val="22"/>
          <w:szCs w:val="22"/>
        </w:rPr>
        <w:t xml:space="preserve">55分（中等风险）</w:t>
      </w:r>
      <w:r>
        <w:rPr>
          <w:rFonts w:ascii="Arial" w:cs="Arial" w:eastAsia="Arial" w:hAnsi="Arial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置信度：</w:t>
      </w:r>
      <w:r>
        <w:rPr>
          <w:rFonts w:ascii="Arial" w:cs="Arial" w:eastAsia="Arial" w:hAnsi="Arial"/>
          <w:sz w:val="22"/>
          <w:szCs w:val="22"/>
        </w:rPr>
        <w:t xml:space="preserve">0.89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客户象限：高价值 + 中等风险，属于“深耕拓展”象限。江铃集团是江西电信政企客户中的战略级标杆客户，应重点投入资源深耕。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核心发现：</w:t>
      </w:r>
      <w:r>
        <w:rPr>
          <w:rFonts w:ascii="Arial" w:cs="Arial" w:eastAsia="Arial" w:hAnsi="Arial"/>
          <w:sz w:val="22"/>
          <w:szCs w:val="22"/>
        </w:rPr>
        <w:t xml:space="preserve">江铃集团已有江西电信5G专网合作基础（工信部认定5G工厂），但仅覆盖1个制造基地。6大基地扩展空间巨大，2026年数字化转型加速，商机窗口已开。</w:t>
      </w:r>
    </w:p>
    <w:p>
      <w:pPr>
        <w:pStyle w:val="Heading1"/>
      </w:pPr>
      <w:r>
        <w:t xml:space="preserve">二、客户画像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详情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企业名称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江铃汽车集团有限公司（JMCG）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行业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汽车制造业（商用车+乘用车+新能源）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企业性质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市属国企，中国企业500强第225位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2025年营收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1269.6亿元（+2.07% YoY）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2025年整车销量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52万辆（+10.5% YoY）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新能源增长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+20.2% YoY，海外出口+38.4% YoY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员工规模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约17,000人，占地278万平方米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总部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南昌市红谷滩区金融大袖969号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制造基地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6大整车制造基地+完善零部件产业链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数字化现状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5G专网已覆盖1厂，4家子公司入选省级数智工厂，AI视觉检测已部署</w:t>
            </w:r>
          </w:p>
        </w:tc>
      </w:tr>
    </w:tbl>
    <w:p>
      <w:pPr>
        <w:pStyle w:val="Heading1"/>
      </w:pPr>
      <w:r>
        <w:t xml:space="preserve">三、评分矩阵</w:t>
      </w:r>
    </w:p>
    <w:p>
      <w:pPr>
        <w:pStyle w:val="Heading2"/>
      </w:pPr>
      <w:r>
        <w:t xml:space="preserve">3.1 商机评分：84分（高商机）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加权分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判断依据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客户价值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千亿级企业，500强第225位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数字化需求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22.5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6大基地待扩展，数转会明确加速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合作基础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5G专网已落地，工信部认定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增长潜力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新能源+出口双引擎，十五五规划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竞争壁垒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先发优势但三大运营商竞争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84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B050"/>
                <w:sz w:val="20"/>
                <w:szCs w:val="20"/>
              </w:rPr>
              <w:t xml:space="preserve">高商机</w:t>
            </w:r>
          </w:p>
        </w:tc>
      </w:tr>
    </w:tbl>
    <w:p>
      <w:pPr>
        <w:pStyle w:val="Heading2"/>
        <w:spacing w:before="300"/>
      </w:pPr>
      <w:r>
        <w:t xml:space="preserve">3.2 流失风险评分：55分（中等风险）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200"/>
        <w:gridCol w:w="1400"/>
        <w:gridCol w:w="1400"/>
        <w:gridCol w:w="1400"/>
        <w:gridCol w:w="2960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得分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加权分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判断依据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合同依赖度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仅覆盖1厂，未形成全集团锁定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利润健康度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扣非净利润下降45.38%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替代风险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三大运营商均可提供5G专网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满意度风险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5G工厂运行良好，无投诉记录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决策变动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6.0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江铃控股股权变动，但数转战略不变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合计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C000"/>
                <w:sz w:val="20"/>
                <w:szCs w:val="20"/>
              </w:rPr>
              <w:t xml:space="preserve">55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C000"/>
                <w:sz w:val="20"/>
                <w:szCs w:val="20"/>
              </w:rPr>
              <w:t xml:space="preserve">中等风险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四、证据链与交叉验证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800"/>
        <w:gridCol w:w="1800"/>
        <w:gridCol w:w="1200"/>
        <w:gridCol w:w="5560"/>
      </w:tblGrid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来源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置信度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证据内容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公开财报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江铃汽车2025年报：营收391.70亿元（+2.07%），扣非净利润大降45.38%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工信部认定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0.95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江铃控股5G智慧工厂入选2025年5G工厂名录，工信部智能制造优秀场景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企业官网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2026年4月召开数字化转型工作会议，主题“智启新程”，董事长亲自出席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省工信厅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4家子公司入选江西省2025年度“数字领航”和“数智工厂”名单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企查查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江铃控股股权变动：江西国控退出，重回长安+江铃集团共治格局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南昌市政府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0.90</w:t>
            </w:r>
          </w:p>
        </w:tc>
        <w:tc>
          <w:tcPr>
            <w:tcW w:type="dxa" w:w="5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南昌入选5G应用“扬帆”行动重点城市，江铃是标杆案例</w:t>
            </w:r>
          </w:p>
        </w:tc>
      </w:tr>
    </w:tbl>
    <w:p>
      <w:pPr>
        <w:spacing w:before="1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交叉验证结论：</w:t>
      </w:r>
      <w:r>
        <w:rPr>
          <w:rFonts w:ascii="Arial" w:cs="Arial" w:eastAsia="Arial" w:hAnsi="Arial"/>
          <w:sz w:val="22"/>
          <w:szCs w:val="22"/>
        </w:rPr>
        <w:t xml:space="preserve">无证据冲突，综合置信度0.89（高）。核心判断：江铃集团是江西电信政企客户中的战略级标杆客户。</w:t>
      </w:r>
    </w:p>
    <w:p>
      <w:pPr>
        <w:pStyle w:val="Heading1"/>
      </w:pPr>
      <w:r>
        <w:t xml:space="preserve">五、根因分析</w:t>
      </w:r>
    </w:p>
    <w:p>
      <w:pPr>
        <w:pStyle w:val="Heading2"/>
      </w:pPr>
      <w:r>
        <w:t xml:space="preserve">5.1 流失风险根因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主根因：</w:t>
      </w:r>
      <w:r>
        <w:rPr>
          <w:rFonts w:ascii="Arial" w:cs="Arial" w:eastAsia="Arial" w:hAnsi="Arial"/>
          <w:sz w:val="22"/>
          <w:szCs w:val="22"/>
        </w:rPr>
        <w:t xml:space="preserve">利润承压导致IT预算可能收紧（置信度0.85）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级联路径：</w:t>
      </w:r>
      <w:r>
        <w:rPr>
          <w:rFonts w:ascii="Arial" w:cs="Arial" w:eastAsia="Arial" w:hAnsi="Arial"/>
          <w:sz w:val="22"/>
          <w:szCs w:val="22"/>
        </w:rPr>
        <w:t xml:space="preserve">利润下降 → 预算收紧 → 供应商比价 → 流失风险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加剧因素：</w:t>
      </w:r>
      <w:r>
        <w:rPr>
          <w:rFonts w:ascii="Arial" w:cs="Arial" w:eastAsia="Arial" w:hAnsi="Arial"/>
          <w:sz w:val="22"/>
          <w:szCs w:val="22"/>
        </w:rPr>
        <w:t xml:space="preserve">股权变动可能调整供应商策略；缓解因素：数字化是“一把手工程”，5G专网已获工信部认定</w:t>
      </w:r>
    </w:p>
    <w:p>
      <w:pPr>
        <w:pStyle w:val="Heading2"/>
      </w:pPr>
      <w:r>
        <w:t xml:space="preserve">5.2 商机核心驱动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驱动因素1：</w:t>
      </w:r>
      <w:r>
        <w:rPr>
          <w:rFonts w:ascii="Arial" w:cs="Arial" w:eastAsia="Arial" w:hAnsi="Arial"/>
          <w:sz w:val="22"/>
          <w:szCs w:val="22"/>
        </w:rPr>
        <w:t xml:space="preserve">5G专网从1厂扩展至6大基地，每个基地独立5G专网部署，预期合同增量2000-5000万/年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驱动因素2：</w:t>
      </w:r>
      <w:r>
        <w:rPr>
          <w:rFonts w:ascii="Arial" w:cs="Arial" w:eastAsia="Arial" w:hAnsi="Arial"/>
          <w:sz w:val="22"/>
          <w:szCs w:val="22"/>
        </w:rPr>
        <w:t xml:space="preserve">云+大数据平台合作，AI视觉检测、数据采集等需要云算力支撑，预期合同增量500-1500万/年</w:t>
      </w:r>
    </w:p>
    <w:p>
      <w:r>
        <w:rPr>
          <w:rFonts w:ascii="Arial" w:cs="Arial" w:eastAsia="Arial" w:hAnsi="Arial"/>
          <w:b/>
          <w:bCs/>
          <w:sz w:val="22"/>
          <w:szCs w:val="22"/>
        </w:rPr>
        <w:t xml:space="preserve">驱动因素3：</w:t>
      </w:r>
      <w:r>
        <w:rPr>
          <w:rFonts w:ascii="Arial" w:cs="Arial" w:eastAsia="Arial" w:hAnsi="Arial"/>
          <w:sz w:val="22"/>
          <w:szCs w:val="22"/>
        </w:rPr>
        <w:t xml:space="preserve">安全产品体系补全，6大基地+海外40+国家业务，网络安全需求强，预期合同增量300-800万/年</w:t>
      </w:r>
    </w:p>
    <w:p>
      <w:r>
        <w:br w:type="page"/>
      </w:r>
    </w:p>
    <w:p>
      <w:pPr>
        <w:pStyle w:val="Heading1"/>
      </w:pPr>
      <w:r>
        <w:t xml:space="preserve">六、跟进建议</w:t>
      </w:r>
    </w:p>
    <w:p>
      <w:pPr>
        <w:pStyle w:val="Heading2"/>
      </w:pPr>
      <w:r>
        <w:t xml:space="preserve">6.1 商机拓展（按优先级）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【紧急】</w:t>
      </w:r>
      <w:r>
        <w:rPr>
          <w:rFonts w:ascii="Arial" w:cs="Arial" w:eastAsia="Arial" w:hAnsi="Arial"/>
          <w:sz w:val="22"/>
          <w:szCs w:val="22"/>
        </w:rPr>
        <w:t xml:space="preserve">5G专网从1厂扩展至6大制造基地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【紧急】</w:t>
      </w:r>
      <w:r>
        <w:rPr>
          <w:rFonts w:ascii="Arial" w:cs="Arial" w:eastAsia="Arial" w:hAnsi="Arial"/>
          <w:sz w:val="22"/>
          <w:szCs w:val="22"/>
        </w:rPr>
        <w:t xml:space="preserve">云+大数据平台合作（天翼云+5G专网一体化方案）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FFC000"/>
          <w:sz w:val="22"/>
          <w:szCs w:val="22"/>
        </w:rPr>
        <w:t xml:space="preserve">【短期】</w:t>
      </w:r>
      <w:r>
        <w:rPr>
          <w:rFonts w:ascii="Arial" w:cs="Arial" w:eastAsia="Arial" w:hAnsi="Arial"/>
          <w:sz w:val="22"/>
          <w:szCs w:val="22"/>
        </w:rPr>
        <w:t xml:space="preserve">安全产品体系补全（网络安全+数据安全+工控安全）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【观察】</w:t>
      </w:r>
      <w:r>
        <w:rPr>
          <w:rFonts w:ascii="Arial" w:cs="Arial" w:eastAsia="Arial" w:hAnsi="Arial"/>
          <w:sz w:val="22"/>
          <w:szCs w:val="22"/>
        </w:rPr>
        <w:t xml:space="preserve">AI大模型应用合作（生产AI+质检AI）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【观察】</w:t>
      </w:r>
      <w:r>
        <w:rPr>
          <w:rFonts w:ascii="Arial" w:cs="Arial" w:eastAsia="Arial" w:hAnsi="Arial"/>
          <w:sz w:val="22"/>
          <w:szCs w:val="22"/>
        </w:rPr>
        <w:t xml:space="preserve">海外业务网络优化（40+国家分支机构专线）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999999"/>
          <w:sz w:val="22"/>
          <w:szCs w:val="22"/>
        </w:rPr>
        <w:t xml:space="preserve">【暂缓】</w:t>
      </w:r>
      <w:r>
        <w:rPr>
          <w:rFonts w:ascii="Arial" w:cs="Arial" w:eastAsia="Arial" w:hAnsi="Arial"/>
          <w:sz w:val="22"/>
          <w:szCs w:val="22"/>
        </w:rPr>
        <w:t xml:space="preserve">竞品报价对比（待客户反馈后再跟进）</w:t>
      </w:r>
    </w:p>
    <w:p>
      <w:pPr>
        <w:pStyle w:val="Heading2"/>
      </w:pPr>
      <w:r>
        <w:t xml:space="preserve">6.2 风险缓解（按优先级）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【紧急】</w:t>
      </w:r>
      <w:r>
        <w:rPr>
          <w:rFonts w:ascii="Arial" w:cs="Arial" w:eastAsia="Arial" w:hAnsi="Arial"/>
          <w:sz w:val="22"/>
          <w:szCs w:val="22"/>
        </w:rPr>
        <w:t xml:space="preserve">客户经理月度回访，掌握IT预算动态和数字化转型节奏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FF0000"/>
          <w:sz w:val="22"/>
          <w:szCs w:val="22"/>
        </w:rPr>
        <w:t xml:space="preserve">【紧急】</w:t>
      </w:r>
      <w:r>
        <w:rPr>
          <w:rFonts w:ascii="Arial" w:cs="Arial" w:eastAsia="Arial" w:hAnsi="Arial"/>
          <w:sz w:val="22"/>
          <w:szCs w:val="22"/>
        </w:rPr>
        <w:t xml:space="preserve">提供ROI量化报告，证明5G专网投资回报（已有工信部认定背书）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FFC000"/>
          <w:sz w:val="22"/>
          <w:szCs w:val="22"/>
        </w:rPr>
        <w:t xml:space="preserve">【短期】</w:t>
      </w:r>
      <w:r>
        <w:rPr>
          <w:rFonts w:ascii="Arial" w:cs="Arial" w:eastAsia="Arial" w:hAnsi="Arial"/>
          <w:sz w:val="22"/>
          <w:szCs w:val="22"/>
        </w:rPr>
        <w:t xml:space="preserve">锁定3年框架协议，降低年度比价风险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FFC000"/>
          <w:sz w:val="22"/>
          <w:szCs w:val="22"/>
        </w:rPr>
        <w:t xml:space="preserve">【短期】</w:t>
      </w:r>
      <w:r>
        <w:rPr>
          <w:rFonts w:ascii="Arial" w:cs="Arial" w:eastAsia="Arial" w:hAnsi="Arial"/>
          <w:sz w:val="22"/>
          <w:szCs w:val="22"/>
        </w:rPr>
        <w:t xml:space="preserve">关注股权变动后采购决策人变化，提前建立关系</w:t>
      </w:r>
    </w:p>
    <w:p>
      <w:pPr>
        <w:pStyle w:val="Heading1"/>
      </w:pPr>
      <w:r>
        <w:t xml:space="preserve">七、风险控制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本报告已对客户联系人手机号、合同编号做脱敏处理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建议动作仅供参考，需客户经理现场确认后执行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流失风险评分为中等，建议每季度复评一次</w:t>
      </w:r>
    </w:p>
    <w:p>
      <w:pPr>
        <w:pStyle w:val="Heading1"/>
      </w:pPr>
      <w:r>
        <w:t xml:space="preserve">八、归档信息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20"/>
          <w:bottom w:type="dxa" w:w="60"/>
          <w:right w:type="dxa" w:w="120"/>
        </w:tblCellMar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归档ID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ARCH-20260627-JL-001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目标库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政企客户运营案例库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标签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政企客户、流失预警、TOP客户、汽车制造、5G专网、深耕拓展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隐私检查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通过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生成方式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ArkClaw L7大师级综合编掔（4 Phase / 8步闭环）</w:t>
            </w:r>
          </w:p>
        </w:tc>
      </w:tr>
    </w:tbl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— 本报告由ArkClaw自动生成，仅供内部参考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第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 / 共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ArkClaw | 政企客户智能运营助手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00" w:before="200"/>
      <w:jc w:val="center"/>
    </w:pPr>
    <w:rPr>
      <w:rFonts w:ascii="Arial" w:cs="Arial" w:eastAsia="Arial" w:hAnsi="Arial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2026-06-27T07:29:07.197Z</dcterms:created>
  <dcterms:modified xsi:type="dcterms:W3CDTF">2026-06-27T07:29:07.218Z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