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color w:val="1A1A2E"/>
          <w:sz w:val="52"/>
          <w:szCs w:val="52"/>
        </w:rPr>
        <w:t xml:space="preserve">Agent工程实战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4A4A6A"/>
          <w:sz w:val="28"/>
          <w:szCs w:val="28"/>
        </w:rPr>
        <w:t xml:space="preserve">——从Vibe Coding到Agentic Engineering的七步转型法</w:t>
      </w:r>
    </w:p>
    <w:p>
      <w:pPr>
        <w:spacing w:before="800"/>
      </w:pPr>
    </w:p>
    <w:p>
      <w:pPr>
        <w:spacing w:after="200"/>
        <w:jc w:val="center"/>
      </w:pPr>
      <w:r>
        <w:rPr>
          <w:rFonts w:ascii="SimKai" w:cs="SimKai" w:eastAsia="SimKai" w:hAnsi="SimKai"/>
          <w:sz w:val="32"/>
          <w:szCs w:val="32"/>
        </w:rPr>
        <w:t xml:space="preserve">于兆鹏 著</w:t>
      </w:r>
    </w:p>
    <w:p>
      <w:pPr>
        <w:spacing w:after="100"/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AI晋级与数字化转型专家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bookmarkStart w:id="0" w:name="toc_auto_0"/>
      <w:r>
        <w:rPr>
          <w:rFonts w:ascii="SimHei" w:cs="SimHei" w:eastAsia="SimHei" w:hAnsi="SimHei"/>
          <w:b/>
          <w:bCs/>
          <w:sz w:val="32"/>
          <w:szCs w:val="32"/>
        </w:rPr>
        <w:t xml:space="preserve">目录</w:t>
      </w:r>
      <w:bookmarkEnd w:id="0"/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目录</w:t>
            </w:r>
          </w:hyperlink>
        </w:p>
        <w:p>
          <w:pPr>
            <w:pStyle w:val="TOC1"/>
          </w:pPr>
          <w:hyperlink w:anchor="toc_auto_1" w:history="1">
            <w:r>
              <w:rPr>
                <w:rStyle w:val="Hyperlink"/>
              </w:rPr>
              <w:t>AI Agent工程化丛书 总纲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丛书定位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丛书结构</w:t>
            </w:r>
          </w:hyperlink>
        </w:p>
        <w:p>
          <w:pPr>
            <w:pStyle w:val="TOC3"/>
          </w:pPr>
          <w:hyperlink w:anchor="toc_auto_4" w:history="1">
            <w:r>
              <w:rPr>
                <w:rStyle w:val="Hyperlink"/>
              </w:rPr>
              <w:t>第一卷：行业深耕（2册）</w:t>
            </w:r>
          </w:hyperlink>
        </w:p>
        <w:p>
          <w:pPr>
            <w:pStyle w:val="TOC3"/>
          </w:pPr>
          <w:hyperlink w:anchor="toc_auto_5" w:history="1">
            <w:r>
              <w:rPr>
                <w:rStyle w:val="Hyperlink"/>
              </w:rPr>
              <w:t>第二卷：工程基石（3册）</w:t>
            </w:r>
          </w:hyperlink>
        </w:p>
        <w:p>
          <w:pPr>
            <w:pStyle w:val="TOC3"/>
          </w:pPr>
          <w:hyperlink w:anchor="toc_auto_6" w:history="1">
            <w:r>
              <w:rPr>
                <w:rStyle w:val="Hyperlink"/>
              </w:rPr>
              <w:t>第三卷：进阶实战（4册）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四层知识架构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阅读路线</w:t>
            </w:r>
          </w:hyperlink>
        </w:p>
        <w:p>
          <w:pPr>
            <w:pStyle w:val="TOC3"/>
          </w:pPr>
          <w:hyperlink w:anchor="toc_auto_9" w:history="1">
            <w:r>
              <w:rPr>
                <w:rStyle w:val="Hyperlink"/>
              </w:rPr>
              <w:t>路线A：从行业到生态（纵深路线，适合行业从业者）</w:t>
            </w:r>
          </w:hyperlink>
        </w:p>
        <w:p>
          <w:pPr>
            <w:pStyle w:val="TOC3"/>
          </w:pPr>
          <w:hyperlink w:anchor="toc_auto_10" w:history="1">
            <w:r>
              <w:rPr>
                <w:rStyle w:val="Hyperlink"/>
              </w:rPr>
              <w:t>路线B：方法论优先（横向路线，适合技术决策者）</w:t>
            </w:r>
          </w:hyperlink>
        </w:p>
        <w:p>
          <w:pPr>
            <w:pStyle w:val="TOC3"/>
          </w:pPr>
          <w:hyperlink w:anchor="toc_auto_11" w:history="1">
            <w:r>
              <w:rPr>
                <w:rStyle w:val="Hyperlink"/>
              </w:rPr>
              <w:t>路线C：安全与生态（热点路线，适合架构师和安全工程师）</w:t>
            </w:r>
          </w:hyperlink>
        </w:p>
        <w:p>
          <w:pPr>
            <w:pStyle w:val="TOC3"/>
          </w:pPr>
          <w:hyperlink w:anchor="toc_auto_12" w:history="1">
            <w:r>
              <w:rPr>
                <w:rStyle w:val="Hyperlink"/>
              </w:rPr>
              <w:t>路线D：快速入门（精简路线，适合初学者）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丛书差异化定位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作者介绍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出版建议</w:t>
            </w:r>
          </w:hyperlink>
        </w:p>
      </w:sdtContent>
    </w:sdt>
    <w:p>
      <w:r>
        <w:br w:type="page"/>
      </w:r>
    </w:p>
    <w:p>
      <w:pPr>
        <w:sectPr>
          <w:headerReference w:type="default" ns2:id="rId7"/>
          <w:footerReference w:type="default" ns2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bookmarkStart w:id="1" w:name="toc_auto_1"/>
      <w:r>
        <w:rPr>
          <w:rFonts w:ascii="SimHei" w:cs="SimHei" w:eastAsia="SimHei" w:hAnsi="SimHei"/>
          <w:b/>
          <w:bCs/>
          <w:sz w:val="32"/>
          <w:szCs w:val="32"/>
        </w:rPr>
        <w:t xml:space="preserve">AI Agent工程化丛书 总纲</w:t>
      </w:r>
      <w:bookmarkEnd w:id="1"/>
    </w:p>
    <w:p>
      <w:pPr>
        <w:spacing w:after="60" w:before="60"/>
      </w:pPr>
    </w:p>
    <w:p>
      <w:pPr>
        <w:pStyle w:val="Heading2"/>
        <w:spacing w:after="160" w:before="300"/>
      </w:pPr>
      <w:bookmarkStart w:id="2" w:name="toc_auto_2"/>
      <w:r>
        <w:rPr>
          <w:rFonts w:ascii="SimHei" w:cs="SimHei" w:eastAsia="SimHei" w:hAnsi="SimHei"/>
          <w:b/>
          <w:bCs/>
          <w:sz w:val="28"/>
          <w:szCs w:val="28"/>
        </w:rPr>
        <w:t xml:space="preserve">丛书定位</w:t>
      </w:r>
      <w:bookmarkEnd w:id="2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本丛书是全球首套系统性覆盖AI Agent工程化全生命周期的实用著作系列，共9册、逾95万字，从金融行业切入、以工程方法论贯穿，覆盖Agent构建、安全、架构、协作、标准化与范型演进的完整技术栈。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丛书的核心理念：Agent开发正在经历从"Vibe Coding（直觉式编程）"到"Agentic Engineering（智能体工程化）"的范式转型。本丛书为这场转型提供从纵向深耕到横向融通的完整知识体系。</w:t>
      </w:r>
    </w:p>
    <w:p>
      <w:pPr>
        <w:spacing w:after="60" w:before="60"/>
      </w:pPr>
    </w:p>
    <w:p>
      <w:pPr>
        <w:pStyle w:val="Heading2"/>
        <w:spacing w:after="160" w:before="300"/>
      </w:pPr>
      <w:bookmarkStart w:id="3" w:name="toc_auto_3"/>
      <w:r>
        <w:rPr>
          <w:rFonts w:ascii="SimHei" w:cs="SimHei" w:eastAsia="SimHei" w:hAnsi="SimHei"/>
          <w:b/>
          <w:bCs/>
          <w:sz w:val="28"/>
          <w:szCs w:val="28"/>
        </w:rPr>
        <w:t xml:space="preserve">丛书结构</w:t>
      </w:r>
      <w:bookmarkEnd w:id="3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丛书分三卷、四层，形成渐进式知识图谱：</w:t>
      </w:r>
    </w:p>
    <w:p>
      <w:pPr>
        <w:spacing w:after="60" w:before="60"/>
      </w:pPr>
    </w:p>
    <w:p>
      <w:pPr>
        <w:pStyle w:val="Heading3"/>
        <w:spacing w:after="120" w:before="240"/>
      </w:pPr>
      <w:bookmarkStart w:id="4" w:name="toc_auto_4"/>
      <w:r>
        <w:rPr>
          <w:rFonts w:ascii="SimHei" w:cs="SimHei" w:eastAsia="SimHei" w:hAnsi="SimHei"/>
          <w:b/>
          <w:bCs/>
          <w:sz w:val="24"/>
          <w:szCs w:val="24"/>
        </w:rPr>
        <w:t xml:space="preserve">第一卷：行业深耕（2册）</w:t>
      </w:r>
      <w:bookmarkEnd w:id="4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聚焦金融行业，从合规约束出发反向推导Agent工程化方案，建立行业纵深。</w:t>
      </w:r>
    </w:p>
    <w:p>
      <w:pPr>
        <w:spacing w:after="60" w:before="60"/>
      </w:pP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编号  |  书名  |  字数  |  核心方法论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Book1  |  金融智能体——从合规落地到工程实战  |  10万  |  金融合规驱动的Agent设计法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Book3  |  AI金融智能体——从单兵到集群的实战方法论  |  10万  |  从单Agent到多Agent集群的能力跃迁路径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逻辑关系</w:t>
      </w:r>
      <w:r>
        <w:rPr>
          <w:rFonts w:ascii="SimSun" w:cs="SimSun" w:eastAsia="SimSun" w:hAnsi="SimSun"/>
          <w:sz w:val="21"/>
          <w:szCs w:val="21"/>
        </w:rPr>
        <w:t xml:space="preserve">：Book1解决"金融场景下如何合规地构建一个Agent"，Book3解决"如何让多个金融Agent协同作战"。二者构成行业纵深的双层结构——先合规单兵，再集群作战。</w:t>
      </w:r>
    </w:p>
    <w:p>
      <w:pPr>
        <w:spacing w:after="60" w:before="60"/>
      </w:pPr>
    </w:p>
    <w:p>
      <w:pPr>
        <w:pStyle w:val="Heading3"/>
        <w:spacing w:after="120" w:before="240"/>
      </w:pPr>
      <w:bookmarkStart w:id="5" w:name="toc_auto_5"/>
      <w:r>
        <w:rPr>
          <w:rFonts w:ascii="SimHei" w:cs="SimHei" w:eastAsia="SimHei" w:hAnsi="SimHei"/>
          <w:b/>
          <w:bCs/>
          <w:sz w:val="24"/>
          <w:szCs w:val="24"/>
        </w:rPr>
        <w:t xml:space="preserve">第二卷：工程基石（3册）</w:t>
      </w:r>
      <w:bookmarkEnd w:id="5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提炼跨行业通用的Agent工程方法论，建立技术根基。</w:t>
      </w:r>
    </w:p>
    <w:p>
      <w:pPr>
        <w:spacing w:after="60" w:before="60"/>
      </w:pP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编号  |  书名  |  字数  |  核心方法论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Book2  |  Agentic AI工程化——从Skill到自治系统的实战方法论  |  10万  |  从技能包到自治系统的六层能力模型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Book5  |  驾驭Agent——工程化环境设计的实战方法论  |  10.8万  |  Agent工程化的环境设计四要素法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Book8  |  Agent工程实战——从Vibe Coding到Agentic Engineering的七步转型法  |  11.8万  |  七步转型法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逻辑关系</w:t>
      </w:r>
      <w:r>
        <w:rPr>
          <w:rFonts w:ascii="SimSun" w:cs="SimSun" w:eastAsia="SimSun" w:hAnsi="SimSun"/>
          <w:sz w:val="21"/>
          <w:szCs w:val="21"/>
        </w:rPr>
        <w:t xml:space="preserve">：Book2定义了Agent能力的六层架构，Book5聚焦运行环境这一底层支撑，Book8提供从旧范式到新范式的迁移路径。三者构成"架构-环境-迁移"的工程基石三角。</w:t>
      </w:r>
    </w:p>
    <w:p>
      <w:pPr>
        <w:spacing w:after="60" w:before="60"/>
      </w:pPr>
    </w:p>
    <w:p>
      <w:pPr>
        <w:pStyle w:val="Heading3"/>
        <w:spacing w:after="120" w:before="240"/>
      </w:pPr>
      <w:bookmarkStart w:id="6" w:name="toc_auto_6"/>
      <w:r>
        <w:rPr>
          <w:rFonts w:ascii="SimHei" w:cs="SimHei" w:eastAsia="SimHei" w:hAnsi="SimHei"/>
          <w:b/>
          <w:bCs/>
          <w:sz w:val="24"/>
          <w:szCs w:val="24"/>
        </w:rPr>
        <w:t xml:space="preserve">第三卷：进阶实战（4册）</w:t>
      </w:r>
      <w:bookmarkEnd w:id="6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面向生产级Agent系统的安全、协作、架构与标准化。</w:t>
      </w:r>
    </w:p>
    <w:p>
      <w:pPr>
        <w:spacing w:after="60" w:before="60"/>
      </w:pP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编号  |  书名  |  字数  |  核心方法论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Book4  |  AI Agent安全攻防实战  |  10万  |  攻防双视角的Agent安全工程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Book6  |  Agent集群协作实战——多智能体编排通信与治理的工程化指南  |  10万  |  编排-通信-治理三维度集群方法论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Book7  |  SuperAgent架构实战——从单体Agent到SuperAgent的长周期工程设计  |  11.2万  |  从单体到SuperAgent的长周期架构演进法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Book9  |  Agent能力生态——从Skill到MCP到A2A的智能体能力标准化  |  11.8万  |  Skill-MCP-A2A三层能力标准化模型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逻辑关系</w:t>
      </w:r>
      <w:r>
        <w:rPr>
          <w:rFonts w:ascii="SimSun" w:cs="SimSun" w:eastAsia="SimSun" w:hAnsi="SimSun"/>
          <w:sz w:val="21"/>
          <w:szCs w:val="21"/>
        </w:rPr>
        <w:t xml:space="preserve">：Book4保障安全底线，Book6解决多Agent协作，Book7定义系统级架构，Book9标准化能力接口。四者构成"安全-协作-架构-标准化"的进阶四维。</w:t>
      </w:r>
    </w:p>
    <w:p>
      <w:pPr>
        <w:spacing w:after="60" w:before="60"/>
      </w:pPr>
    </w:p>
    <w:p>
      <w:pPr>
        <w:pStyle w:val="Heading2"/>
        <w:spacing w:after="160" w:before="300"/>
      </w:pPr>
      <w:bookmarkStart w:id="7" w:name="toc_auto_7"/>
      <w:r>
        <w:rPr>
          <w:rFonts w:ascii="SimHei" w:cs="SimHei" w:eastAsia="SimHei" w:hAnsi="SimHei"/>
          <w:b/>
          <w:bCs/>
          <w:sz w:val="28"/>
          <w:szCs w:val="28"/>
        </w:rPr>
        <w:t xml:space="preserve">四层知识架构</w:t>
      </w:r>
      <w:bookmarkEnd w:id="7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丛书的知识体系按四层递进组织：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L0 行业层</w:t>
      </w:r>
      <w:r>
        <w:rPr>
          <w:rFonts w:ascii="SimSun" w:cs="SimSun" w:eastAsia="SimSun" w:hAnsi="SimSun"/>
          <w:sz w:val="21"/>
          <w:szCs w:val="21"/>
        </w:rPr>
        <w:t xml:space="preserve">（Book1, Book3）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金融行业的合规约束、风控模型、监管报送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行业特有场景的最佳实践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解决"为什么金融Agent与众不同"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L1 方法层</w:t>
      </w:r>
      <w:r>
        <w:rPr>
          <w:rFonts w:ascii="SimSun" w:cs="SimSun" w:eastAsia="SimSun" w:hAnsi="SimSun"/>
          <w:sz w:val="21"/>
          <w:szCs w:val="21"/>
        </w:rPr>
        <w:t xml:space="preserve">（Book2, Book5, Book8）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Agent能力架构（六层模型）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工程环境设计（四要素法）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范式迁移路径（七步转型法）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解决"怎么做Agent工程化"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L2 生产层</w:t>
      </w:r>
      <w:r>
        <w:rPr>
          <w:rFonts w:ascii="SimSun" w:cs="SimSun" w:eastAsia="SimSun" w:hAnsi="SimSun"/>
          <w:sz w:val="21"/>
          <w:szCs w:val="21"/>
        </w:rPr>
        <w:t xml:space="preserve">（Book4, Book6）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安全攻防（对抗工程）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集群协作（编排-通信-治理）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解决"如何让Agent系统可靠运行"</w:t>
      </w:r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L3 生态层</w:t>
      </w:r>
      <w:r>
        <w:rPr>
          <w:rFonts w:ascii="SimSun" w:cs="SimSun" w:eastAsia="SimSun" w:hAnsi="SimSun"/>
          <w:sz w:val="21"/>
          <w:szCs w:val="21"/>
        </w:rPr>
        <w:t xml:space="preserve">（Book7, Book9）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系统架构（长周期演进）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能力标准化（三层模型）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解决"如何让Agent生态可持续发展"</w:t>
      </w:r>
    </w:p>
    <w:p>
      <w:pPr>
        <w:spacing w:after="60" w:before="60"/>
      </w:pPr>
    </w:p>
    <w:p>
      <w:pPr>
        <w:pStyle w:val="Heading2"/>
        <w:spacing w:after="160" w:before="300"/>
      </w:pPr>
      <w:bookmarkStart w:id="8" w:name="toc_auto_8"/>
      <w:r>
        <w:rPr>
          <w:rFonts w:ascii="SimHei" w:cs="SimHei" w:eastAsia="SimHei" w:hAnsi="SimHei"/>
          <w:b/>
          <w:bCs/>
          <w:sz w:val="28"/>
          <w:szCs w:val="28"/>
        </w:rPr>
        <w:t xml:space="preserve">阅读路线</w:t>
      </w:r>
      <w:bookmarkEnd w:id="8"/>
    </w:p>
    <w:p>
      <w:pPr>
        <w:spacing w:after="60" w:before="60"/>
      </w:pPr>
    </w:p>
    <w:p>
      <w:pPr>
        <w:pStyle w:val="Heading3"/>
        <w:spacing w:after="120" w:before="240"/>
      </w:pPr>
      <w:bookmarkStart w:id="9" w:name="toc_auto_9"/>
      <w:r>
        <w:rPr>
          <w:rFonts w:ascii="SimHei" w:cs="SimHei" w:eastAsia="SimHei" w:hAnsi="SimHei"/>
          <w:b/>
          <w:bCs/>
          <w:sz w:val="24"/>
          <w:szCs w:val="24"/>
        </w:rPr>
        <w:t xml:space="preserve">路线A：从行业到生态（纵深路线，适合行业从业者）</w:t>
      </w:r>
      <w:bookmarkEnd w:id="9"/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Book1 → Book3 → Book2 → Book5 → Book8 → Book4 → Book6 → Book7 → Book9</w:t>
      </w:r>
    </w:p>
    <w:p>
      <w:pPr>
        <w:spacing w:after="60" w:before="60"/>
      </w:pPr>
    </w:p>
    <w:p>
      <w:pPr>
        <w:pStyle w:val="Heading3"/>
        <w:spacing w:after="120" w:before="240"/>
      </w:pPr>
      <w:bookmarkStart w:id="10" w:name="toc_auto_10"/>
      <w:r>
        <w:rPr>
          <w:rFonts w:ascii="SimHei" w:cs="SimHei" w:eastAsia="SimHei" w:hAnsi="SimHei"/>
          <w:b/>
          <w:bCs/>
          <w:sz w:val="24"/>
          <w:szCs w:val="24"/>
        </w:rPr>
        <w:t xml:space="preserve">路线B：方法论优先（横向路线，适合技术决策者）</w:t>
      </w:r>
      <w:bookmarkEnd w:id="10"/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Book8 → Book2 → Book5 → Book9 → Book7 → Book4 → Book6 → Book1 → Book3</w:t>
      </w:r>
    </w:p>
    <w:p>
      <w:pPr>
        <w:spacing w:after="60" w:before="60"/>
      </w:pPr>
    </w:p>
    <w:p>
      <w:pPr>
        <w:pStyle w:val="Heading3"/>
        <w:spacing w:after="120" w:before="240"/>
      </w:pPr>
      <w:bookmarkStart w:id="11" w:name="toc_auto_11"/>
      <w:r>
        <w:rPr>
          <w:rFonts w:ascii="SimHei" w:cs="SimHei" w:eastAsia="SimHei" w:hAnsi="SimHei"/>
          <w:b/>
          <w:bCs/>
          <w:sz w:val="24"/>
          <w:szCs w:val="24"/>
        </w:rPr>
        <w:t xml:space="preserve">路线C：安全与生态（热点路线，适合架构师和安全工程师）</w:t>
      </w:r>
      <w:bookmarkEnd w:id="11"/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Book4 → Book9 → Book7 → Book6 → Book8 → Book2 → Book5 → Book1 → Book3</w:t>
      </w:r>
    </w:p>
    <w:p>
      <w:pPr>
        <w:spacing w:after="60" w:before="60"/>
      </w:pPr>
    </w:p>
    <w:p>
      <w:pPr>
        <w:pStyle w:val="Heading3"/>
        <w:spacing w:after="120" w:before="240"/>
      </w:pPr>
      <w:bookmarkStart w:id="12" w:name="toc_auto_12"/>
      <w:r>
        <w:rPr>
          <w:rFonts w:ascii="SimHei" w:cs="SimHei" w:eastAsia="SimHei" w:hAnsi="SimHei"/>
          <w:b/>
          <w:bCs/>
          <w:sz w:val="24"/>
          <w:szCs w:val="24"/>
        </w:rPr>
        <w:t xml:space="preserve">路线D：快速入门（精简路线，适合初学者）</w:t>
      </w:r>
      <w:bookmarkEnd w:id="12"/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Book8 → Book2 → Book9</w:t>
      </w:r>
    </w:p>
    <w:p>
      <w:pPr>
        <w:spacing w:after="60" w:before="60"/>
      </w:pPr>
    </w:p>
    <w:p>
      <w:pPr>
        <w:pStyle w:val="Heading2"/>
        <w:spacing w:after="160" w:before="300"/>
      </w:pPr>
      <w:bookmarkStart w:id="13" w:name="toc_auto_13"/>
      <w:r>
        <w:rPr>
          <w:rFonts w:ascii="SimHei" w:cs="SimHei" w:eastAsia="SimHei" w:hAnsi="SimHei"/>
          <w:b/>
          <w:bCs/>
          <w:sz w:val="28"/>
          <w:szCs w:val="28"/>
        </w:rPr>
        <w:t xml:space="preserve">丛书差异化定位</w:t>
      </w:r>
      <w:bookmarkEnd w:id="13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与市场上现有AI Agent图书的对比：</w:t>
      </w:r>
    </w:p>
    <w:p>
      <w:pPr>
        <w:spacing w:after="60" w:before="60"/>
      </w:pP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维度  |  市面常见图书  |  本丛书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定位  |  框架教程或概念科普  |  工程方法论驱动的实战指南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深度  |  单本覆盖面广但浅  |  9册纵深，每册10万字+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方法论  |  工具介绍为主  |  每本书均有独立方法论框架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行业性  |  通用行业浅层套用  |  金融行业深度实践+跨行业方法论提炼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代码  |  示意性片段  |  完整可运行的代码示例</w:t>
      </w:r>
    </w:p>
    <w:p>
      <w:pPr>
        <w:spacing w:after="20" w:before="20" w:line="300"/>
      </w:pPr>
      <w:r>
        <w:rPr>
          <w:rFonts w:ascii="SimSun" w:cs="SimSun" w:eastAsia="SimSun" w:hAnsi="SimSun"/>
          <w:sz w:val="20"/>
          <w:szCs w:val="20"/>
        </w:rPr>
        <w:t xml:space="preserve">体系  |  孤立单本  |  三卷四层渐进式知识图谱</w:t>
      </w:r>
    </w:p>
    <w:p>
      <w:pPr>
        <w:spacing w:after="60" w:before="60"/>
      </w:pPr>
    </w:p>
    <w:p>
      <w:pPr>
        <w:pStyle w:val="Heading2"/>
        <w:spacing w:after="160" w:before="300"/>
      </w:pPr>
      <w:bookmarkStart w:id="14" w:name="toc_auto_14"/>
      <w:r>
        <w:rPr>
          <w:rFonts w:ascii="SimHei" w:cs="SimHei" w:eastAsia="SimHei" w:hAnsi="SimHei"/>
          <w:b/>
          <w:bCs/>
          <w:sz w:val="28"/>
          <w:szCs w:val="28"/>
        </w:rPr>
        <w:t xml:space="preserve">作者介绍</w:t>
      </w:r>
      <w:bookmarkEnd w:id="14"/>
    </w:p>
    <w:p>
      <w:pPr>
        <w:spacing w:after="60" w:before="60"/>
      </w:pPr>
    </w:p>
    <w:p>
      <w:pPr>
        <w:spacing w:after="40" w:before="40" w:line="360"/>
      </w:pPr>
      <w:r>
        <w:rPr>
          <w:rFonts w:ascii="SimSun" w:cs="SimSun" w:eastAsia="SimSun" w:hAnsi="SimSun"/>
          <w:sz w:val="21"/>
          <w:szCs w:val="21"/>
        </w:rPr>
        <w:t xml:space="preserve">于兆鹏，金融人工智能专家，长期为银行、保险、证券等金融机构开展AI与数字化转型培训及咨询。已出版24本专业著作，与电子工业出版社、清华大学出版社等深度合作。本丛书是其在AI Agent工程化领域深耕三年的系统化成果。</w:t>
      </w:r>
    </w:p>
    <w:p>
      <w:pPr>
        <w:spacing w:after="60" w:before="60"/>
      </w:pPr>
    </w:p>
    <w:p>
      <w:pPr>
        <w:pStyle w:val="Heading2"/>
        <w:spacing w:after="160" w:before="300"/>
      </w:pPr>
      <w:bookmarkStart w:id="15" w:name="toc_auto_15"/>
      <w:r>
        <w:rPr>
          <w:rFonts w:ascii="SimHei" w:cs="SimHei" w:eastAsia="SimHei" w:hAnsi="SimHei"/>
          <w:b/>
          <w:bCs/>
          <w:sz w:val="28"/>
          <w:szCs w:val="28"/>
        </w:rPr>
        <w:t xml:space="preserve">出版建议</w:t>
      </w:r>
      <w:bookmarkEnd w:id="15"/>
    </w:p>
    <w:p>
      <w:pPr>
        <w:spacing w:after="60" w:before="60"/>
      </w:pP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丛书可作为整体套装出版，也可分卷独立发行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第一卷（行业深耕）适合金融行业读者独立购买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第二卷（工程基石）适合全行业技术读者，销量潜力最大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第三卷（进阶实战）适合已入门的进阶读者</w:t>
      </w:r>
    </w:p>
    <w:p>
      <w:pPr>
        <w:spacing w:after="40" w:before="40" w:line="360"/>
        <w:ind w:left="720" w:hanging="360"/>
      </w:pPr>
      <w:r>
        <w:rPr>
          <w:rFonts w:ascii="SimSun" w:cs="SimSun" w:eastAsia="SimSun" w:hAnsi="SimSun"/>
          <w:sz w:val="21"/>
          <w:szCs w:val="21"/>
        </w:rPr>
        <w:t xml:space="preserve">• 建议出版顺序：Book8（热点话题引流）→ Book2（方法论奠定）→ Book9（标准化风口）→ 其余按卷填充</w:t>
      </w:r>
    </w:p>
    <w:p>
      <w:pPr>
        <w:spacing w:after="60" w:before="60"/>
      </w:pPr>
    </w:p>
    <w:sectPr>
      <w:headerReference w:type="default" ns2:id="rId9"/>
      <w:footerReference w:type="default" ns2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—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—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6"/>
        <w:szCs w:val="16"/>
      </w:rPr>
      <w:t xml:space="preserve">Agent工程实战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6"/>
        <w:szCs w:val="16"/>
      </w:rPr>
      <w:t xml:space="preserve">Agent工程实战——七步转型法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imHei" w:cs="SimHei" w:eastAsia="SimHei" w:hAnsi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imHei" w:cs="SimHei" w:eastAsia="SimHei" w:hAnsi="Sim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2026-07-01T12:07:17.185Z</dcterms:created>
  <dcterms:modified xsi:type="dcterms:W3CDTF">2026-07-01T12:07:17.194Z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