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pStyle w:val="Title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44"/>
          <w:szCs w:val="44"/>
        </w:rPr>
        <w:t xml:space="preserve">AI Agent工程化丛书盘点与体系重构报告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佞老师  |  2026年7月</w:t>
      </w:r>
    </w:p>
    <w:p>
      <w:r>
        <w:br w:type="page"/>
      </w:r>
    </w:p>
    <w:sdt>
      <w:sdtPr>
        <w:alias w:val="目录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一、全量书籍盘点</w:t>
            </w:r>
          </w:hyperlink>
        </w:p>
        <w:p>
          <w:pPr>
            <w:pStyle w:val="TOC2"/>
          </w:pPr>
          <w:hyperlink w:anchor="toc_auto_1" w:history="1">
            <w:r>
              <w:rPr>
                <w:rStyle w:val="Hyperlink"/>
              </w:rPr>
              <w:t>已出版传统书籍（24本）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AI Agent工程化丛书——已完成（10本）</w:t>
            </w:r>
          </w:hyperlink>
        </w:p>
        <w:p>
          <w:pPr>
            <w:pStyle w:val="TOC2"/>
          </w:pPr>
          <w:hyperlink w:anchor="toc_auto_3" w:history="1">
            <w:r>
              <w:rPr>
                <w:rStyle w:val="Hyperlink"/>
              </w:rPr>
              <w:t>编写中（4本）</w:t>
            </w:r>
          </w:hyperlink>
        </w:p>
        <w:p>
          <w:pPr>
            <w:pStyle w:val="TOC2"/>
          </w:pPr>
          <w:hyperlink w:anchor="toc_auto_4" w:history="1">
            <w:r>
              <w:rPr>
                <w:rStyle w:val="Hyperlink"/>
              </w:rPr>
              <w:t>独立出版/投稿</w:t>
            </w:r>
          </w:hyperlink>
        </w:p>
        <w:p>
          <w:pPr>
            <w:pStyle w:val="TOC1"/>
          </w:pPr>
          <w:hyperlink w:anchor="toc_auto_5" w:history="1">
            <w:r>
              <w:rPr>
                <w:rStyle w:val="Hyperlink"/>
              </w:rPr>
              <w:t>二、同质化与重叠分析</w:t>
            </w:r>
          </w:hyperlink>
        </w:p>
        <w:p>
          <w:pPr>
            <w:pStyle w:val="TOC2"/>
          </w:pPr>
          <w:hyperlink w:anchor="toc_auto_6" w:history="1">
            <w:r>
              <w:rPr>
                <w:rStyle w:val="Hyperlink"/>
              </w:rPr>
              <w:t>严重重叠</w:t>
            </w:r>
          </w:hyperlink>
        </w:p>
        <w:p>
          <w:pPr>
            <w:pStyle w:val="TOC2"/>
          </w:pPr>
          <w:hyperlink w:anchor="toc_auto_7" w:history="1">
            <w:r>
              <w:rPr>
                <w:rStyle w:val="Hyperlink"/>
              </w:rPr>
              <w:t>中等重叠</w:t>
            </w:r>
          </w:hyperlink>
        </w:p>
        <w:p>
          <w:pPr>
            <w:pStyle w:val="TOC1"/>
          </w:pPr>
          <w:hyperlink w:anchor="toc_auto_8" w:history="1">
            <w:r>
              <w:rPr>
                <w:rStyle w:val="Hyperlink"/>
              </w:rPr>
              <w:t>三、体系重构：三层六域矩阵</w:t>
            </w:r>
          </w:hyperlink>
        </w:p>
        <w:p>
          <w:pPr>
            <w:pStyle w:val="TOC2"/>
          </w:pPr>
          <w:hyperlink w:anchor="toc_auto_9" w:history="1">
            <w:r>
              <w:rPr>
                <w:rStyle w:val="Hyperlink"/>
              </w:rPr>
              <w:t>第一层：基础架构（3本）</w:t>
            </w:r>
          </w:hyperlink>
        </w:p>
        <w:p>
          <w:pPr>
            <w:pStyle w:val="TOC2"/>
          </w:pPr>
          <w:hyperlink w:anchor="toc_auto_10" w:history="1">
            <w:r>
              <w:rPr>
                <w:rStyle w:val="Hyperlink"/>
              </w:rPr>
              <w:t>第二层：核心系统（6本）</w:t>
            </w:r>
          </w:hyperlink>
        </w:p>
        <w:p>
          <w:pPr>
            <w:pStyle w:val="TOC2"/>
          </w:pPr>
          <w:hyperlink w:anchor="toc_auto_11" w:history="1">
            <w:r>
              <w:rPr>
                <w:rStyle w:val="Hyperlink"/>
              </w:rPr>
              <w:t>第三层：行业应用（4本）——需合并</w:t>
            </w:r>
          </w:hyperlink>
        </w:p>
        <w:p>
          <w:pPr>
            <w:pStyle w:val="TOC1"/>
          </w:pPr>
          <w:hyperlink w:anchor="toc_auto_12" w:history="1">
            <w:r>
              <w:rPr>
                <w:rStyle w:val="Hyperlink"/>
              </w:rPr>
              <w:t>四、行动计划</w:t>
            </w:r>
          </w:hyperlink>
        </w:p>
        <w:p>
          <w:pPr>
            <w:pStyle w:val="TOC2"/>
          </w:pPr>
          <w:hyperlink w:anchor="toc_auto_13" w:history="1">
            <w:r>
              <w:rPr>
                <w:rStyle w:val="Hyperlink"/>
              </w:rPr>
              <w:t>紧急优先（1周内）</w:t>
            </w:r>
          </w:hyperlink>
        </w:p>
        <w:p>
          <w:pPr>
            <w:pStyle w:val="TOC2"/>
          </w:pPr>
          <w:hyperlink w:anchor="toc_auto_14" w:history="1">
            <w:r>
              <w:rPr>
                <w:rStyle w:val="Hyperlink"/>
              </w:rPr>
              <w:t>短期（2-4周）</w:t>
            </w:r>
          </w:hyperlink>
        </w:p>
        <w:p>
          <w:pPr>
            <w:pStyle w:val="TOC2"/>
          </w:pPr>
          <w:hyperlink w:anchor="toc_auto_15" w:history="1">
            <w:r>
              <w:rPr>
                <w:rStyle w:val="Hyperlink"/>
              </w:rPr>
              <w:t>中期（1-2月）</w:t>
            </w:r>
          </w:hyperlink>
        </w:p>
        <w:p>
          <w:pPr>
            <w:pStyle w:val="TOC1"/>
          </w:pPr>
          <w:hyperlink w:anchor="toc_auto_16" w:history="1">
            <w:r>
              <w:rPr>
                <w:rStyle w:val="Hyperlink"/>
              </w:rPr>
              <w:t>五、新增课题建议</w:t>
            </w:r>
          </w:hyperlink>
        </w:p>
      </w:sdtContent>
    </w:sdt>
    <w:p>
      <w:r>
        <w:br w:type="page"/>
      </w:r>
    </w:p>
    <w:p>
      <w:pPr>
        <w:pStyle w:val="Heading1"/>
      </w:pPr>
      <w:bookmarkStart w:id="0" w:name="toc_auto_0"/>
      <w:r>
        <w:t xml:space="preserve">一、全量书籍盘点</w:t>
      </w:r>
      <w:bookmarkEnd w:id="0"/>
    </w:p>
    <w:p>
      <w:pPr>
        <w:pStyle w:val="Heading2"/>
      </w:pPr>
      <w:bookmarkStart w:id="1" w:name="toc_auto_1"/>
      <w:r>
        <w:t xml:space="preserve">已出版传统书籍（24本）</w:t>
      </w:r>
      <w:bookmarkEnd w:id="1"/>
    </w:p>
    <w:p>
      <w:pPr>
        <w:spacing w:after="2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涵盖PMI认证体系、银行业数字化、产品创新、数字化转型等领域，分布在电力社、电子社、清华社、华文社、人邮社、机工社。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书名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出版社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职场路书—项目管理晋级指南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清华社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NPDP考试通关试题全刷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清华社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PMI-ACP考试通关试题全刷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清华社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AMA项目管理手册（第4版）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电力社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PMI-PBA考前模拟题库及详解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电力社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PMI-PBA认证与商业分析实践精析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电力社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商业分析实践指南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电力社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需求管理实践指南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电力社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高效通过PgMP考试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电力社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敏捷项目管理与PMI-ACP应试指南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NPDP产品经理知识体系指南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PMI商业分析指南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PMI业务分析指南（第二版）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传统银行的产品敏捷创新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银行业产品管理实战精析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银行业项目管理实战精析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银行业知识管理实战精析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国外产品管理最佳实践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碳硅和鸣：人机协同共生之路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人邮社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银行业数字化人才标准化实战精析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机工社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看四大名著学项目管理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华文社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数字化转型那些事儿（10期）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华文社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敏捷变革—从中国历代变法透析变革的敏捷精髓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华文社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产品制胜/创新制胜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华文社</w:t>
            </w:r>
          </w:p>
        </w:tc>
      </w:tr>
    </w:tbl>
    <w:p>
      <w:pPr>
        <w:pStyle w:val="Heading2"/>
        <w:spacing w:before="400"/>
      </w:pPr>
      <w:bookmarkStart w:id="2" w:name="toc_auto_2"/>
      <w:r>
        <w:t xml:space="preserve">AI Agent工程化丛书——已完成（10本）</w:t>
      </w:r>
      <w:bookmarkEnd w:id="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6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书名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汉字数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金融智能体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100,021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Agentic AI工程化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100,002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AI金融智能体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100,022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Agent安全攻防实战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100,016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驾驭Agent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107,511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Agent集群协作实战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100,920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SuperAgent架构实战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111,588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Agent工程实战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118,302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Agent能力生态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118,070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金融智能体合规实战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122,839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⏳ 待投稿</w:t>
            </w:r>
          </w:p>
        </w:tc>
      </w:tr>
    </w:tbl>
    <w:p>
      <w:pPr>
        <w:pStyle w:val="Heading2"/>
        <w:spacing w:before="400"/>
      </w:pPr>
      <w:bookmarkStart w:id="3" w:name="toc_auto_3"/>
      <w:r>
        <w:t xml:space="preserve">编写中（4本）</w:t>
      </w:r>
      <w:bookmarkEnd w:id="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4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书名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汉字数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Agent记忆系统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29,453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-70k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全15章不达标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Agent可观测性与评测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72,801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-27k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8章不达标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Agent人机协作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109,640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达标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DOCX已生成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Agent数据工程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44,082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-56k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全15章不达标</w:t>
            </w:r>
          </w:p>
        </w:tc>
      </w:tr>
    </w:tbl>
    <w:p>
      <w:pPr>
        <w:pStyle w:val="Heading2"/>
        <w:spacing w:before="400"/>
      </w:pPr>
      <w:bookmarkStart w:id="4" w:name="toc_auto_4"/>
      <w:r>
        <w:t xml:space="preserve">独立出版/投稿</w:t>
      </w:r>
      <w:bookmarkEnd w:id="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800"/>
        <w:gridCol w:w="29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书名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汉字数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AI技能化工程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~10万+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已投稿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 Skills（大纲版）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~1万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大纲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Agent工程化运维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98,541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⏳ 待投稿</w:t>
            </w:r>
          </w:p>
        </w:tc>
      </w:tr>
    </w:tbl>
    <w:p>
      <w:pPr>
        <w:pStyle w:val="Heading1"/>
        <w:spacing w:before="600"/>
      </w:pPr>
      <w:bookmarkStart w:id="5" w:name="toc_auto_5"/>
      <w:r>
        <w:t xml:space="preserve">二、同质化与重叠分析</w:t>
      </w:r>
      <w:bookmarkEnd w:id="5"/>
    </w:p>
    <w:p>
      <w:pPr>
        <w:pStyle w:val="Heading2"/>
      </w:pPr>
      <w:bookmarkStart w:id="6" w:name="toc_auto_6"/>
      <w:r>
        <w:t xml:space="preserve">严重重叠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Book1《金融智能体》 vs Book3《AI金融智能体》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：副标题不同但核心主题几乎一样，都是金融行业Agent应用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Book2《Agentic AI工程化》 vs Book8《Agent工程实战》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：均覆盖Skill→自治系统，方法论交叉大</w:t>
      </w:r>
    </w:p>
    <w:p>
      <w:pPr>
        <w:pStyle w:val="Heading2"/>
        <w:spacing w:before="200"/>
      </w:pPr>
      <w:bookmarkStart w:id="7" w:name="toc_auto_7"/>
      <w:r>
        <w:t xml:space="preserve">中等重叠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Book6《Agent集群协作实战》 vs Book7《SuperAgent架构实战》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：多Agent协作 vs 单体→SuperAgent，边界模糊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Book9《Agent能力生态》 vs 《AI技能化工程》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：Skill/MCP/A2A能力标准化 vs 大模型→Skill构建</w:t>
      </w:r>
    </w:p>
    <w:p>
      <w:pPr>
        <w:pStyle w:val="Heading1"/>
        <w:spacing w:before="600"/>
      </w:pPr>
      <w:bookmarkStart w:id="8" w:name="toc_auto_8"/>
      <w:r>
        <w:t xml:space="preserve">三、体系重构：三层六域矩阵</w:t>
      </w:r>
      <w:bookmarkEnd w:id="8"/>
    </w:p>
    <w:p>
      <w:pPr>
        <w:pStyle w:val="Heading2"/>
      </w:pPr>
      <w:bookmarkStart w:id="9" w:name="toc_auto_9"/>
      <w:r>
        <w:t xml:space="preserve">第一层：基础架构（3本）</w:t>
      </w:r>
      <w:bookmarkEnd w:id="9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代表书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工程方法论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Agentic AI工程化 Book2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保留，丛书方法论总纲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架构设计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驾驭Agent Book5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保留，环境工程独占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能力标准化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Agent能力生态 Book9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保留，Skill/MCP/A2A全覆盖</w:t>
            </w:r>
          </w:p>
        </w:tc>
      </w:tr>
    </w:tbl>
    <w:p>
      <w:pPr>
        <w:pStyle w:val="Heading2"/>
        <w:spacing w:before="300"/>
      </w:pPr>
      <w:bookmarkStart w:id="10" w:name="toc_auto_10"/>
      <w:r>
        <w:t xml:space="preserve">第二层：核心系统（6本）</w:t>
      </w:r>
      <w:bookmarkEnd w:id="1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当前书籍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记忆系统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Agent记忆系统 Book11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扩充完成，填补空白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安全攻防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Agent安全攻防实战 Book4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人机协作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Agent人机协作 Book13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尽快完成DOCX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可观测性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Agent可观测性与评测 Book12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扩充完成，填补空白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集群协作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Agent集群协作实战 Book6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保留，与Book7拉开差异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运维自治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Agent工程化运维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投稿，运维视角独到</w:t>
            </w:r>
          </w:p>
        </w:tc>
      </w:tr>
    </w:tbl>
    <w:p>
      <w:pPr>
        <w:pStyle w:val="Heading2"/>
        <w:spacing w:before="300"/>
      </w:pPr>
      <w:bookmarkStart w:id="11" w:name="toc_auto_11"/>
      <w:r>
        <w:t xml:space="preserve">第三层：行业应用（4本）——需合并</w:t>
      </w:r>
      <w:bookmarkEnd w:id="11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当前书籍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金融智能体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Book1+Book3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合并为一本，去除重复内容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金融合规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保留，合规角度独特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Agent工程实战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降级为Book2的实践篇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SuperAgent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保留，聚焦长周期演进</w:t>
            </w:r>
          </w:p>
        </w:tc>
      </w:tr>
    </w:tbl>
    <w:p>
      <w:pPr>
        <w:pStyle w:val="Heading1"/>
        <w:spacing w:before="600"/>
      </w:pPr>
      <w:bookmarkStart w:id="12" w:name="toc_auto_12"/>
      <w:r>
        <w:t xml:space="preserve">四、行动计划</w:t>
      </w:r>
      <w:bookmarkEnd w:id="12"/>
    </w:p>
    <w:p>
      <w:pPr>
        <w:pStyle w:val="Heading2"/>
      </w:pPr>
      <w:bookmarkStart w:id="13" w:name="toc_auto_13"/>
      <w:r>
        <w:t xml:space="preserve">紧急优先（1周内）</w:t>
      </w:r>
      <w:bookmarkEnd w:id="1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Book13《Agent人机协作》完成DOCX+email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109k汉字，DOCX已生成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AgentOps工程化运维发送投稿邮件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98k汉字，DOCX已有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Book10《金融智能体合规实战》发送投稿邮件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122k汉字，DOCX已有</w:t>
            </w:r>
          </w:p>
        </w:tc>
      </w:tr>
    </w:tbl>
    <w:p>
      <w:pPr>
        <w:pStyle w:val="Heading2"/>
        <w:spacing w:before="300"/>
      </w:pPr>
      <w:bookmarkStart w:id="14" w:name="toc_auto_14"/>
      <w:r>
        <w:t xml:space="preserve">短期（2-4周）</w:t>
      </w:r>
      <w:bookmarkEnd w:id="1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Book12 扩充8个不达标章节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72k→100k，增补~27k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Book14 大幅扩张全15章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44k→100k，增补~56k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Book11 大幅扩张全15章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29k→100k，增补~70k</w:t>
            </w:r>
          </w:p>
        </w:tc>
      </w:tr>
    </w:tbl>
    <w:p>
      <w:pPr>
        <w:pStyle w:val="Heading2"/>
        <w:spacing w:before="300"/>
      </w:pPr>
      <w:bookmarkStart w:id="15" w:name="toc_auto_15"/>
      <w:r>
        <w:t xml:space="preserve">中期（1-2月）</w:t>
      </w:r>
      <w:bookmarkEnd w:id="1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Book1+Book3合并为《AI金融智能体》修订版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去除重复，控制12万字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Book8内容并入Book2作为实践篇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Book2升级为方法论+实战二合一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Book7与Book6差异化修订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Book6聚焦编掔/通信/治理，Book7聚焦单体→SuperAgent演进</w:t>
            </w:r>
          </w:p>
        </w:tc>
      </w:tr>
    </w:tbl>
    <w:p>
      <w:pPr>
        <w:pStyle w:val="Heading1"/>
        <w:spacing w:before="600"/>
      </w:pPr>
      <w:bookmarkStart w:id="16" w:name="toc_auto_16"/>
      <w:r>
        <w:t xml:space="preserve">五、新增课题建议</w:t>
      </w:r>
      <w:bookmarkEnd w:id="1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课题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副标题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差异化点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Agent产品化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从技术验证到商业交付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产品经理视角：PMF验证、定价、SLA、上线流程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Agent效能经济学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AI投入产出量化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财务视角：Token成本、人力替代率、效能度量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Agent原生应用开发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以Agent为核心重新设计应用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技术视角：非传统软件+AI，而是Agent原生</w:t>
            </w:r>
          </w:p>
        </w:tc>
      </w:tr>
    </w:tbl>
    <w:p>
      <w:pPr>
        <w:spacing w:before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填补理由：9本已投的书都是技术视角，缺少产品化/商业化路径、ROI量化分析、Agent原生应用设计范式。这三本书将丛书从纯技术延伸到商业落地。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3390d49e-ad3a-4576-8e98-ebc97e8ae3da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54c0f8f3-0698-4670-874b-05a536f57c75</w:t>
      </w:r>
    </w:p>
    <w:sectPr>
      <w:headerReference w:type="default" ns2:id="rId7"/>
      <w:footerReference w:type="default" ns2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AI Agent工程化丛书盘点报告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2026-07-03T11:02:34.016Z</dcterms:created>
  <dcterms:modified xsi:type="dcterms:W3CDTF">2026-07-03T11:02:34.029Z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54c0f8f3-0698-4670-874b-05a536f57c75","ReservedCode1":"75d6c3da-260a-4e6b-a914-5c9f5b29e0ff","ContentPropagator":"001191110102MAD55U9H0F10002","PropagateID":"54c0f8f3-0698-4670-874b-05a536f57c75","ReservedCode2":"75d6c3da-260a-4e6b-a914-5c9f5b29e0ff"}</vt:lpwstr>
  </property>
</Properties>
</file>