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 xml:space="preserve">第七章 </w:t>
      </w:r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Ping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程序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7.1 Ping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介绍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的目的是为了测试另一台主机是否可达，该程序发送一份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回显请求报文主机，并等待返回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回显应答。</w:t>
      </w:r>
      <w:bookmarkStart w:id="0" w:name="_GoBack"/>
      <w:bookmarkEnd w:id="0"/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可以用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程序来确定问题出在哪。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程序还能测出到这台主机的往返时间，以表明主机离我们有多远。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一台主机的可达性可能不只取决与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层是否可达，还取决于使用何种协议以及端口号，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程序的运行结果可能显示某台主机不可达，但我们可以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Talnet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远程登陆到该台主机的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号端口。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7.2 Ping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程序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的程序为客户，被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的主机为服务器。大多数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TCP/IP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实现都在内核中直接支持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服务器。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7" o:spt="75" type="#_x0000_t75" style="height:165.75pt;width:43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FF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Unix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系统在实现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程序时是吧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报文中的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标识符字段设置成进程的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号。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color w:val="000000"/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这样即使在同一个主机上同时运行多个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程序实例，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程序也可以识别出返回信息。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序列号从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开始，每次发一次新的回显请求就加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程序打印出返回的每个分组的序列号，允许我们查看是否有分组丢失、失序或重传。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Window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下，不管开多少个窗口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identifier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都是相同的，而且每增加一个出去的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包序列号增加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256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7.3 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记录路由选择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8" o:spt="75" type="#_x0000_t75" style="height:108.75pt;width:438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Code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是一个字节，指明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选项的类型。对于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选项来说，他的值为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Len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选项总字节长度，这种情况下为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39(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尽管可以认为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选项设置比最大长度小的长度，但是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程序总是提供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39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字节的选项字段，最多可以记录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地址。由于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首部中留给选项的空间有限，他一般情况都设置成最大长度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Ptr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称作指针字段。它是一个基于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的指针，指向存放下一个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IP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地址的位置。它的最小值为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，指向存放第一个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IP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地址的位置。随着每个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IP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地址存入清单，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ptr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值分别为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12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16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，最大为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36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。当记录下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9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个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IP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地址后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ptr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的值为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40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。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1033142B"/>
    <w:rsid w:val="117A5FAA"/>
    <w:rsid w:val="169E20EE"/>
    <w:rsid w:val="3EE73336"/>
    <w:rsid w:val="3F286455"/>
    <w:rsid w:val="460C76F8"/>
    <w:rsid w:val="677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2020-12-05T08:51:58Z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