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 w:firstLine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ARP:</w:t>
      </w: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地址解析协议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4.1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引言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逻辑地址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)-&gt;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-&gt;MAC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硬件地址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介绍：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(1)当一台主机把以太网数据帧发送到位于同一局域网的另一台主机时，是根据48bit的以太网地址(硬件地址)来确定目的接口。</w:t>
      </w:r>
      <w:r>
        <w:rPr>
          <w:rFonts w:hint="eastAsia" w:ascii="宋体" w:hAnsi="宋体" w:eastAsia="宋体" w:cs="宋体"/>
          <w:iCs/>
          <w:color w:val="FF0000"/>
          <w:kern w:val="2"/>
          <w:sz w:val="24"/>
          <w:szCs w:val="24"/>
          <w:lang w:val="en-US" w:eastAsia="zh-CN" w:bidi="ar"/>
        </w:rPr>
        <w:t>设备驱动程序从不检查</w:t>
      </w:r>
      <w:r>
        <w:rPr>
          <w:rFonts w:hint="default" w:ascii="Times New Roman" w:hAnsi="Times New Roman" w:eastAsia="宋体" w:cs="Times New Roman"/>
          <w:iCs/>
          <w:color w:val="FF0000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color w:val="FF0000"/>
          <w:kern w:val="2"/>
          <w:sz w:val="24"/>
          <w:szCs w:val="24"/>
          <w:lang w:val="en-US" w:eastAsia="zh-CN" w:bidi="ar"/>
        </w:rPr>
        <w:t>数据报中的目的</w:t>
      </w:r>
      <w:r>
        <w:rPr>
          <w:rFonts w:hint="default" w:ascii="Times New Roman" w:hAnsi="Times New Roman" w:eastAsia="宋体" w:cs="Times New Roman"/>
          <w:iCs/>
          <w:color w:val="FF0000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color w:val="FF0000"/>
          <w:kern w:val="2"/>
          <w:sz w:val="24"/>
          <w:szCs w:val="24"/>
          <w:lang w:val="en-US" w:eastAsia="zh-CN" w:bidi="ar"/>
        </w:rPr>
        <w:t>地址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(2)地址解析(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)为这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地址和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地址这两种不同地址形式提供映射：32bit的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地址和数据链路层使用的任何类型的地址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(3)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地址到对应的硬件地址之间提供动态映射。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(4)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RARP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是被那些没有磁盘驱动器的系统使用，他需要系统管理员进行手动设置。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4.2 ARP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试验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ab/>
        <w:t>试验一：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PC0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向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PC1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发送邮件</w:t>
      </w:r>
    </w:p>
    <w:tbl>
      <w:tblPr>
        <w:tblStyle w:val="5"/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44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705100" cy="2790825"/>
                  <wp:effectExtent l="0" t="0" r="0" b="952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295525" cy="657225"/>
                  <wp:effectExtent l="0" t="0" r="9525" b="952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314575" cy="885825"/>
                  <wp:effectExtent l="0" t="0" r="9525" b="952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（a）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PC0广播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iCs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（b）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Router5-&gt;PC0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305050" cy="676275"/>
                  <wp:effectExtent l="0" t="0" r="0" b="9525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（c）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PC0-&gt;Router5(ICMP)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（d）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Router5广播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（e）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hub接收并发送广播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（f）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hub-&gt;PC1(PC2、PC3)广播</w:t>
            </w:r>
          </w:p>
        </w:tc>
      </w:tr>
      <w:tr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705100" cy="2790825"/>
                  <wp:effectExtent l="0" t="0" r="0" b="9525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（g）PC1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-&gt;hub广播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（h）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hub-&gt;Router5广播(hub特性广播)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gridSpan w:val="2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00325" cy="1676400"/>
                  <wp:effectExtent l="0" t="0" r="9525" b="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楷体" w:cs="Times New Roman"/>
          <w:i w:val="0"/>
          <w:sz w:val="21"/>
          <w:lang w:val="en-US"/>
        </w:rPr>
      </w:pP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3PC</w:t>
      </w:r>
      <w:r>
        <w:rPr>
          <w:rFonts w:hint="eastAsia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1Router</w:t>
      </w:r>
      <w:r>
        <w:rPr>
          <w:rFonts w:hint="eastAsia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和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1hub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(1)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在(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)中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P0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发送广播目的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FFFF.FFFF.FFFF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，源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PC0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楷体" w:cs="Times New Roman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ab/>
        <w:t>(2)在(b)中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Router5Fa0/0-&gt;P0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源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目的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不变，源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地址为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Router0Fa0/0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地址，目的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P0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iCs/>
          <w:sz w:val="24"/>
          <w:szCs w:val="24"/>
          <w:lang w:val="en-US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(3)在(c)中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P0-&gt;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 xml:space="preserve"> Router5Fa0/0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发送</w:t>
      </w:r>
      <w:r>
        <w:rPr>
          <w:rFonts w:hint="eastAsia" w:ascii="Times New Roman" w:hAnsi="Times New Roman" w:eastAsia="宋体" w:cs="Times New Roman"/>
          <w:iCs/>
          <w:color w:val="C00000"/>
          <w:kern w:val="2"/>
          <w:sz w:val="24"/>
          <w:szCs w:val="24"/>
          <w:lang w:val="en-US" w:eastAsia="zh-CN" w:bidi="ar"/>
        </w:rPr>
        <w:t>单播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目的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0001.0001.0001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，源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地址为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PC0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Times New Roman"/>
          <w:iCs/>
          <w:kern w:val="2"/>
          <w:sz w:val="24"/>
          <w:szCs w:val="24"/>
          <w:lang w:val="en-US" w:eastAsia="zh-CN" w:bidi="ar"/>
        </w:rPr>
        <w:t>(4)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在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(d)中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Router5 Fa0/1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发送广播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目的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FFFF.FFFF.FFFF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源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Router5 Fa0/1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楷体" w:cs="Times New Roman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(5)在(e)中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hub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接收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Router5 Fa0/1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发送的广播并发送出去</w:t>
      </w: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(6)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在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(f)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hub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发送广播道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PC1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PC2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PC3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宋体" w:cs="Times New Roman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(7)在(g)(h)中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PC1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发送广播到集线器，集线器发送广播道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PC2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PC3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Router5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4.3 ARP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的分组格式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41" o:spt="75" type="#_x0000_t75" style="height:126.75pt;width:438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41" DrawAspect="Content" ObjectID="_1468075725" r:id="rId15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格式分析：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以太网源、目的地址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帧类型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0x0806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代表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硬件和协议用来描述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分组中的各个字段，这里的硬件类型是以太网，协议地址是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硬件类型：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表示以太网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协议地址：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0x8000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硬件字节长度：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6(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地址长度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协议字节长度：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4(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地址长度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操作字段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OP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请求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广播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应答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单播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RARP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请求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广播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RARP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应答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单播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42" o:spt="75" type="#_x0000_t75" style="height:137.25pt;width:439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42" DrawAspect="Content" ObjectID="_1468075726" r:id="rId17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这样的高速缓存是有时限的，一般是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20分钟(伯克利系统的衍生系统)。</w:t>
      </w:r>
    </w:p>
    <w:p>
      <w:bookmarkStart w:id="0" w:name="_GoBack"/>
      <w:bookmarkEnd w:id="0"/>
    </w:p>
    <w:sectPr>
      <w:pgSz w:w="11906" w:h="16838"/>
      <w:pgMar w:top="1702" w:right="1418" w:bottom="1418" w:left="1135" w:header="1418" w:footer="1135" w:gutter="567"/>
      <w:paperSrc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C2E75"/>
    <w:multiLevelType w:val="multilevel"/>
    <w:tmpl w:val="1D7C2E75"/>
    <w:lvl w:ilvl="0" w:tentative="0">
      <w:start w:val="1"/>
      <w:numFmt w:val="decimal"/>
      <w:lvlText w:val="(%1)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BF2094"/>
    <w:multiLevelType w:val="multilevel"/>
    <w:tmpl w:val="56BF2094"/>
    <w:lvl w:ilvl="0" w:tentative="0">
      <w:start w:val="4"/>
      <w:numFmt w:val="chineseCounting"/>
      <w:suff w:val="space"/>
      <w:lvlText w:val="第%1章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A5FAA"/>
    <w:rsid w:val="169E20EE"/>
    <w:rsid w:val="3EE73336"/>
    <w:rsid w:val="460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paragraph" w:customStyle="1" w:styleId="8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9">
    <w:name w:val="文章正文 字符"/>
    <w:basedOn w:val="6"/>
    <w:link w:val="10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0">
    <w:name w:val="文章正文"/>
    <w:basedOn w:val="1"/>
    <w:link w:val="9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1">
    <w:name w:val="页眉 Char"/>
    <w:basedOn w:val="6"/>
    <w:link w:val="2"/>
    <w:uiPriority w:val="0"/>
    <w:rPr>
      <w:kern w:val="2"/>
      <w:sz w:val="18"/>
      <w:szCs w:val="18"/>
    </w:rPr>
  </w:style>
  <w:style w:type="paragraph" w:customStyle="1" w:styleId="12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emf"/><Relationship Id="rId17" Type="http://schemas.openxmlformats.org/officeDocument/2006/relationships/oleObject" Target="embeddings/oleObject2.bin"/><Relationship Id="rId16" Type="http://schemas.openxmlformats.org/officeDocument/2006/relationships/image" Target="media/image12.e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2020-11-23T13:32:14Z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