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sys_user_file_conf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用户文件上传配置信息（配额）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expiry_time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space_limit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used_space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url_prefix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