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ind w:firstLine="0"/>
        <w:jc w:val="center"/>
      </w:pPr>
      <w:r>
        <w:rPr>
          <w:rFonts w:ascii="Times New Roman" w:hAnsi="Times New Roman" w:eastAsia="Noto Serif CJK SC"/>
          <w:b/>
          <w:sz w:val="34"/>
        </w:rPr>
        <w:t>2019—2022年五生育期多次灌溉优化</w:t>
        <w:br/>
        <w:t>及逐次灌水日程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21"/>
        </w:rPr>
        <w:t>本轮采用用户确认的方案：每个生育期最多3次灌水，允许零水量取消；同时优化每次灌水日期和水量，最终按苗期、拔节期、抽穗期、灌浆期、成熟期汇总。四年均已完成实际模型搜索，原四窗口结果保留作对照。</w:t>
      </w:r>
    </w:p>
    <w:p>
      <w:pPr>
        <w:keepNext/>
        <w:spacing w:before="200"/>
      </w:pPr>
      <w:r>
        <w:rPr>
          <w:rFonts w:ascii="Times New Roman" w:hAnsi="Times New Roman" w:eastAsia="Noto Serif CJK SC"/>
          <w:b/>
          <w:sz w:val="24"/>
        </w:rPr>
        <w:t>1 优化设计与固定条件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21"/>
        </w:rPr>
        <w:t>各年设置15个可选灌水槽位，每期3个。决策变量包括15个连续灌水量和15个整数日期，共30维。采用各年度已知天气开展回顾性日程优化，灌水日期限定在王尚今（2023）表2-3的年度生育期与模型实际执行日历的交集内。同日槽位合并成一次灌溉，零水量不执行，最终每期最多3个不同的实际灌水日。原日程及原四窗口代表方案均可在这一控制空间内精确表示，并作为明确标注的初始化日程。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21"/>
        </w:rPr>
        <w:t>本轮固定原四年MCMC保留样本均值、土壤结构与初始含水量、气象驱动、MulchPct=75%、fMulch=0、Zmin=0.30 m、Zmax=2.30 m及2.4 m模拟剖面。采用季节总灌水上限与产量门槛约束；灌溉管理器单次上限随计划最大日灌水量设置，以完整执行候选日程。季末储水及最大单次灌水量作为结果单独报告。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21"/>
        </w:rPr>
        <w:t>正式NSGA-III和NSGA-II均采用名义100个体、100代、5个种子，以最大化13%含水率产量、最小化实际季节灌水量为目标，主候选满足产量不低于观测值的95%。全范围补充搜索采用NSGA-III、80个体、60代、3个种子，以覆盖零灌水至高产平台。四年实际目标查询合计457,596次。原日程和旧代表方案作为两算法共有初值，搜索过程及每代检查点全部保存。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21"/>
        </w:rPr>
        <w:t>主候选取正式NSGA-III五种子最终种群可行非支配解并集中的最低灌水解。每期次数并非预先要求灌满3次，而由15个槽位的优化水量及日期确定。优化目标为水量和产量，灌水次数作为结果统计；0.1 mm以上的事件另作便于操作阅读的描述统计，所有小水量均保留在未取整源表中。</w:t>
      </w:r>
    </w:p>
    <w:p>
      <w:pPr>
        <w:keepNext/>
        <w:spacing w:before="200"/>
      </w:pPr>
      <w:r>
        <w:rPr>
          <w:rFonts w:ascii="Times New Roman" w:hAnsi="Times New Roman" w:eastAsia="Noto Serif CJK SC"/>
          <w:b/>
          <w:sz w:val="24"/>
        </w:rPr>
        <w:t>2 四年前沿及年度候选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21"/>
        </w:rPr>
        <w:t>四年全范围帕累托前沿见图1，图中括号依次给出五期总灌水量。前沿中的各点对应真实模型计算及其逐次日程，曲线展示当前搜索预算内的非支配关系。正式主候选的灌水量分别为209.83、306.50、264.50、257.47 mm，对应产量为15.725、16.427、15.068、13.390 t·ha⁻¹。</w:t>
      </w:r>
    </w:p>
    <w:p>
      <w:pPr>
        <w:sectPr>
          <w:footerReference w:type="default" r:id="rId9"/>
          <w:pgSz w:w="11906" w:h="16838"/>
          <w:pgMar w:top="964" w:right="1020" w:bottom="907" w:left="1020" w:header="720" w:footer="720" w:gutter="0"/>
          <w:cols w:space="720"/>
          <w:docGrid w:linePitch="360"/>
        </w:sectPr>
      </w:pP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8539824" cy="5651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3_Five_stage_multi_event_Pareto_4years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39824" cy="5651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8"/>
        </w:rPr>
        <w:t>Figure 1. Five-stage multiple-event NSGA-III yield–irrigation fronts across four years.</w:t>
      </w:r>
    </w:p>
    <w:p>
      <w:pPr>
        <w:keepNext w:val="0"/>
        <w:ind w:firstLine="0"/>
      </w:pPr>
      <w:r>
        <w:rPr>
          <w:rFonts w:ascii="Times New Roman" w:hAnsi="Times New Roman" w:eastAsia="Noto Serif CJK SC"/>
          <w:b w:val="0"/>
          <w:sz w:val="17"/>
        </w:rPr>
        <w:t>Blue dashed lines join evaluated nondominated solutions. Red points are labelled by rounded five-stage actual irrigation totals (S1–S5, mm). Irrigation cancelled after crop termination is excluded from these totals. Orange open circles indicate the formal 95%-observed-yield candidates; stars indicate original DI model baselines.</w:t>
      </w:r>
    </w:p>
    <w:p>
      <w:pPr>
        <w:sectPr>
          <w:pgSz w:w="16838" w:h="11906" w:orient="landscape"/>
          <w:pgMar w:top="567" w:right="737" w:bottom="567" w:left="737" w:header="720" w:footer="720" w:gutter="0"/>
          <w:cols w:space="720"/>
          <w:docGrid w:linePitch="360"/>
        </w:sectPr>
      </w:pP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1. Selected five-stage multiple-event schedules at 95% observed yield.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bottom w:val="single" w:sz="10"/>
          <w:left w:val="nil" w:sz="10"/>
          <w:right w:val="nil" w:sz="10"/>
          <w:insideH w:val="nil" w:sz="10"/>
          <w:insideV w:val="nil" w:sz="10"/>
        </w:tblBorders>
      </w:tblPr>
      <w:tblGrid>
        <w:gridCol w:w="1409"/>
        <w:gridCol w:w="1409"/>
        <w:gridCol w:w="1409"/>
        <w:gridCol w:w="1409"/>
        <w:gridCol w:w="1409"/>
        <w:gridCol w:w="1409"/>
        <w:gridCol w:w="1409"/>
      </w:tblGrid>
      <w:tr>
        <w:trPr>
          <w:cantSplit/>
          <w:tblHeader/>
        </w:trPr>
        <w:tc>
          <w:tcPr>
            <w:tcW w:type="dxa" w:w="140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Year</w:t>
            </w:r>
          </w:p>
        </w:tc>
        <w:tc>
          <w:tcPr>
            <w:tcW w:type="dxa" w:w="140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Original I</w:t>
              <w:br/>
              <w:t>(mm)</w:t>
            </w:r>
          </w:p>
        </w:tc>
        <w:tc>
          <w:tcPr>
            <w:tcW w:type="dxa" w:w="140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Optimized I</w:t>
              <w:br/>
              <w:t>(mm)</w:t>
            </w:r>
          </w:p>
        </w:tc>
        <w:tc>
          <w:tcPr>
            <w:tcW w:type="dxa" w:w="140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Yield</w:t>
              <w:br/>
              <w:t>(t ha⁻¹)</w:t>
            </w:r>
          </w:p>
        </w:tc>
        <w:tc>
          <w:tcPr>
            <w:tcW w:type="dxa" w:w="140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I reduction</w:t>
              <w:br/>
              <w:t>(%)</w:t>
            </w:r>
          </w:p>
        </w:tc>
        <w:tc>
          <w:tcPr>
            <w:tcW w:type="dxa" w:w="140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Positive</w:t>
              <w:br/>
              <w:t>events</w:t>
            </w:r>
          </w:p>
        </w:tc>
        <w:tc>
          <w:tcPr>
            <w:tcW w:type="dxa" w:w="1409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Max event</w:t>
              <w:br/>
              <w:t>(mm)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445.27</w:t>
            </w:r>
          </w:p>
        </w:tc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209.83</w:t>
            </w:r>
          </w:p>
        </w:tc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15.725</w:t>
            </w:r>
          </w:p>
        </w:tc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52.88</w:t>
            </w:r>
          </w:p>
        </w:tc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12</w:t>
            </w:r>
          </w:p>
        </w:tc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117.03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559.76</w:t>
            </w:r>
          </w:p>
        </w:tc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306.50</w:t>
            </w:r>
          </w:p>
        </w:tc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16.427</w:t>
            </w:r>
          </w:p>
        </w:tc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45.24</w:t>
            </w:r>
          </w:p>
        </w:tc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13</w:t>
            </w:r>
          </w:p>
        </w:tc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108.29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633.47</w:t>
            </w:r>
          </w:p>
        </w:tc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264.50</w:t>
            </w:r>
          </w:p>
        </w:tc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15.068</w:t>
            </w:r>
          </w:p>
        </w:tc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58.25</w:t>
            </w:r>
          </w:p>
        </w:tc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</w:t>
            </w:r>
          </w:p>
        </w:tc>
        <w:tc>
          <w:tcPr>
            <w:tcW w:type="dxa" w:w="1409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92.96</w:t>
            </w:r>
          </w:p>
        </w:tc>
      </w:tr>
      <w:tr>
        <w:trPr>
          <w:cantSplit/>
        </w:trPr>
        <w:tc>
          <w:tcPr>
            <w:tcW w:type="dxa" w:w="140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40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404.84</w:t>
            </w:r>
          </w:p>
        </w:tc>
        <w:tc>
          <w:tcPr>
            <w:tcW w:type="dxa" w:w="140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257.47</w:t>
            </w:r>
          </w:p>
        </w:tc>
        <w:tc>
          <w:tcPr>
            <w:tcW w:type="dxa" w:w="140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13.390</w:t>
            </w:r>
          </w:p>
        </w:tc>
        <w:tc>
          <w:tcPr>
            <w:tcW w:type="dxa" w:w="140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36.40</w:t>
            </w:r>
          </w:p>
        </w:tc>
        <w:tc>
          <w:tcPr>
            <w:tcW w:type="dxa" w:w="140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</w:t>
            </w:r>
          </w:p>
        </w:tc>
        <w:tc>
          <w:tcPr>
            <w:tcW w:type="dxa" w:w="1409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181.31</w:t>
            </w:r>
          </w:p>
        </w:tc>
      </w:tr>
    </w:tbl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17"/>
        </w:rPr>
        <w:t>Note. Positive events include all exact positive depths, including numerical trace amounts; practical counts &gt;=0.1 mm are supplied in the source table.</w:t>
      </w: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1b. Individual-event magnitudes and timing of the selected schedules.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bottom w:val="single" w:sz="10"/>
          <w:left w:val="nil" w:sz="10"/>
          <w:right w:val="nil" w:sz="10"/>
          <w:insideH w:val="nil" w:sz="10"/>
          <w:insideV w:val="nil" w:sz="10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Year</w:t>
            </w:r>
          </w:p>
        </w:tc>
        <w:tc>
          <w:tcPr>
            <w:tcW w:type="dxa" w:w="1973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Original max</w:t>
              <w:br/>
              <w:t>(mm)</w:t>
            </w:r>
          </w:p>
        </w:tc>
        <w:tc>
          <w:tcPr>
            <w:tcW w:type="dxa" w:w="1973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Selected max</w:t>
              <w:br/>
              <w:t>(mm)</w:t>
            </w:r>
          </w:p>
        </w:tc>
        <w:tc>
          <w:tcPr>
            <w:tcW w:type="dxa" w:w="1973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Events</w:t>
              <w:br/>
              <w:t>≥0.1 mm</w:t>
            </w:r>
          </w:p>
        </w:tc>
        <w:tc>
          <w:tcPr>
            <w:tcW w:type="dxa" w:w="1973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Minimum gap</w:t>
              <w:br/>
              <w:t>(days)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67.71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117.03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84.78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108.29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114.80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92.96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5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973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85.85</w:t>
            </w:r>
          </w:p>
        </w:tc>
        <w:tc>
          <w:tcPr>
            <w:tcW w:type="dxa" w:w="1973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181.31</w:t>
            </w:r>
          </w:p>
        </w:tc>
        <w:tc>
          <w:tcPr>
            <w:tcW w:type="dxa" w:w="1973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6</w:t>
            </w:r>
          </w:p>
        </w:tc>
        <w:tc>
          <w:tcPr>
            <w:tcW w:type="dxa" w:w="1973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</w:tr>
    </w:tbl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17"/>
        </w:rPr>
        <w:t>Note. The original measured maximum was an execution guard, not an additional equipment constraint in this search. Gaps count all positive-depth events; trace depths can shorten the reported gap.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21"/>
        </w:rPr>
        <w:t>新增日期和逐次水量自由度后，单次灌水量可能超过原实测最大值，相邻日期也可能较近。表1b单独对照原日程与新日程的最大单次量、事件数和间隔。本轮未附加管网供水能力、最小单次量或最小间隔约束，因而这些数值与季节总量一并保留，供后续按实际运行条件筛选。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21"/>
        </w:rPr>
        <w:t>相对原四窗口代表方案，新方案季节灌水变化分别为-8.53、-5.92、-2.80、-3.32 mm。图2同时展示两种控制空间的全范围结果。本次增加了生育期内逐次水量及日期的自由度，原四窗口日程属于新空间可表示的方案，因此该比较反映控制空间扩展的综合影响。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56000" cy="394686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4_Four_window_vs_multi_event_fronts_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946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8"/>
        </w:rPr>
        <w:t>Figure 2. Original four-window fronts and five-stage multiple-event amount/date fronts.</w:t>
      </w:r>
    </w:p>
    <w:p>
      <w:pPr>
        <w:keepNext w:val="0"/>
        <w:ind w:firstLine="0"/>
      </w:pPr>
      <w:r>
        <w:rPr>
          <w:rFonts w:ascii="Times New Roman" w:hAnsi="Times New Roman" w:eastAsia="Noto Serif CJK SC"/>
          <w:b w:val="0"/>
          <w:sz w:val="17"/>
        </w:rPr>
        <w:t>The revised search expands timing and event-allocation freedom. Original crop parameters, forcing and initial water are retained.</w:t>
      </w:r>
    </w:p>
    <w:p>
      <w:pPr>
        <w:keepNext/>
        <w:spacing w:before="200"/>
      </w:pPr>
      <w:r>
        <w:rPr>
          <w:rFonts w:ascii="Times New Roman" w:hAnsi="Times New Roman" w:eastAsia="Noto Serif CJK SC"/>
          <w:b/>
          <w:sz w:val="24"/>
        </w:rPr>
        <w:t>3 五期总量与优化后的逐次灌水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21"/>
        </w:rPr>
        <w:t>五期总量和次数见图3，逐次日期与水量见图4及表2。每年的阶段总量之和、逐次实际灌水量之和与模型季节灌水量一致，误差均小于10⁻⁷ mm。下表列出全部正水量事件；零水量槽位保存在All_selected_schedule_slots.csv中，标注为不灌水。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56000" cy="38737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5_Five_stage_totals_and_counts_E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8737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8"/>
        </w:rPr>
        <w:t>Figure 3. Irrigation totals and event counts in each phenological stage.</w:t>
      </w:r>
    </w:p>
    <w:p>
      <w:pPr>
        <w:keepNext w:val="0"/>
        <w:ind w:firstLine="0"/>
      </w:pPr>
      <w:r>
        <w:rPr>
          <w:rFonts w:ascii="Times New Roman" w:hAnsi="Times New Roman" w:eastAsia="Noto Serif CJK SC"/>
          <w:b w:val="0"/>
          <w:sz w:val="17"/>
        </w:rPr>
        <w:t>Gray bars show original DI totals. Colored bars show selected optimized totals; n counts merged positive-depth events. Trace depths are retained in the source tables.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56000" cy="382227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6_Optimized_event_calendar_E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82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8"/>
        </w:rPr>
        <w:t>Figure 4. Optimized dates and individual depths for the selected schedules.</w:t>
      </w:r>
    </w:p>
    <w:p>
      <w:pPr>
        <w:keepNext w:val="0"/>
        <w:ind w:firstLine="0"/>
      </w:pPr>
      <w:r>
        <w:rPr>
          <w:rFonts w:ascii="Times New Roman" w:hAnsi="Times New Roman" w:eastAsia="Noto Serif CJK SC"/>
          <w:b w:val="0"/>
          <w:sz w:val="17"/>
        </w:rPr>
        <w:t>At most three optional events are allowed in each stage. Zero-depth slots do not execute, and coincident slots are merged into one daily application.</w:t>
      </w: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2-2019. Every optimized irrigation date and depth in 2019.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bottom w:val="single" w:sz="10"/>
          <w:left w:val="nil" w:sz="10"/>
          <w:right w:val="nil" w:sz="10"/>
          <w:insideH w:val="nil" w:sz="10"/>
          <w:insideV w:val="nil" w:sz="10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Event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Stage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Date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Model day</w:t>
              <w:br/>
              <w:t>(1-based)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Actual depth</w:t>
              <w:br/>
              <w:t>(mm)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Interval</w:t>
              <w:br/>
              <w:t>(days)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Seedling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2019-05-06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19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81.72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Seedling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2019-05-07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3.45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2019-06-13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57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0.22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37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2019-06-14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58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4.22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5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2019-06-20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64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0.20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6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2019-07-18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117.03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28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7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2019-07-26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100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2.72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2019-08-05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110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0.05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2019-08-07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0.17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2019-08-24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129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0.01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17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2019-09-01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137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2019-09-03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139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1.16e-09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</w:tr>
    </w:tbl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17"/>
        </w:rPr>
        <w:t>Note. Model day 1 is the planting date (source column: DAP). Depths below 0.01 mm use six decimals, or scientific notation below 0.00001 mm. Date intervals are descriptive outputs, with no extra minimum-gap constraint.</w:t>
      </w: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2-2020. Every optimized irrigation date and depth in 2020.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bottom w:val="single" w:sz="10"/>
          <w:left w:val="nil" w:sz="10"/>
          <w:right w:val="nil" w:sz="10"/>
          <w:insideH w:val="nil" w:sz="10"/>
          <w:insideV w:val="nil" w:sz="10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Event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Stage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Date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Model day</w:t>
              <w:br/>
              <w:t>(1-based)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Actual depth</w:t>
              <w:br/>
              <w:t>(mm)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Interval</w:t>
              <w:br/>
              <w:t>(days)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Seedling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2020-04-20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108.29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2020-06-10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52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0.17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51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2020-06-21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63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93.93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2020-07-01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73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0.60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5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2020-07-16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88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2.16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15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6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2020-07-25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97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0.09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7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2020-07-26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98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0.001515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2020-07-28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100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87.92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2020-07-29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101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0.79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2020-08-17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120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0.003147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19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2020-08-23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126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12.47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6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2020-09-02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136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0.03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13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2020-09-09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143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0.04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7</w:t>
            </w:r>
          </w:p>
        </w:tc>
      </w:tr>
    </w:tbl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17"/>
        </w:rPr>
        <w:t>Note. Model day 1 is the planting date (source column: DAP). Depths below 0.01 mm use six decimals, or scientific notation below 0.00001 mm. Date intervals are descriptive outputs, with no extra minimum-gap constraint.</w:t>
      </w: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2-2021. Every optimized irrigation date and depth in 2021.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bottom w:val="single" w:sz="10"/>
          <w:left w:val="nil" w:sz="10"/>
          <w:right w:val="nil" w:sz="10"/>
          <w:insideH w:val="nil" w:sz="10"/>
          <w:insideV w:val="nil" w:sz="10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Event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Stage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Date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Model day</w:t>
              <w:br/>
              <w:t>(1-based)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Actual depth</w:t>
              <w:br/>
              <w:t>(mm)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Interval</w:t>
              <w:br/>
              <w:t>(days)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Seedling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2021-04-27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0.000663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Seedling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2021-05-23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27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0.002344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26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2021-06-15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50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92.96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2021-06-28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63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85.82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13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5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2021-07-09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74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0.000563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6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2021-07-20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85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0.05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7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2021-07-29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94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85.63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2021-08-21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117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0.008609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23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2021-08-26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122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5</w:t>
            </w:r>
          </w:p>
        </w:tc>
      </w:tr>
    </w:tbl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17"/>
        </w:rPr>
        <w:t>Note. Model day 1 is the planting date (source column: DAP). Depths below 0.01 mm use six decimals, or scientific notation below 0.00001 mm. Date intervals are descriptive outputs, with no extra minimum-gap constraint.</w:t>
      </w: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2-2022. Every optimized irrigation date and depth in 2022.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bottom w:val="single" w:sz="10"/>
          <w:left w:val="nil" w:sz="10"/>
          <w:right w:val="nil" w:sz="10"/>
          <w:insideH w:val="nil" w:sz="10"/>
          <w:insideV w:val="nil" w:sz="10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Event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Stage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Date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Model day</w:t>
              <w:br/>
              <w:t>(1-based)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Actual depth</w:t>
              <w:br/>
              <w:t>(mm)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Interval</w:t>
              <w:br/>
              <w:t>(days)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Seedling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2022-04-17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0.04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–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2022-06-02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47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0.11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46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Jointing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2022-06-11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56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181.31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2022-07-08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83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2.46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27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5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Heading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2022-07-18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93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0.47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10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6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2022-07-21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96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71.52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7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Grain filling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2022-07-22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97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1.51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Maturity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2022-08-13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119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0.04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22</w:t>
            </w:r>
          </w:p>
        </w:tc>
      </w:tr>
    </w:tbl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17"/>
        </w:rPr>
        <w:t>Note. Model day 1 is the planting date (source column: DAP). Depths below 0.01 mm use six decimals, or scientific notation below 0.00001 mm. Date intervals are descriptive outputs, with no extra minimum-gap constraint.</w:t>
      </w:r>
    </w:p>
    <w:p>
      <w:pPr>
        <w:keepNext/>
        <w:spacing w:before="200"/>
      </w:pPr>
      <w:r>
        <w:rPr>
          <w:rFonts w:ascii="Times New Roman" w:hAnsi="Times New Roman" w:eastAsia="Noto Serif CJK SC"/>
          <w:b/>
          <w:sz w:val="24"/>
        </w:rPr>
        <w:t>4 产量、灌水量与土壤水分过程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21"/>
        </w:rPr>
        <w:t>图5比较观测产量、DI模型基准和主候选。四年候选相对观测产量的偏差分别为-4.99、-4.99、-4.99、-4.90%，产量门槛为观测值的95%。灌水减少率与产量变化分别报告。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56000" cy="252478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7_Annual_irrigation_and_yield_E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524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8"/>
        </w:rPr>
        <w:t>Figure 5. Annual irrigation and yield comparison for original and optimized schedules.</w:t>
      </w:r>
    </w:p>
    <w:p>
      <w:pPr>
        <w:keepNext w:val="0"/>
        <w:ind w:firstLine="0"/>
      </w:pPr>
      <w:r>
        <w:rPr>
          <w:rFonts w:ascii="Times New Roman" w:hAnsi="Times New Roman" w:eastAsia="Noto Serif CJK SC"/>
          <w:b w:val="0"/>
          <w:sz w:val="17"/>
        </w:rPr>
        <w:t>The selected schedules meet 95% of the published observed yield under the frozen annual model. Irrigation-reduction percentages are relative to the original DI schedule.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21"/>
        </w:rPr>
        <w:t>图6给出相同初始水分与年度气象条件下的全剖面储水时序。原日程季末储水分别为501.66、551.98、705.67、423.91 mm，主候选为308.53、317.11、348.82、304.41 mm。该差额与蒸散及其他损失差共同解释季节灌水变化。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56000" cy="38005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8_Daily_profile_storage_E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8005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8"/>
        </w:rPr>
        <w:t>Figure 6. Daily soil-profile storage under original DI and selected schedules.</w:t>
      </w:r>
    </w:p>
    <w:p>
      <w:pPr>
        <w:keepNext w:val="0"/>
        <w:ind w:firstLine="0"/>
      </w:pPr>
      <w:r>
        <w:rPr>
          <w:rFonts w:ascii="Times New Roman" w:hAnsi="Times New Roman" w:eastAsia="Noto Serif CJK SC"/>
          <w:b w:val="0"/>
          <w:sz w:val="17"/>
        </w:rPr>
        <w:t>Storage integrates the unchanged 0–2.4 m simulated profile; all schedules share the annual initial water and weather.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21"/>
        </w:rPr>
        <w:t>四年ET变化对应的下降量分别为38.16、17.04、11.46、27.85 mm，季末储水差分别为193.14、234.87、356.85、119.50 mm，储水差解释的减灌比例分别为82.03、92.74、96.72、81.09%。图7按同一水量平衡关系展示差额组成；完整日账与原始未取整数值随包提供。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56000" cy="284178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09_Water_balance_decomposition_E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2841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8"/>
        </w:rPr>
        <w:t>Figure 7. Components of irrigation reduction under the selected schedules.</w:t>
      </w:r>
    </w:p>
    <w:p>
      <w:pPr>
        <w:keepNext w:val="0"/>
        <w:ind w:firstLine="0"/>
      </w:pPr>
      <w:r>
        <w:rPr>
          <w:rFonts w:ascii="Times New Roman" w:hAnsi="Times New Roman" w:eastAsia="Noto Serif CJK SC"/>
          <w:b w:val="0"/>
          <w:sz w:val="17"/>
        </w:rPr>
        <w:t>Signed ET, terminal-storage and other-loss differences close the baseline-minus-candidate water balance. Labels show the storage difference as a fraction of irrigation reduction.</w:t>
      </w: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3. Water-balance decomposition for the selected schedules.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bottom w:val="single" w:sz="10"/>
          <w:left w:val="nil" w:sz="10"/>
          <w:right w:val="nil" w:sz="10"/>
          <w:insideH w:val="nil" w:sz="10"/>
          <w:insideV w:val="nil" w:sz="10"/>
        </w:tblBorders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cantSplit/>
          <w:tblHeader/>
        </w:trPr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Year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I reduction</w:t>
              <w:br/>
              <w:t>(mm)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ET reduction</w:t>
              <w:br/>
              <w:t>(mm)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Lower final S</w:t>
              <w:br/>
              <w:t>(mm)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Other losses</w:t>
              <w:br/>
              <w:t>(mm)</w:t>
            </w:r>
          </w:p>
        </w:tc>
        <w:tc>
          <w:tcPr>
            <w:tcW w:type="dxa" w:w="1644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Storage share</w:t>
              <w:br/>
              <w:t>(%)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235.44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38.16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193.14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4.14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82.03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253.26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17.04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234.87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1.34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92.74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368.97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11.46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356.85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0.66</w:t>
            </w:r>
          </w:p>
        </w:tc>
        <w:tc>
          <w:tcPr>
            <w:tcW w:type="dxa" w:w="1644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96.72</w:t>
            </w:r>
          </w:p>
        </w:tc>
      </w:tr>
      <w:tr>
        <w:trPr>
          <w:cantSplit/>
        </w:trPr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147.37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27.85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119.50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0.02</w:t>
            </w:r>
          </w:p>
        </w:tc>
        <w:tc>
          <w:tcPr>
            <w:tcW w:type="dxa" w:w="1644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81.09</w:t>
            </w:r>
          </w:p>
        </w:tc>
      </w:tr>
    </w:tbl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17"/>
        </w:rPr>
        <w:t>Note. Differences are baseline minus selected schedule; signed components sum to irrigation reduction.</w:t>
      </w:r>
    </w:p>
    <w:p>
      <w:pPr>
        <w:keepNext/>
        <w:spacing w:before="200"/>
      </w:pPr>
      <w:r>
        <w:rPr>
          <w:rFonts w:ascii="Times New Roman" w:hAnsi="Times New Roman" w:eastAsia="Noto Serif CJK SC"/>
          <w:b/>
          <w:sz w:val="24"/>
        </w:rPr>
        <w:t>5 搜索过程及数值复现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21"/>
        </w:rPr>
        <w:t>图8给出五次随机启动的种群超体积均值及范围。两种算法采用同一控制空间、目标、约束和共同初值。新旧方案的模型参数保持一致；本轮是优化重算，未重新进行MCMC或Sobol计算。最终选定方案及图中标注点均经完整适配器回放，最大输出差为2.27e-13，最大逐日水量闭合残差为2.54e-13 mm。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156000" cy="384626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10_Algorithm_convergence_E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846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8"/>
        </w:rPr>
        <w:t>Figure 8. NSGA-III and NSGA-II population hypervolume through 100 generations.</w:t>
      </w:r>
    </w:p>
    <w:p>
      <w:pPr>
        <w:keepNext w:val="0"/>
        <w:ind w:firstLine="0"/>
      </w:pPr>
      <w:r>
        <w:rPr>
          <w:rFonts w:ascii="Times New Roman" w:hAnsi="Times New Roman" w:eastAsia="Noto Serif CJK SC"/>
          <w:b w:val="0"/>
          <w:sz w:val="17"/>
        </w:rPr>
        <w:t>Lines show five-seed means; shading shows seed ranges. Population hypervolume is distinct from the final union hypervolume reported in the source tables.</w:t>
      </w:r>
    </w:p>
    <w:p>
      <w:pPr>
        <w:keepNext/>
        <w:ind w:firstLine="0"/>
        <w:jc w:val="center"/>
      </w:pPr>
      <w:r>
        <w:rPr>
          <w:rFonts w:ascii="Times New Roman" w:hAnsi="Times New Roman" w:eastAsia="Noto Serif CJK SC"/>
          <w:b/>
          <w:sz w:val="19"/>
        </w:rPr>
        <w:t>Table 4. Five-seed final-population union metrics under the same constraints.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10"/>
          <w:bottom w:val="single" w:sz="10"/>
          <w:left w:val="nil" w:sz="10"/>
          <w:right w:val="nil" w:sz="10"/>
          <w:insideH w:val="nil" w:sz="10"/>
          <w:insideV w:val="nil" w:sz="10"/>
        </w:tblBorders>
      </w:tblPr>
      <w:tblGrid>
        <w:gridCol w:w="1973"/>
        <w:gridCol w:w="1973"/>
        <w:gridCol w:w="1973"/>
        <w:gridCol w:w="1973"/>
        <w:gridCol w:w="1973"/>
      </w:tblGrid>
      <w:tr>
        <w:trPr>
          <w:cantSplit/>
          <w:tblHeader/>
        </w:trPr>
        <w:tc>
          <w:tcPr>
            <w:tcW w:type="dxa" w:w="1973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Year</w:t>
            </w:r>
          </w:p>
        </w:tc>
        <w:tc>
          <w:tcPr>
            <w:tcW w:type="dxa" w:w="1973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Algorithm</w:t>
            </w:r>
          </w:p>
        </w:tc>
        <w:tc>
          <w:tcPr>
            <w:tcW w:type="dxa" w:w="1973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Minimum I</w:t>
              <w:br/>
              <w:t>(mm)</w:t>
            </w:r>
          </w:p>
        </w:tc>
        <w:tc>
          <w:tcPr>
            <w:tcW w:type="dxa" w:w="1973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Maximum yield</w:t>
              <w:br/>
              <w:t>(t ha⁻¹)</w:t>
            </w:r>
          </w:p>
        </w:tc>
        <w:tc>
          <w:tcPr>
            <w:tcW w:type="dxa" w:w="1973"/>
            <w:tcBorders>
              <w:bottom w:val="single" w:sz="5"/>
            </w:tcBorders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/>
                <w:sz w:val="17"/>
              </w:rPr>
              <w:t>Union HV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NSGA-II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209.866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16.783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0.541554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2019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NSGA-III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209.832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16.783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0.541654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NSGA-II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305.027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17.145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0.459376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2020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NSGA-III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306.499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17.141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0.456772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NSGA-II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264.546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15.306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0.571307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2021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NSGA-III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264.500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15.305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0.571337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NSGA-II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256.765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14.542</w:t>
            </w:r>
          </w:p>
        </w:tc>
        <w:tc>
          <w:tcPr>
            <w:tcW w:type="dxa" w:w="1973"/>
          </w:tcPr>
          <w:p>
            <w:pPr>
              <w:keepNext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0.379541</w:t>
            </w:r>
          </w:p>
        </w:tc>
      </w:tr>
      <w:tr>
        <w:trPr>
          <w:cantSplit/>
        </w:trPr>
        <w:tc>
          <w:tcPr>
            <w:tcW w:type="dxa" w:w="1973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2022</w:t>
            </w:r>
          </w:p>
        </w:tc>
        <w:tc>
          <w:tcPr>
            <w:tcW w:type="dxa" w:w="1973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NSGA-III</w:t>
            </w:r>
          </w:p>
        </w:tc>
        <w:tc>
          <w:tcPr>
            <w:tcW w:type="dxa" w:w="1973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257.465</w:t>
            </w:r>
          </w:p>
        </w:tc>
        <w:tc>
          <w:tcPr>
            <w:tcW w:type="dxa" w:w="1973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14.533</w:t>
            </w:r>
          </w:p>
        </w:tc>
        <w:tc>
          <w:tcPr>
            <w:tcW w:type="dxa" w:w="1973"/>
          </w:tcPr>
          <w:p>
            <w:pPr>
              <w:keepNext w:val="0"/>
              <w:spacing w:line="252" w:lineRule="auto" w:before="40" w:after="40"/>
              <w:jc w:val="center"/>
            </w:pPr>
            <w:r>
              <w:rPr>
                <w:rFonts w:ascii="Times New Roman" w:hAnsi="Times New Roman" w:eastAsia="Noto Serif CJK SC"/>
                <w:b w:val="0"/>
                <w:sz w:val="17"/>
              </w:rPr>
              <w:t>0.377835</w:t>
            </w:r>
          </w:p>
        </w:tc>
      </w:tr>
    </w:tbl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17"/>
        </w:rPr>
        <w:t>Note. Each algorithm receives five seeds and shares the disclosed initialization anchors. The minimum irrigation and maximum yield can belong to different schedules. The primary event calendar follows the stated NSGA-III selection rule.</w:t>
      </w:r>
    </w:p>
    <w:p>
      <w:pPr>
        <w:keepNext/>
        <w:spacing w:before="200"/>
      </w:pPr>
      <w:r>
        <w:rPr>
          <w:rFonts w:ascii="Times New Roman" w:hAnsi="Times New Roman" w:eastAsia="Noto Serif CJK SC"/>
          <w:b/>
          <w:sz w:val="24"/>
        </w:rPr>
        <w:t>6 论文中可采用的优化方法表述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21"/>
        </w:rPr>
        <w:t>根据各年度玉米苗期、拔节期、抽穗期、灌浆期和成熟期划分灌溉管理阶段，每阶段设置最多3个可选灌水事件。以各事件灌水量和所在阶段内的整数日期为决策变量，构建产量最大、实际季节灌水量最小的双目标优化模型。对同日事件合并计量，以零灌水量表示该槽位不执行。采用NSGA-III求解并以NSGA-II作对照，在产量不低于观测值95%的条件下选取最低灌水候选；同时输出逐次灌水日程、五期汇总及土壤储水变化。</w:t>
      </w:r>
    </w:p>
    <w:p>
      <w:pPr>
        <w:keepNext/>
        <w:spacing w:before="200"/>
      </w:pPr>
      <w:r>
        <w:rPr>
          <w:rFonts w:ascii="Times New Roman" w:hAnsi="Times New Roman" w:eastAsia="Noto Serif CJK SC"/>
          <w:b/>
          <w:sz w:val="24"/>
        </w:rPr>
        <w:t>7 交付内容与统计记录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21"/>
        </w:rPr>
        <w:t>Optimized_every_irrigation_event.csv给出每次日期、水量及所属生育期；Five_stage_totals_and_event_counts.csv给出每期总量与次数；All_selected_schedule_slots.csv保留15个槽位，包括零量、取消和数值残量。Pareto_every_irrigation_event.csv.gz进一步给出全范围前沿每个解的逐次日程，通过Control_ID对应前沿总表。Excel汇总主要数据，PNG、PDF及SVG提供英文图件。各年原始查询、每代种群、日期和水量控制量分年打包。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18"/>
        </w:rPr>
        <w:t>首个种子的重复初值经规范化去重后为99个，其后99代均为100个，每年该种子实际查询9999次；这些完整100代记录按实际值保留。后续初值补齐100个不同控制量。该统计差异未增加、填充或替换任何模型结果，详细恢复记录位于verification/INITIAL_BUDGET_RECOVERY.json。</w:t>
      </w:r>
    </w:p>
    <w:p>
      <w:pPr>
        <w:keepNext w:val="0"/>
        <w:ind w:firstLine="420"/>
      </w:pPr>
      <w:r>
        <w:rPr>
          <w:rFonts w:ascii="Times New Roman" w:hAnsi="Times New Roman" w:eastAsia="Noto Serif CJK SC"/>
          <w:b w:val="0"/>
          <w:sz w:val="18"/>
        </w:rPr>
        <w:t>生育期依据：王尚今. 不同灌溉方式下覆膜玉米田水热氮传输及作物生长的观测与模拟[D]. 中国农业大学, 2023，表2-3，正文第11页。优化方法：Deb等（2002）NSGA-II；Deb和Jain（2014）NSGA-III。</w:t>
      </w:r>
    </w:p>
    <w:sectPr w:rsidR="00FC693F" w:rsidRPr="0006063C" w:rsidSect="00034616">
      <w:pgSz w:w="11906" w:h="16838"/>
      <w:pgMar w:top="964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00"/>
    </w:pPr>
    <w:rPr>
      <w:rFonts w:ascii="Times New Roman" w:hAnsi="Times New Roman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四年五生育期多次灌溉优化与逐次日程</dc:title>
  <dc:subject/>
  <dc:creator>URP项目组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