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spacing w:before="0" w:after="160" w:line="240" w:lineRule="auto"/>
        <w:ind w:end="1466" w:left="0" w:right="0" w:firstLine="0"/>
        <w:jc w:val="left"/>
        <w:rPr>
          <w:rFonts w:ascii="宋体" w:hAnsi="宋体" w:hint="eastAsia"/>
          <w:b/>
          <w:sz w:val="28"/>
          <w:szCs w:val="28"/>
        </w:rPr>
        <w:snapToGrid w:val="false"/>
      </w:pPr>
      <w:r>
        <w:rPr>
          <w:rFonts w:ascii="Noto Serif CJK SC" w:hAnsi="Noto Serif CJK SC" w:eastAsia="Noto Serif CJK SC" w:cs="Noto Serif CJK SC"/>
          <w:b w:val="0"/>
          <w:color w:val="000000"/>
          <w:sz w:val="22"/>
          <w:szCs w:val="28"/>
        </w:rPr>
        <w:drawing>
          <wp:inline distT="0" distB="0" distL="0" distR="0">
            <wp:extent cx="2287905" cy="5461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7" t="-29" r="-7" b="-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7905" cy="546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 w:ascii="Noto Serif CJK SC" w:hAnsi="Noto Serif CJK SC" w:eastAsia="Noto Serif CJK SC" w:cs="Noto Serif CJK SC"/>
          <w:b w:val="0"/>
          <w:color w:val="000000"/>
          <w:sz w:val="22"/>
          <w:szCs w:val="28"/>
        </w:rPr>
        <w:t xml:space="preserve">      </w:t>
      </w:r>
      <w:r>
        <w:rPr>
          <w:rFonts w:ascii="Noto Serif CJK SC" w:hAnsi="Noto Serif CJK SC" w:hint="eastAsia" w:eastAsia="Noto Serif CJK SC" w:cs="Noto Serif CJK SC"/>
          <w:b w:val="0"/>
          <w:color w:val="000000"/>
          <w:sz w:val="22"/>
          <w:szCs w:val="28"/>
        </w:rPr>
        <w:t>项目编号：X2026100190937</w:t>
      </w:r>
    </w:p>
    <w:p>
      <w:pPr>
        <w:pStyle w:val="Normal"/>
        <w:widowControl/>
        <w:spacing w:lineRule="exact" w:line="96" w:before="0" w:after="180"/>
        <w:ind w:start="0" w:end="0" w:left="0" w:right="0" w:firstLine="0"/>
        <w:rPr>
          <w:rFonts w:ascii="宋体" w:hAnsi="宋体" w:hint="eastAsia"/>
          <w:b/>
          <w:sz w:val="28"/>
          <w:szCs w:val="28"/>
        </w:rPr>
        <w:snapToGrid w:val="false"/>
      </w:pPr>
      <w:r>
        <w:rPr>
          <w:rFonts w:hint="eastAsia" w:ascii="Noto Serif CJK SC" w:hAnsi="Noto Serif CJK SC" w:eastAsia="Noto Serif CJK SC" w:cs="Noto Serif CJK SC"/>
          <w:b w:val="0"/>
          <w:color w:val="000000"/>
          <w:sz w:val="8"/>
          <w:szCs w:val="28"/>
        </w:rPr>
      </w:r>
    </w:p>
    <w:p>
      <w:pPr>
        <w:pStyle w:val="Normal"/>
        <w:widowControl/>
        <w:snapToGrid w:val="false"/>
        <w:spacing w:lineRule="exact" w:line="696" w:before="80" w:after="120"/>
        <w:ind w:left="0" w:right="0" w:firstLine="0"/>
        <w:jc w:val="center"/>
        <w:rPr>
          <w:rFonts w:ascii="华文中宋" w:hAnsi="华文中宋" w:eastAsia="华文中宋" w:cs="华文中宋" w:hint="eastAsia"/>
          <w:b/>
          <w:color w:val="000000"/>
          <w:w w:val="80"/>
          <w:sz w:val="52"/>
          <w:szCs w:val="52"/>
        </w:rPr>
      </w:pPr>
      <w:r>
        <w:rPr>
          <w:rFonts w:ascii="Noto Sans CJK SC" w:hAnsi="Noto Sans CJK SC" w:cs="Noto Sans CJK SC" w:hint="eastAsia" w:eastAsia="Noto Sans CJK SC"/>
          <w:b/>
          <w:color w:val="000000"/>
          <w:sz w:val="48"/>
          <w:szCs w:val="52"/>
        </w:rPr>
        <w:t>创新训练项目</w:t>
      </w:r>
    </w:p>
    <w:p>
      <w:pPr>
        <w:pStyle w:val="Normal"/>
        <w:widowControl/>
        <w:snapToGrid w:val="false"/>
        <w:spacing w:lineRule="exact" w:line="696" w:before="80" w:after="120"/>
        <w:ind w:left="0" w:right="0" w:firstLine="0"/>
        <w:jc w:val="center"/>
        <w:rPr>
          <w:rFonts w:ascii="华文中宋" w:hAnsi="华文中宋" w:eastAsia="华文中宋" w:cs="华文中宋"/>
          <w:b/>
          <w:color w:val="000000"/>
          <w:w w:val="80"/>
          <w:sz w:val="52"/>
          <w:szCs w:val="52"/>
        </w:rPr>
      </w:pPr>
      <w:r>
        <w:rPr>
          <w:rFonts w:ascii="Noto Sans CJK SC" w:hAnsi="Noto Sans CJK SC" w:cs="Noto Sans CJK SC" w:hint="eastAsia" w:eastAsia="Noto Sans CJK SC"/>
          <w:b/>
          <w:color w:val="000000"/>
          <w:sz w:val="48"/>
          <w:szCs w:val="52"/>
        </w:rPr>
        <w:t>中期报告书</w:t>
      </w:r>
    </w:p>
    <w:p>
      <w:pPr>
        <w:pStyle w:val="Normal"/>
        <w:widowControl/>
        <w:spacing w:before="0" w:after="100" w:line="96" w:lineRule="exact"/>
        <w:ind w:end="26" w:left="0" w:right="0" w:firstLine="0"/>
        <w:jc w:val="center"/>
        <w:rPr>
          <w:rFonts w:ascii="宋体" w:hAnsi="宋体" w:eastAsia="华文中宋" w:cs="华文中宋"/>
          <w:b/>
          <w:color w:val="000000"/>
          <w:w w:val="80"/>
          <w:sz w:val="44"/>
          <w:szCs w:val="52"/>
        </w:rPr>
        <w:snapToGrid w:val="false"/>
      </w:pPr>
      <w:r>
        <w:rPr>
          <w:rFonts w:eastAsia="Noto Serif CJK SC" w:cs="Noto Serif CJK SC" w:ascii="Noto Serif CJK SC" w:hAnsi="Noto Serif CJK SC"/>
          <w:b w:val="0"/>
          <w:color w:val="000000"/>
          <w:sz w:val="8"/>
          <w:szCs w:val="52"/>
        </w:rPr>
      </w:r>
    </w:p>
    <w:tbl>
      <w:tblPr>
        <w:tblW w:w="8362" w:type="dxa"/>
        <w:jc w:val="start"/>
        <w:tblInd w:w="8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Borders>
          <w:top w:val="single" w:sz="5" w:color="444444"/>
          <w:left w:val="single" w:sz="5" w:color="444444"/>
          <w:bottom w:val="single" w:sz="5" w:color="444444"/>
          <w:right w:val="single" w:sz="5" w:color="444444"/>
          <w:insideH w:val="single" w:sz="5" w:color="444444"/>
          <w:insideV w:val="single" w:sz="5" w:color="444444"/>
        </w:tblBorders>
      </w:tblPr>
      <w:tblGrid>
        <w:gridCol w:w="1156"/>
        <w:gridCol w:w="865"/>
        <w:gridCol w:w="2040"/>
        <w:gridCol w:w="438"/>
        <w:gridCol w:w="982"/>
        <w:gridCol w:w="1504"/>
        <w:gridCol w:w="2483"/>
      </w:tblGrid>
      <w:tr>
        <w:trPr>
          <w:trHeight w:val="935" w:hRule="atLeast"/>
        </w:trPr>
        <w:tc>
          <w:tcPr>
            <w:tcW w:w="202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Normal"/>
              <w:widowControl/>
              <w:spacing w:lineRule="exact" w:line="304" w:before="0" w:after="0"/>
              <w:ind w:end="28" w:left="0" w:right="0" w:firstLine="0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  <w:snapToGrid w:val="false"/>
            </w:pPr>
            <w:r>
              <w:rPr>
                <w:rFonts w:ascii="Noto Serif CJK SC" w:hAnsi="Noto Serif CJK SC" w:cs="Noto Serif CJK SC" w:hint="eastAsia" w:eastAsia="Noto Serif CJK SC"/>
                <w:b w:val="0"/>
                <w:color w:val="000000"/>
                <w:sz w:val="21"/>
                <w:szCs w:val="28"/>
              </w:rPr>
              <w:t>项目名称</w:t>
            </w:r>
          </w:p>
        </w:tc>
        <w:tc>
          <w:tcPr>
            <w:tcW w:w="7447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widowControl/>
              <w:spacing w:before="0" w:after="0" w:line="304" w:lineRule="exact"/>
              <w:ind w:left="0" w:right="0" w:firstLine="0"/>
              <w:snapToGrid w:val="false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基于马尔科夫链的不同灌溉方式灌溉制度优化</w:t>
            </w:r>
          </w:p>
        </w:tc>
      </w:tr>
      <w:tr>
        <w:trPr>
          <w:trHeight w:val="510" w:hRule="atLeast"/>
        </w:trPr>
        <w:tc>
          <w:tcPr>
            <w:tcW w:w="202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Normal"/>
              <w:widowControl/>
              <w:spacing w:lineRule="exact" w:line="304" w:before="0" w:after="0"/>
              <w:ind w:end="28" w:left="0" w:right="0" w:firstLine="0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  <w:snapToGrid w:val="false"/>
            </w:pPr>
            <w:r>
              <w:rPr>
                <w:rFonts w:ascii="Noto Serif CJK SC" w:hAnsi="Noto Serif CJK SC" w:cs="Noto Serif CJK SC" w:hint="eastAsia" w:eastAsia="Noto Serif CJK SC"/>
                <w:b w:val="0"/>
                <w:color w:val="000000"/>
                <w:sz w:val="21"/>
                <w:szCs w:val="28"/>
              </w:rPr>
              <w:t>项目执行时间</w:t>
            </w:r>
          </w:p>
        </w:tc>
        <w:tc>
          <w:tcPr>
            <w:tcW w:w="247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widowControl/>
              <w:spacing w:before="0" w:after="0" w:line="304" w:lineRule="exact"/>
              <w:ind w:left="0" w:right="0" w:firstLine="0"/>
              <w:snapToGrid w:val="false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2026年</w:t>
            </w:r>
          </w:p>
        </w:tc>
        <w:tc>
          <w:tcPr>
            <w:tcW w:w="248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Normal"/>
              <w:widowControl/>
              <w:spacing w:lineRule="exact" w:line="304" w:before="0" w:after="0"/>
              <w:ind w:end="28" w:left="0" w:right="0" w:firstLine="0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  <w:snapToGrid w:val="false"/>
            </w:pPr>
            <w:r>
              <w:rPr>
                <w:rFonts w:ascii="Noto Serif CJK SC" w:hAnsi="Noto Serif CJK SC" w:cs="Noto Serif CJK SC" w:hint="eastAsia" w:eastAsia="Noto Serif CJK SC"/>
                <w:b w:val="0"/>
                <w:color w:val="000000"/>
                <w:sz w:val="21"/>
                <w:szCs w:val="28"/>
              </w:rPr>
              <w:t>项目团队人数</w:t>
            </w:r>
          </w:p>
        </w:tc>
        <w:tc>
          <w:tcPr>
            <w:tcW w:w="2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widowControl/>
              <w:spacing w:before="0" w:after="0" w:line="304" w:lineRule="exact"/>
              <w:ind w:left="0" w:right="0" w:firstLine="0"/>
              <w:snapToGrid w:val="false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3人</w:t>
            </w:r>
          </w:p>
        </w:tc>
      </w:tr>
      <w:tr>
        <w:trPr>
          <w:trHeight w:val="357" w:hRule="atLeast"/>
        </w:trPr>
        <w:tc>
          <w:tcPr>
            <w:tcW w:w="115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Normal"/>
              <w:widowControl/>
              <w:spacing w:lineRule="exact" w:line="304" w:before="0" w:after="0"/>
              <w:ind w:end="28" w:left="0" w:right="0" w:firstLine="0"/>
              <w:jc w:val="center"/>
              <w:rPr>
                <w:rFonts w:ascii="华文中宋" w:hAnsi="华文中宋" w:eastAsia="华文中宋" w:cs="华文中宋"/>
                <w:color w:val="000000"/>
                <w:w w:val="80"/>
                <w:sz w:val="28"/>
                <w:szCs w:val="28"/>
              </w:rPr>
              <w:snapToGrid w:val="false"/>
            </w:pPr>
            <w:r>
              <w:rPr>
                <w:rFonts w:ascii="Noto Serif CJK SC" w:hAnsi="Noto Serif CJK SC" w:cs="Noto Serif CJK SC" w:hint="eastAsia" w:eastAsia="Noto Serif CJK SC"/>
                <w:b w:val="0"/>
                <w:color w:val="000000"/>
                <w:sz w:val="21"/>
                <w:szCs w:val="28"/>
              </w:rPr>
              <w:t>项目</w:t>
            </w:r>
          </w:p>
          <w:p>
            <w:pPr>
              <w:pStyle w:val="Normal"/>
              <w:widowControl/>
              <w:spacing w:lineRule="exact" w:line="304" w:before="0" w:after="0"/>
              <w:ind w:end="28" w:left="0" w:right="0" w:firstLine="0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  <w:snapToGrid w:val="false"/>
            </w:pPr>
            <w:r>
              <w:rPr>
                <w:rFonts w:ascii="Noto Serif CJK SC" w:hAnsi="Noto Serif CJK SC" w:cs="Noto Serif CJK SC" w:hint="eastAsia" w:eastAsia="Noto Serif CJK SC"/>
                <w:b w:val="0"/>
                <w:color w:val="000000"/>
                <w:sz w:val="21"/>
                <w:szCs w:val="28"/>
              </w:rPr>
              <w:t>负责人</w:t>
            </w:r>
          </w:p>
        </w:tc>
        <w:tc>
          <w:tcPr>
            <w:tcW w:w="86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Normal"/>
              <w:widowControl/>
              <w:spacing w:lineRule="exact" w:line="304" w:before="0" w:after="0"/>
              <w:ind w:end="28" w:left="0" w:right="0" w:firstLine="0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  <w:snapToGrid w:val="false"/>
            </w:pPr>
            <w:r>
              <w:rPr>
                <w:rFonts w:ascii="Noto Serif CJK SC" w:hAnsi="Noto Serif CJK SC" w:cs="Noto Serif CJK SC" w:hint="eastAsia" w:eastAsia="Noto Serif CJK SC"/>
                <w:b w:val="0"/>
                <w:color w:val="000000"/>
                <w:sz w:val="21"/>
                <w:szCs w:val="28"/>
              </w:rPr>
              <w:t>姓名</w:t>
            </w:r>
          </w:p>
        </w:tc>
        <w:tc>
          <w:tcPr>
            <w:tcW w:w="204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widowControl/>
              <w:spacing w:before="0" w:after="0" w:line="304" w:lineRule="exact"/>
              <w:ind w:left="0" w:right="0" w:firstLine="0"/>
              <w:snapToGrid w:val="false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吴雨臻</w:t>
            </w:r>
          </w:p>
        </w:tc>
        <w:tc>
          <w:tcPr>
            <w:tcW w:w="14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Normal"/>
              <w:widowControl/>
              <w:spacing w:lineRule="exact" w:line="304" w:before="0" w:after="0"/>
              <w:ind w:end="28" w:left="0" w:right="0" w:firstLine="0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  <w:snapToGrid w:val="false"/>
            </w:pPr>
            <w:r>
              <w:rPr>
                <w:rFonts w:ascii="Noto Serif CJK SC" w:hAnsi="Noto Serif CJK SC" w:cs="Noto Serif CJK SC" w:hint="eastAsia" w:eastAsia="Noto Serif CJK SC"/>
                <w:b w:val="0"/>
                <w:color w:val="000000"/>
                <w:sz w:val="21"/>
                <w:szCs w:val="28"/>
              </w:rPr>
              <w:t>学号</w:t>
            </w:r>
          </w:p>
        </w:tc>
        <w:tc>
          <w:tcPr>
            <w:tcW w:w="398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widowControl/>
              <w:spacing w:before="0" w:after="0" w:line="304" w:lineRule="exact"/>
              <w:ind w:left="0" w:right="0" w:firstLine="0"/>
              <w:snapToGrid w:val="false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2024321010307</w:t>
            </w:r>
          </w:p>
        </w:tc>
      </w:tr>
      <w:tr>
        <w:trPr>
          <w:trHeight w:val="357" w:hRule="atLeast"/>
        </w:trPr>
        <w:tc>
          <w:tcPr>
            <w:tcW w:w="102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00"/>
              <w:ind w:end="28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</w:pPr>
            <w:r>
              <w:rPr>
                <w:rFonts w:eastAsia="华文中宋" w:cs="华文中宋" w:hint="eastAsia" w:ascii="华文中宋" w:hAnsi="华文中宋"/>
                <w:color w:val="000000"/>
                <w:w w:val="80"/>
                <w:sz w:val="28"/>
                <w:szCs w:val="28"/>
              </w:rPr>
            </w:r>
          </w:p>
        </w:tc>
        <w:tc>
          <w:tcPr>
            <w:tcW w:w="76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00"/>
              <w:ind w:end="28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</w:pPr>
            <w:r>
              <w:rPr>
                <w:rFonts w:eastAsia="华文中宋" w:cs="华文中宋" w:hint="eastAsia" w:ascii="华文中宋" w:hAnsi="华文中宋"/>
                <w:color w:val="000000"/>
                <w:w w:val="80"/>
                <w:sz w:val="28"/>
                <w:szCs w:val="28"/>
              </w:rPr>
            </w:r>
          </w:p>
        </w:tc>
        <w:tc>
          <w:tcPr>
            <w:tcW w:w="180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00"/>
              <w:ind w:end="28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</w:pPr>
            <w:r>
              <w:rPr>
                <w:rFonts w:eastAsia="华文中宋" w:cs="华文中宋" w:hint="eastAsia" w:ascii="华文中宋" w:hAnsi="华文中宋"/>
                <w:color w:val="000000"/>
                <w:w w:val="80"/>
                <w:sz w:val="28"/>
                <w:szCs w:val="28"/>
              </w:rPr>
            </w:r>
          </w:p>
        </w:tc>
        <w:tc>
          <w:tcPr>
            <w:tcW w:w="14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Normal"/>
              <w:widowControl/>
              <w:spacing w:lineRule="exact" w:line="304" w:before="0" w:after="0"/>
              <w:ind w:end="28" w:left="0" w:right="0" w:firstLine="0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  <w:snapToGrid w:val="false"/>
            </w:pPr>
            <w:r>
              <w:rPr>
                <w:rFonts w:ascii="Noto Serif CJK SC" w:hAnsi="Noto Serif CJK SC" w:cs="Noto Serif CJK SC" w:hint="eastAsia" w:eastAsia="Noto Serif CJK SC"/>
                <w:b w:val="0"/>
                <w:color w:val="000000"/>
                <w:sz w:val="21"/>
                <w:szCs w:val="28"/>
              </w:rPr>
              <w:t>院系班级</w:t>
            </w:r>
          </w:p>
        </w:tc>
        <w:tc>
          <w:tcPr>
            <w:tcW w:w="398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widowControl/>
              <w:spacing w:before="0" w:after="0" w:line="304" w:lineRule="exact"/>
              <w:ind w:left="0" w:right="0" w:firstLine="0"/>
              <w:snapToGrid w:val="false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土地科学与技术学院243班</w:t>
            </w:r>
          </w:p>
        </w:tc>
      </w:tr>
      <w:tr>
        <w:trPr>
          <w:trHeight w:val="357" w:hRule="atLeast"/>
        </w:trPr>
        <w:tc>
          <w:tcPr>
            <w:tcW w:w="102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00"/>
              <w:ind w:end="28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</w:pPr>
            <w:r>
              <w:rPr>
                <w:rFonts w:eastAsia="华文中宋" w:cs="华文中宋" w:hint="eastAsia" w:ascii="华文中宋" w:hAnsi="华文中宋"/>
                <w:color w:val="000000"/>
                <w:w w:val="80"/>
                <w:sz w:val="28"/>
                <w:szCs w:val="28"/>
              </w:rPr>
            </w:r>
          </w:p>
        </w:tc>
        <w:tc>
          <w:tcPr>
            <w:tcW w:w="8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Normal"/>
              <w:widowControl/>
              <w:spacing w:lineRule="exact" w:line="304" w:before="0" w:after="0"/>
              <w:ind w:end="28" w:left="0" w:right="0" w:firstLine="0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  <w:snapToGrid w:val="false"/>
            </w:pPr>
            <w:r>
              <w:rPr>
                <w:rFonts w:ascii="Noto Serif CJK SC" w:hAnsi="Noto Serif CJK SC" w:cs="Noto Serif CJK SC" w:hint="eastAsia" w:eastAsia="Noto Serif CJK SC"/>
                <w:b w:val="0"/>
                <w:color w:val="000000"/>
                <w:sz w:val="21"/>
                <w:szCs w:val="28"/>
              </w:rPr>
              <w:t>手机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widowControl/>
              <w:spacing w:before="0" w:after="0" w:line="304" w:lineRule="exact"/>
              <w:ind w:left="0" w:right="0" w:firstLine="0"/>
              <w:snapToGrid w:val="false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17624057163</w:t>
            </w:r>
          </w:p>
        </w:tc>
        <w:tc>
          <w:tcPr>
            <w:tcW w:w="14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Normal"/>
              <w:widowControl/>
              <w:spacing w:lineRule="exact" w:line="304" w:before="0" w:after="0"/>
              <w:ind w:end="28" w:left="0" w:right="0" w:firstLine="0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  <w:snapToGrid w:val="false"/>
            </w:pPr>
            <w:r>
              <w:rPr>
                <w:rFonts w:ascii="Noto Serif CJK SC" w:hAnsi="Noto Serif CJK SC" w:cs="Noto Serif CJK SC" w:hint="eastAsia" w:eastAsia="Noto Serif CJK SC"/>
                <w:b w:val="0"/>
                <w:color w:val="000000"/>
                <w:sz w:val="21"/>
                <w:szCs w:val="28"/>
              </w:rPr>
              <w:t>电子邮箱</w:t>
            </w:r>
          </w:p>
        </w:tc>
        <w:tc>
          <w:tcPr>
            <w:tcW w:w="398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widowControl/>
              <w:spacing w:before="0" w:after="0" w:line="304" w:lineRule="exact"/>
              <w:ind w:left="0" w:right="0" w:firstLine="0"/>
              <w:snapToGrid w:val="false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yuzhenAva@163.com</w:t>
            </w:r>
          </w:p>
        </w:tc>
      </w:tr>
      <w:tr>
        <w:trPr>
          <w:trHeight w:val="357" w:hRule="atLeast"/>
        </w:trPr>
        <w:tc>
          <w:tcPr>
            <w:tcW w:w="115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Normal"/>
              <w:widowControl/>
              <w:spacing w:lineRule="exact" w:line="304" w:before="0" w:after="0"/>
              <w:ind w:end="28" w:left="0" w:right="0" w:firstLine="0"/>
              <w:jc w:val="center"/>
              <w:rPr>
                <w:rFonts w:ascii="华文中宋" w:hAnsi="华文中宋" w:eastAsia="华文中宋" w:cs="华文中宋"/>
                <w:color w:val="000000"/>
                <w:w w:val="80"/>
                <w:sz w:val="28"/>
                <w:szCs w:val="28"/>
              </w:rPr>
              <w:snapToGrid w:val="false"/>
            </w:pPr>
            <w:r>
              <w:rPr>
                <w:rFonts w:ascii="Noto Serif CJK SC" w:hAnsi="Noto Serif CJK SC" w:cs="Noto Serif CJK SC" w:hint="eastAsia" w:eastAsia="Noto Serif CJK SC"/>
                <w:b w:val="0"/>
                <w:color w:val="000000"/>
                <w:sz w:val="21"/>
                <w:szCs w:val="28"/>
              </w:rPr>
              <w:t>项目</w:t>
            </w:r>
          </w:p>
          <w:p>
            <w:pPr>
              <w:pStyle w:val="Normal"/>
              <w:widowControl/>
              <w:spacing w:lineRule="exact" w:line="304" w:before="0" w:after="0"/>
              <w:ind w:end="28" w:left="0" w:right="0" w:firstLine="0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  <w:snapToGrid w:val="false"/>
            </w:pPr>
            <w:r>
              <w:rPr>
                <w:rFonts w:ascii="Noto Serif CJK SC" w:hAnsi="Noto Serif CJK SC" w:cs="Noto Serif CJK SC" w:hint="eastAsia" w:eastAsia="Noto Serif CJK SC"/>
                <w:b w:val="0"/>
                <w:color w:val="000000"/>
                <w:sz w:val="21"/>
                <w:szCs w:val="28"/>
              </w:rPr>
              <w:t>成员</w:t>
            </w:r>
            <w:r>
              <w:rPr>
                <w:rFonts w:eastAsia="Noto Serif CJK SC" w:cs="Noto Serif CJK SC" w:hint="eastAsia" w:ascii="Noto Serif CJK SC" w:hAnsi="Noto Serif CJK SC"/>
                <w:b w:val="0"/>
                <w:color w:val="000000"/>
                <w:sz w:val="21"/>
                <w:szCs w:val="28"/>
              </w:rPr>
              <w:t>1</w:t>
            </w:r>
          </w:p>
        </w:tc>
        <w:tc>
          <w:tcPr>
            <w:tcW w:w="86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Normal"/>
              <w:widowControl/>
              <w:spacing w:lineRule="exact" w:line="304" w:before="0" w:after="0"/>
              <w:ind w:end="28" w:left="0" w:right="0" w:firstLine="0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  <w:snapToGrid w:val="false"/>
            </w:pPr>
            <w:r>
              <w:rPr>
                <w:rFonts w:ascii="Noto Serif CJK SC" w:hAnsi="Noto Serif CJK SC" w:cs="Noto Serif CJK SC" w:hint="eastAsia" w:eastAsia="Noto Serif CJK SC"/>
                <w:b w:val="0"/>
                <w:color w:val="000000"/>
                <w:sz w:val="21"/>
                <w:szCs w:val="28"/>
              </w:rPr>
              <w:t>姓名</w:t>
            </w:r>
          </w:p>
        </w:tc>
        <w:tc>
          <w:tcPr>
            <w:tcW w:w="204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widowControl/>
              <w:spacing w:before="0" w:after="0" w:line="304" w:lineRule="exact"/>
              <w:ind w:left="0" w:right="0" w:firstLine="0"/>
              <w:snapToGrid w:val="false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李承昊</w:t>
            </w:r>
          </w:p>
        </w:tc>
        <w:tc>
          <w:tcPr>
            <w:tcW w:w="14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Normal"/>
              <w:widowControl/>
              <w:spacing w:lineRule="exact" w:line="304" w:before="0" w:after="0"/>
              <w:ind w:end="28" w:left="0" w:right="0" w:firstLine="0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  <w:snapToGrid w:val="false"/>
            </w:pPr>
            <w:r>
              <w:rPr>
                <w:rFonts w:ascii="Noto Serif CJK SC" w:hAnsi="Noto Serif CJK SC" w:cs="Noto Serif CJK SC" w:hint="eastAsia" w:eastAsia="Noto Serif CJK SC"/>
                <w:b w:val="0"/>
                <w:color w:val="000000"/>
                <w:sz w:val="21"/>
                <w:szCs w:val="28"/>
              </w:rPr>
              <w:t>学号</w:t>
            </w:r>
          </w:p>
        </w:tc>
        <w:tc>
          <w:tcPr>
            <w:tcW w:w="398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widowControl/>
              <w:spacing w:before="0" w:after="0" w:line="304" w:lineRule="exact"/>
              <w:ind w:left="0" w:right="0" w:firstLine="0"/>
              <w:snapToGrid w:val="false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2024321010302</w:t>
            </w:r>
          </w:p>
        </w:tc>
      </w:tr>
      <w:tr>
        <w:trPr>
          <w:trHeight w:val="357" w:hRule="atLeast"/>
        </w:trPr>
        <w:tc>
          <w:tcPr>
            <w:tcW w:w="102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00"/>
              <w:ind w:end="28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</w:pPr>
            <w:r>
              <w:rPr>
                <w:rFonts w:eastAsia="华文中宋" w:cs="华文中宋" w:hint="eastAsia" w:ascii="华文中宋" w:hAnsi="华文中宋"/>
                <w:color w:val="000000"/>
                <w:w w:val="80"/>
                <w:sz w:val="28"/>
                <w:szCs w:val="28"/>
              </w:rPr>
            </w:r>
          </w:p>
        </w:tc>
        <w:tc>
          <w:tcPr>
            <w:tcW w:w="76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00"/>
              <w:ind w:end="28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</w:pPr>
            <w:r>
              <w:rPr>
                <w:rFonts w:eastAsia="华文中宋" w:cs="华文中宋" w:hint="eastAsia" w:ascii="华文中宋" w:hAnsi="华文中宋"/>
                <w:color w:val="000000"/>
                <w:w w:val="80"/>
                <w:sz w:val="28"/>
                <w:szCs w:val="28"/>
              </w:rPr>
            </w:r>
          </w:p>
        </w:tc>
        <w:tc>
          <w:tcPr>
            <w:tcW w:w="180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00"/>
              <w:ind w:end="28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</w:pPr>
            <w:r>
              <w:rPr>
                <w:rFonts w:eastAsia="华文中宋" w:cs="华文中宋" w:hint="eastAsia" w:ascii="华文中宋" w:hAnsi="华文中宋"/>
                <w:color w:val="000000"/>
                <w:w w:val="80"/>
                <w:sz w:val="28"/>
                <w:szCs w:val="28"/>
              </w:rPr>
            </w:r>
          </w:p>
        </w:tc>
        <w:tc>
          <w:tcPr>
            <w:tcW w:w="14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Normal"/>
              <w:widowControl/>
              <w:spacing w:lineRule="exact" w:line="304" w:before="0" w:after="0"/>
              <w:ind w:end="28" w:left="0" w:right="0" w:firstLine="0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  <w:snapToGrid w:val="false"/>
            </w:pPr>
            <w:r>
              <w:rPr>
                <w:rFonts w:ascii="Noto Serif CJK SC" w:hAnsi="Noto Serif CJK SC" w:cs="Noto Serif CJK SC" w:hint="eastAsia" w:eastAsia="Noto Serif CJK SC"/>
                <w:b w:val="0"/>
                <w:color w:val="000000"/>
                <w:sz w:val="21"/>
                <w:szCs w:val="28"/>
              </w:rPr>
              <w:t>院系班级</w:t>
            </w:r>
          </w:p>
        </w:tc>
        <w:tc>
          <w:tcPr>
            <w:tcW w:w="398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widowControl/>
              <w:spacing w:before="0" w:after="0" w:line="304" w:lineRule="exact"/>
              <w:ind w:left="0" w:right="0" w:firstLine="0"/>
              <w:snapToGrid w:val="false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土地科学与技术学院243班</w:t>
            </w:r>
          </w:p>
        </w:tc>
      </w:tr>
      <w:tr>
        <w:trPr>
          <w:trHeight w:val="357" w:hRule="atLeast"/>
        </w:trPr>
        <w:tc>
          <w:tcPr>
            <w:tcW w:w="115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Normal"/>
              <w:widowControl/>
              <w:spacing w:lineRule="exact" w:line="304" w:before="0" w:after="0"/>
              <w:ind w:end="28" w:left="0" w:right="0" w:firstLine="0"/>
              <w:jc w:val="center"/>
              <w:rPr>
                <w:rFonts w:ascii="华文中宋" w:hAnsi="华文中宋" w:eastAsia="华文中宋" w:cs="华文中宋"/>
                <w:color w:val="000000"/>
                <w:w w:val="80"/>
                <w:sz w:val="28"/>
                <w:szCs w:val="28"/>
              </w:rPr>
              <w:snapToGrid w:val="false"/>
            </w:pPr>
            <w:r>
              <w:rPr>
                <w:rFonts w:ascii="Noto Serif CJK SC" w:hAnsi="Noto Serif CJK SC" w:cs="Noto Serif CJK SC" w:hint="eastAsia" w:eastAsia="Noto Serif CJK SC"/>
                <w:b w:val="0"/>
                <w:color w:val="000000"/>
                <w:sz w:val="21"/>
                <w:szCs w:val="28"/>
              </w:rPr>
              <w:t>项目</w:t>
            </w:r>
          </w:p>
          <w:p>
            <w:pPr>
              <w:pStyle w:val="Normal"/>
              <w:widowControl/>
              <w:spacing w:lineRule="exact" w:line="304" w:before="0" w:after="0"/>
              <w:ind w:end="28" w:left="0" w:right="0" w:firstLine="0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  <w:snapToGrid w:val="false"/>
            </w:pPr>
            <w:r>
              <w:rPr>
                <w:rFonts w:ascii="Noto Serif CJK SC" w:hAnsi="Noto Serif CJK SC" w:cs="Noto Serif CJK SC" w:hint="eastAsia" w:eastAsia="Noto Serif CJK SC"/>
                <w:b w:val="0"/>
                <w:color w:val="000000"/>
                <w:sz w:val="21"/>
                <w:szCs w:val="28"/>
              </w:rPr>
              <w:t>成员</w:t>
            </w:r>
            <w:r>
              <w:rPr>
                <w:rFonts w:eastAsia="Noto Serif CJK SC" w:cs="Noto Serif CJK SC" w:hint="eastAsia" w:ascii="Noto Serif CJK SC" w:hAnsi="Noto Serif CJK SC"/>
                <w:b w:val="0"/>
                <w:color w:val="000000"/>
                <w:sz w:val="21"/>
                <w:szCs w:val="28"/>
              </w:rPr>
              <w:t>2</w:t>
            </w:r>
          </w:p>
        </w:tc>
        <w:tc>
          <w:tcPr>
            <w:tcW w:w="86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Normal"/>
              <w:widowControl/>
              <w:spacing w:lineRule="exact" w:line="304" w:before="0" w:after="0"/>
              <w:ind w:end="28" w:left="0" w:right="0" w:firstLine="0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  <w:snapToGrid w:val="false"/>
            </w:pPr>
            <w:r>
              <w:rPr>
                <w:rFonts w:ascii="Noto Serif CJK SC" w:hAnsi="Noto Serif CJK SC" w:cs="Noto Serif CJK SC" w:hint="eastAsia" w:eastAsia="Noto Serif CJK SC"/>
                <w:b w:val="0"/>
                <w:color w:val="000000"/>
                <w:sz w:val="21"/>
                <w:szCs w:val="28"/>
              </w:rPr>
              <w:t>姓名</w:t>
            </w:r>
          </w:p>
        </w:tc>
        <w:tc>
          <w:tcPr>
            <w:tcW w:w="204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widowControl/>
              <w:spacing w:before="0" w:after="0" w:line="304" w:lineRule="exact"/>
              <w:ind w:left="0" w:right="0" w:firstLine="0"/>
              <w:snapToGrid w:val="false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段璞</w:t>
            </w:r>
          </w:p>
        </w:tc>
        <w:tc>
          <w:tcPr>
            <w:tcW w:w="14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Normal"/>
              <w:widowControl/>
              <w:spacing w:lineRule="exact" w:line="304" w:before="0" w:after="0"/>
              <w:ind w:end="28" w:left="0" w:right="0" w:firstLine="0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  <w:snapToGrid w:val="false"/>
            </w:pPr>
            <w:r>
              <w:rPr>
                <w:rFonts w:ascii="Noto Serif CJK SC" w:hAnsi="Noto Serif CJK SC" w:cs="Noto Serif CJK SC" w:hint="eastAsia" w:eastAsia="Noto Serif CJK SC"/>
                <w:b w:val="0"/>
                <w:color w:val="000000"/>
                <w:sz w:val="21"/>
                <w:szCs w:val="28"/>
              </w:rPr>
              <w:t>学号</w:t>
            </w:r>
          </w:p>
        </w:tc>
        <w:tc>
          <w:tcPr>
            <w:tcW w:w="398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widowControl/>
              <w:spacing w:before="0" w:after="0" w:line="304" w:lineRule="exact"/>
              <w:ind w:left="0" w:right="0" w:firstLine="0"/>
              <w:snapToGrid w:val="false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2024321010208</w:t>
            </w:r>
          </w:p>
        </w:tc>
      </w:tr>
      <w:tr>
        <w:trPr>
          <w:trHeight w:val="357" w:hRule="atLeast"/>
        </w:trPr>
        <w:tc>
          <w:tcPr>
            <w:tcW w:w="102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00"/>
              <w:ind w:end="28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</w:pPr>
            <w:r>
              <w:rPr>
                <w:rFonts w:eastAsia="华文中宋" w:cs="华文中宋" w:hint="eastAsia" w:ascii="华文中宋" w:hAnsi="华文中宋"/>
                <w:color w:val="000000"/>
                <w:w w:val="80"/>
                <w:sz w:val="28"/>
                <w:szCs w:val="28"/>
              </w:rPr>
            </w:r>
          </w:p>
        </w:tc>
        <w:tc>
          <w:tcPr>
            <w:tcW w:w="76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00"/>
              <w:ind w:end="28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</w:pPr>
            <w:r>
              <w:rPr>
                <w:rFonts w:eastAsia="华文中宋" w:cs="华文中宋" w:hint="eastAsia" w:ascii="华文中宋" w:hAnsi="华文中宋"/>
                <w:color w:val="000000"/>
                <w:w w:val="80"/>
                <w:sz w:val="28"/>
                <w:szCs w:val="28"/>
              </w:rPr>
            </w:r>
          </w:p>
        </w:tc>
        <w:tc>
          <w:tcPr>
            <w:tcW w:w="180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00"/>
              <w:ind w:end="28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</w:pPr>
            <w:r>
              <w:rPr>
                <w:rFonts w:eastAsia="华文中宋" w:cs="华文中宋" w:hint="eastAsia" w:ascii="华文中宋" w:hAnsi="华文中宋"/>
                <w:color w:val="000000"/>
                <w:w w:val="80"/>
                <w:sz w:val="28"/>
                <w:szCs w:val="28"/>
              </w:rPr>
            </w:r>
          </w:p>
        </w:tc>
        <w:tc>
          <w:tcPr>
            <w:tcW w:w="14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Normal"/>
              <w:widowControl/>
              <w:spacing w:lineRule="exact" w:line="304" w:before="0" w:after="0"/>
              <w:ind w:end="28" w:left="0" w:right="0" w:firstLine="0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  <w:snapToGrid w:val="false"/>
            </w:pPr>
            <w:r>
              <w:rPr>
                <w:rFonts w:ascii="Noto Serif CJK SC" w:hAnsi="Noto Serif CJK SC" w:cs="Noto Serif CJK SC" w:hint="eastAsia" w:eastAsia="Noto Serif CJK SC"/>
                <w:b w:val="0"/>
                <w:color w:val="000000"/>
                <w:sz w:val="21"/>
                <w:szCs w:val="28"/>
              </w:rPr>
              <w:t>院系班级</w:t>
            </w:r>
          </w:p>
        </w:tc>
        <w:tc>
          <w:tcPr>
            <w:tcW w:w="398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widowControl/>
              <w:spacing w:before="0" w:after="0" w:line="304" w:lineRule="exact"/>
              <w:ind w:left="0" w:right="0" w:firstLine="0"/>
              <w:snapToGrid w:val="false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土地科学与技术学院242班</w:t>
            </w:r>
          </w:p>
        </w:tc>
      </w:tr>
      <w:tr>
        <w:trPr>
          <w:trHeight w:val="357" w:hRule="atLeast"/>
        </w:trPr>
        <w:tc>
          <w:tcPr>
            <w:tcW w:w="115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Normal"/>
              <w:widowControl/>
              <w:spacing w:lineRule="exact" w:line="304" w:before="0" w:after="0"/>
              <w:ind w:end="28" w:left="0" w:right="0" w:firstLine="0"/>
              <w:jc w:val="center"/>
              <w:rPr>
                <w:rFonts w:ascii="华文中宋" w:hAnsi="华文中宋" w:eastAsia="华文中宋" w:cs="华文中宋"/>
                <w:color w:val="000000"/>
                <w:w w:val="80"/>
                <w:sz w:val="28"/>
                <w:szCs w:val="28"/>
              </w:rPr>
              <w:snapToGrid w:val="false"/>
            </w:pPr>
            <w:r>
              <w:rPr>
                <w:rFonts w:ascii="Noto Serif CJK SC" w:hAnsi="Noto Serif CJK SC" w:cs="Noto Serif CJK SC" w:hint="eastAsia" w:eastAsia="Noto Serif CJK SC"/>
                <w:b w:val="0"/>
                <w:color w:val="000000"/>
                <w:sz w:val="21"/>
                <w:szCs w:val="28"/>
              </w:rPr>
              <w:t>导师</w:t>
            </w:r>
          </w:p>
          <w:p>
            <w:pPr>
              <w:pStyle w:val="Normal"/>
              <w:widowControl/>
              <w:spacing w:lineRule="exact" w:line="304" w:before="0" w:after="0"/>
              <w:ind w:end="28" w:left="0" w:right="0" w:firstLine="0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  <w:snapToGrid w:val="false"/>
            </w:pPr>
            <w:r>
              <w:rPr>
                <w:rFonts w:ascii="Noto Serif CJK SC" w:hAnsi="Noto Serif CJK SC" w:cs="Noto Serif CJK SC" w:hint="eastAsia" w:eastAsia="Noto Serif CJK SC"/>
                <w:b w:val="0"/>
                <w:color w:val="000000"/>
                <w:sz w:val="21"/>
                <w:szCs w:val="28"/>
              </w:rPr>
              <w:t>情况</w:t>
            </w:r>
          </w:p>
        </w:tc>
        <w:tc>
          <w:tcPr>
            <w:tcW w:w="8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Normal"/>
              <w:widowControl/>
              <w:spacing w:lineRule="exact" w:line="304" w:before="0" w:after="0"/>
              <w:ind w:end="28" w:left="0" w:right="0" w:firstLine="0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  <w:snapToGrid w:val="false"/>
            </w:pPr>
            <w:r>
              <w:rPr>
                <w:rFonts w:ascii="Noto Serif CJK SC" w:hAnsi="Noto Serif CJK SC" w:cs="Noto Serif CJK SC" w:hint="eastAsia" w:eastAsia="Noto Serif CJK SC"/>
                <w:b w:val="0"/>
                <w:color w:val="000000"/>
                <w:sz w:val="21"/>
                <w:szCs w:val="28"/>
              </w:rPr>
              <w:t>姓名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widowControl/>
              <w:spacing w:before="0" w:after="0" w:line="304" w:lineRule="exact"/>
              <w:ind w:left="0" w:right="0" w:firstLine="0"/>
              <w:snapToGrid w:val="false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廖人宽</w:t>
            </w:r>
          </w:p>
        </w:tc>
        <w:tc>
          <w:tcPr>
            <w:tcW w:w="14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Normal"/>
              <w:widowControl/>
              <w:spacing w:lineRule="exact" w:line="304" w:before="0" w:after="0"/>
              <w:ind w:end="28" w:left="0" w:right="0" w:firstLine="0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  <w:snapToGrid w:val="false"/>
            </w:pPr>
            <w:r>
              <w:rPr>
                <w:rFonts w:ascii="Noto Serif CJK SC" w:hAnsi="Noto Serif CJK SC" w:cs="Noto Serif CJK SC" w:hint="eastAsia" w:eastAsia="Noto Serif CJK SC"/>
                <w:b w:val="0"/>
                <w:color w:val="000000"/>
                <w:sz w:val="21"/>
                <w:szCs w:val="28"/>
              </w:rPr>
              <w:t>职务职称</w:t>
            </w:r>
          </w:p>
        </w:tc>
        <w:tc>
          <w:tcPr>
            <w:tcW w:w="398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widowControl/>
              <w:spacing w:before="0" w:after="0" w:line="304" w:lineRule="exact"/>
              <w:ind w:left="0" w:right="0" w:firstLine="0"/>
              <w:snapToGrid w:val="false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教授</w:t>
            </w:r>
          </w:p>
        </w:tc>
      </w:tr>
      <w:tr>
        <w:trPr>
          <w:trHeight w:val="357" w:hRule="atLeast"/>
        </w:trPr>
        <w:tc>
          <w:tcPr>
            <w:tcW w:w="102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00"/>
              <w:ind w:end="28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</w:pPr>
            <w:r>
              <w:rPr>
                <w:rFonts w:eastAsia="华文中宋" w:cs="华文中宋" w:hint="eastAsia" w:ascii="华文中宋" w:hAnsi="华文中宋"/>
                <w:color w:val="000000"/>
                <w:w w:val="80"/>
                <w:sz w:val="28"/>
                <w:szCs w:val="28"/>
              </w:rPr>
            </w:r>
          </w:p>
        </w:tc>
        <w:tc>
          <w:tcPr>
            <w:tcW w:w="8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Normal"/>
              <w:widowControl/>
              <w:spacing w:lineRule="exact" w:line="304" w:before="0" w:after="0"/>
              <w:ind w:end="28" w:left="0" w:right="0" w:firstLine="0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  <w:snapToGrid w:val="false"/>
            </w:pPr>
            <w:r>
              <w:rPr>
                <w:rFonts w:ascii="Noto Serif CJK SC" w:hAnsi="Noto Serif CJK SC" w:cs="Noto Serif CJK SC" w:hint="eastAsia" w:eastAsia="Noto Serif CJK SC"/>
                <w:b w:val="0"/>
                <w:color w:val="000000"/>
                <w:sz w:val="21"/>
                <w:szCs w:val="28"/>
              </w:rPr>
              <w:t>电话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widowControl/>
              <w:spacing w:before="0" w:after="0" w:line="304" w:lineRule="exact"/>
              <w:ind w:left="0" w:right="0" w:firstLine="0"/>
              <w:snapToGrid w:val="false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18600795649</w:t>
            </w:r>
          </w:p>
        </w:tc>
        <w:tc>
          <w:tcPr>
            <w:tcW w:w="14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Normal"/>
              <w:widowControl/>
              <w:spacing w:lineRule="exact" w:line="304" w:before="0" w:after="0"/>
              <w:ind w:end="28" w:left="0" w:right="0" w:firstLine="0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  <w:snapToGrid w:val="false"/>
            </w:pPr>
            <w:r>
              <w:rPr>
                <w:rFonts w:ascii="Noto Serif CJK SC" w:hAnsi="Noto Serif CJK SC" w:cs="Noto Serif CJK SC" w:hint="eastAsia" w:eastAsia="Noto Serif CJK SC"/>
                <w:b w:val="0"/>
                <w:color w:val="000000"/>
                <w:sz w:val="21"/>
                <w:szCs w:val="28"/>
              </w:rPr>
              <w:t>电子邮箱</w:t>
            </w:r>
          </w:p>
        </w:tc>
        <w:tc>
          <w:tcPr>
            <w:tcW w:w="398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widowControl/>
              <w:spacing w:before="0" w:after="0" w:line="304" w:lineRule="exact"/>
              <w:ind w:left="0" w:right="0" w:firstLine="0"/>
              <w:snapToGrid w:val="false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renkuanliao@163.com</w:t>
            </w:r>
          </w:p>
        </w:tc>
      </w:tr>
      <w:tr>
        <w:trPr>
          <w:trHeight w:val="454" w:hRule="atLeast"/>
        </w:trPr>
        <w:tc>
          <w:tcPr>
            <w:tcW w:w="202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Normal"/>
              <w:widowControl/>
              <w:spacing w:lineRule="exact" w:line="304" w:before="0" w:after="0"/>
              <w:ind w:end="28" w:left="0" w:right="0" w:firstLine="0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  <w:snapToGrid w:val="false"/>
            </w:pPr>
            <w:r>
              <w:rPr>
                <w:rFonts w:ascii="Noto Serif CJK SC" w:hAnsi="Noto Serif CJK SC" w:cs="Noto Serif CJK SC" w:hint="eastAsia" w:eastAsia="Noto Serif CJK SC"/>
                <w:b w:val="0"/>
                <w:color w:val="000000"/>
                <w:sz w:val="21"/>
                <w:szCs w:val="28"/>
              </w:rPr>
              <w:t>填表日期</w:t>
            </w:r>
          </w:p>
        </w:tc>
        <w:tc>
          <w:tcPr>
            <w:tcW w:w="7447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widowControl/>
              <w:spacing w:before="0" w:after="0" w:line="304" w:lineRule="exact"/>
              <w:ind w:left="0" w:right="0" w:firstLine="0"/>
              <w:snapToGrid w:val="false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2026年10月21日（请按实际提交日核定）</w:t>
            </w:r>
          </w:p>
        </w:tc>
      </w:tr>
      <w:tr>
        <w:trPr>
          <w:trHeight w:val="454" w:hRule="atLeast"/>
        </w:trPr>
        <w:tc>
          <w:tcPr>
            <w:tcW w:w="9468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Normal"/>
              <w:widowControl/>
              <w:spacing w:lineRule="exact" w:line="304" w:before="0" w:after="0"/>
              <w:ind w:end="28" w:left="0" w:right="0" w:firstLine="0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  <w:snapToGrid w:val="false"/>
            </w:pPr>
            <w:r>
              <w:rPr>
                <w:rFonts w:ascii="Noto Serif CJK SC" w:hAnsi="Noto Serif CJK SC" w:cs="Noto Serif CJK SC" w:hint="eastAsia" w:eastAsia="Noto Serif CJK SC"/>
                <w:b w:val="0"/>
                <w:color w:val="000000"/>
                <w:sz w:val="21"/>
                <w:szCs w:val="28"/>
              </w:rPr>
              <w:t>项目</w:t>
            </w:r>
            <w:r>
              <w:rPr>
                <w:rFonts w:ascii="Noto Serif CJK SC" w:hAnsi="Noto Serif CJK SC" w:cs="Noto Serif CJK SC" w:eastAsia="Noto Serif CJK SC"/>
                <w:b w:val="0"/>
                <w:color w:val="000000"/>
                <w:sz w:val="21"/>
                <w:szCs w:val="28"/>
              </w:rPr>
              <w:t>简介</w:t>
            </w:r>
            <w:r>
              <w:rPr>
                <w:rFonts w:ascii="Noto Serif CJK SC" w:hAnsi="Noto Serif CJK SC" w:cs="Noto Serif CJK SC" w:hint="eastAsia" w:eastAsia="Noto Serif CJK SC"/>
                <w:b w:val="0"/>
                <w:color w:val="000000"/>
                <w:sz w:val="21"/>
                <w:szCs w:val="28"/>
              </w:rPr>
              <w:t>（</w:t>
            </w:r>
            <w:r>
              <w:rPr>
                <w:rFonts w:eastAsia="Noto Serif CJK SC" w:cs="Noto Serif CJK SC" w:hint="eastAsia" w:ascii="Noto Serif CJK SC" w:hAnsi="Noto Serif CJK SC"/>
                <w:b w:val="0"/>
                <w:color w:val="000000"/>
                <w:sz w:val="21"/>
                <w:szCs w:val="28"/>
              </w:rPr>
              <w:t>100</w:t>
            </w:r>
            <w:r>
              <w:rPr>
                <w:rFonts w:ascii="Noto Serif CJK SC" w:hAnsi="Noto Serif CJK SC" w:cs="Noto Serif CJK SC" w:hint="eastAsia" w:eastAsia="Noto Serif CJK SC"/>
                <w:b w:val="0"/>
                <w:color w:val="000000"/>
                <w:sz w:val="21"/>
                <w:szCs w:val="28"/>
              </w:rPr>
              <w:t>字</w:t>
            </w:r>
            <w:r>
              <w:rPr>
                <w:rFonts w:ascii="Noto Serif CJK SC" w:hAnsi="Noto Serif CJK SC" w:cs="Noto Serif CJK SC" w:eastAsia="Noto Serif CJK SC"/>
                <w:b w:val="0"/>
                <w:color w:val="000000"/>
                <w:sz w:val="21"/>
                <w:szCs w:val="28"/>
              </w:rPr>
              <w:t>以内）</w:t>
            </w:r>
          </w:p>
        </w:tc>
      </w:tr>
      <w:tr>
        <w:trPr>
          <w:trHeight w:val="1276" w:hRule="atLeast"/>
        </w:trPr>
        <w:tc>
          <w:tcPr>
            <w:tcW w:w="9468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widowControl/>
              <w:spacing w:before="0" w:after="0" w:line="304" w:lineRule="exact"/>
              <w:ind w:left="0" w:right="0" w:firstLine="0"/>
              <w:snapToGrid w:val="false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面向玉米节水灌溉，融合田间与遥感资料，利用AquaCrop模型和MCMC开展参数校准及不确定性分析，结合敏感性与多情景模拟优化灌溉制度，为提高农业用水效率、保障作物产量提供依据。</w:t>
            </w:r>
          </w:p>
        </w:tc>
      </w:tr>
    </w:tbl>
    <w:p>
      <w:pPr>
        <w:keepNext w:val="0"/>
        <w:widowControl/>
        <w:spacing w:before="0" w:after="0" w:line="275" w:lineRule="exact"/>
        <w:ind w:left="0" w:right="0" w:firstLine="0"/>
        <w:snapToGrid w:val="false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基本信息据立项材料；项目编号与成员分工据项目组补充说明。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444444"/>
          <w:left w:val="single" w:sz="5" w:color="444444"/>
          <w:bottom w:val="single" w:sz="5" w:color="444444"/>
          <w:right w:val="single" w:sz="5" w:color="444444"/>
          <w:insideH w:val="single" w:sz="5" w:color="444444"/>
          <w:insideV w:val="single" w:sz="5" w:color="444444"/>
        </w:tblBorders>
      </w:tblPr>
      <w:tblGrid>
        <w:gridCol w:w="9468"/>
      </w:tblGrid>
      <w:tr>
        <w:tc>
          <w:tcPr>
            <w:tcW w:type="dxa" w:w="9468"/>
            <w:vAlign w:val="center"/>
            <w:tcMar>
              <w:top w:w="130" w:type="dxa"/>
              <w:left w:w="130" w:type="dxa"/>
              <w:bottom w:w="130" w:type="dxa"/>
              <w:right w:w="130" w:type="dxa"/>
            </w:tcMar>
          </w:tcPr>
          <w:p>
            <w:pPr>
              <w:widowControl/>
              <w:spacing w:before="0" w:after="0" w:line="40" w:lineRule="exact"/>
              <w:ind w:left="0" w:right="0" w:firstLine="0"/>
              <w:snapToGrid w:val="false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"/>
              </w:rPr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4" w:color="999999"/>
                <w:left w:val="single" w:sz="4" w:color="999999"/>
                <w:bottom w:val="single" w:sz="4" w:color="999999"/>
                <w:right w:val="single" w:sz="4" w:color="999999"/>
                <w:insideH w:val="single" w:sz="4" w:color="999999"/>
                <w:insideV w:val="single" w:sz="4" w:color="999999"/>
              </w:tblBorders>
            </w:tblPr>
            <w:tblGrid>
              <w:gridCol w:w="1757"/>
              <w:gridCol w:w="2324"/>
              <w:gridCol w:w="4706"/>
            </w:tblGrid>
            <w:tr>
              <w:trPr>
                <w:trHeight w:hRule="atLeast" w:val="425"/>
              </w:trPr>
              <w:tc>
                <w:tcPr>
                  <w:tcW w:type="dxa" w:w="1757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  <w:shd w:fill="EEF2F4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ans CJK SC" w:hAnsi="Noto Sans CJK SC" w:eastAsia="Noto Sans CJK SC" w:cs="Noto Sans CJK SC"/>
                      <w:b/>
                      <w:color w:val="000000"/>
                      <w:sz w:val="20"/>
                    </w:rPr>
                    <w:t>项目组成员</w:t>
                  </w:r>
                </w:p>
              </w:tc>
              <w:tc>
                <w:tcPr>
                  <w:tcW w:type="dxa" w:w="2324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  <w:shd w:fill="EEF2F4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ans CJK SC" w:hAnsi="Noto Sans CJK SC" w:eastAsia="Noto Sans CJK SC" w:cs="Noto Sans CJK SC"/>
                      <w:b/>
                      <w:color w:val="000000"/>
                      <w:sz w:val="20"/>
                    </w:rPr>
                    <w:t>具体分工</w:t>
                  </w:r>
                </w:p>
              </w:tc>
              <w:tc>
                <w:tcPr>
                  <w:tcW w:type="dxa" w:w="4706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  <w:shd w:fill="EEF2F4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ans CJK SC" w:hAnsi="Noto Sans CJK SC" w:eastAsia="Noto Sans CJK SC" w:cs="Noto Sans CJK SC"/>
                      <w:b/>
                      <w:color w:val="000000"/>
                      <w:sz w:val="20"/>
                    </w:rPr>
                    <w:t>个人完成情况及对项目的贡献</w:t>
                  </w:r>
                </w:p>
              </w:tc>
            </w:tr>
            <w:tr>
              <w:trPr>
                <w:trHeight w:hRule="atLeast" w:val="425"/>
              </w:trPr>
              <w:tc>
                <w:tcPr>
                  <w:tcW w:type="dxa" w:w="1757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left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吴雨臻（组长）</w:t>
                  </w:r>
                </w:p>
              </w:tc>
              <w:tc>
                <w:tcPr>
                  <w:tcW w:type="dxa" w:w="2324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left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统筹、核心模型与结果解释</w:t>
                  </w:r>
                </w:p>
              </w:tc>
              <w:tc>
                <w:tcPr>
                  <w:tcW w:type="dxa" w:w="4706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left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统筹四年研究方案，负责MCMC衔接、真实模型敏感性与优化分析，组织根深、覆膜、储水及算法诊断，完成核心论证与成果整合。</w:t>
                  </w:r>
                </w:p>
              </w:tc>
            </w:tr>
            <w:tr>
              <w:trPr>
                <w:trHeight w:hRule="atLeast" w:val="425"/>
              </w:trPr>
              <w:tc>
                <w:tcPr>
                  <w:tcW w:type="dxa" w:w="1757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left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李承昊</w:t>
                  </w:r>
                </w:p>
              </w:tc>
              <w:tc>
                <w:tcPr>
                  <w:tcW w:type="dxa" w:w="2324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left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数据处理、评价与图表</w:t>
                  </w:r>
                </w:p>
              </w:tc>
              <w:tc>
                <w:tcPr>
                  <w:tcW w:type="dxa" w:w="4706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left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整理四年气象、遥感和观测配对资料，复算拟合指标，协助逐日水量核查，制作和规范英文图、数据表及论文图表。</w:t>
                  </w:r>
                </w:p>
              </w:tc>
            </w:tr>
            <w:tr>
              <w:trPr>
                <w:trHeight w:hRule="atLeast" w:val="425"/>
              </w:trPr>
              <w:tc>
                <w:tcPr>
                  <w:tcW w:type="dxa" w:w="1757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left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段璞</w:t>
                  </w:r>
                </w:p>
              </w:tc>
              <w:tc>
                <w:tcPr>
                  <w:tcW w:type="dxa" w:w="2324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left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文献、归档与校对</w:t>
                  </w:r>
                </w:p>
              </w:tc>
              <w:tc>
                <w:tcPr>
                  <w:tcW w:type="dxa" w:w="4706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left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查阅和核对参考文献、试验与土壤资料，整理代码和结果索引，参与成果包归档、报告及中英文稿件校对。</w:t>
                  </w:r>
                </w:p>
              </w:tc>
            </w:tr>
          </w:tbl>
          <w:p/>
          <w:p>
            <w:pPr>
              <w:keepNext w:val="0"/>
              <w:widowControl/>
              <w:spacing w:before="0" w:after="120" w:line="275" w:lineRule="exact"/>
              <w:ind w:left="0" w:right="0" w:firstLine="0"/>
              <w:snapToGrid w:val="false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成员围绕模型分析、数据可视化和资料整理协作推进，下述为项目整体进展。</w:t>
            </w:r>
          </w:p>
          <w:p>
            <w:pPr>
              <w:keepNext/>
              <w:widowControl/>
              <w:spacing w:before="40" w:after="160" w:line="362" w:lineRule="exact"/>
              <w:ind w:left="0" w:right="0" w:firstLine="0"/>
              <w:snapToGrid w:val="false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25"/>
              </w:rPr>
              <w:t>一、项目研究进展情况（研究内容、方法、进度等）</w:t>
            </w:r>
          </w:p>
          <w:p>
            <w:pPr>
              <w:widowControl/>
              <w:spacing w:before="0" w:after="120" w:line="319" w:lineRule="exact"/>
              <w:ind w:left="0" w:right="0" w:firstLine="0"/>
              <w:snapToGrid w:val="false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22"/>
              </w:rPr>
              <w:t xml:space="preserve">1. 研究范围与资料基础。 </w:t>
            </w: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  <w:t>围绕立项的灌溉制度优化问题，目前聚焦甘肃武威2019—2022年DI覆膜玉米，已完成气象、ETo、NDVI/遥感、LAI换算CC、初始水、灌水、生物量和季节产量资料的溯源整理。未将尚未实现的喷灌对照或遥感动态同化列为已完成内容。</w:t>
            </w:r>
          </w:p>
          <w:p>
            <w:pPr>
              <w:widowControl/>
              <w:spacing w:before="0" w:after="120" w:line="319" w:lineRule="exact"/>
              <w:ind w:left="0" w:right="0" w:firstLine="0"/>
              <w:snapToGrid w:val="false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22"/>
              </w:rPr>
              <w:t xml:space="preserve">2. 四年两阶段MCMC成果贯通。 </w:t>
            </w: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  <w:t>阶段一校准冠层与蒸腾相关5参数，阶段二条件拟合3个生产参数。原每组32 walkers、2000步，四年16组阶段一与4组阶段二检查点已复核，2022完整阶段二已接入。另完成2021根深1 m及覆膜系数三情景的500步条件试验，并检查边界和采样局限。</w:t>
            </w:r>
          </w:p>
          <w:p>
            <w:pPr>
              <w:widowControl/>
              <w:spacing w:before="0" w:after="120" w:line="319" w:lineRule="exact"/>
              <w:ind w:left="0" w:right="0" w:firstLine="0"/>
              <w:snapToGrid w:val="false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22"/>
              </w:rPr>
              <w:t xml:space="preserve">3. 真实模型Sobol与遗传优化。 </w:t>
            </w: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  <w:t>已完成四年八参数六输出Sobol递增样本及重复种子计算；N512主分析61440次模型评估。NSGA-III/II各5种子、100个体×100代，四年正式搜索400000次评估，另有完整低水量区间补充前沿。全部设计、响应、种子与逐代记录已保存。</w:t>
            </w:r>
          </w:p>
          <w:p>
            <w:pPr>
              <w:widowControl/>
              <w:spacing w:before="0" w:after="120" w:line="319" w:lineRule="exact"/>
              <w:ind w:left="0" w:right="0" w:firstLine="0"/>
              <w:snapToGrid w:val="false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22"/>
              </w:rPr>
              <w:t xml:space="preserve">4. 机制审计与补充验证。 </w:t>
            </w: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  <w:t>围绕低灌水高产现象，完成根深、覆膜、水分胁迫与分层储水核查、降水替换224次及单目标GA/NSGA-II/退火/差分进化验证。后者含253440次查询、217084次实际优化模型调用。不同算法仍可找到低水量解，解释重点转向季末储水及实施约束。</w:t>
            </w:r>
          </w:p>
          <w:p>
            <w:pPr>
              <w:widowControl/>
              <w:spacing w:before="0" w:after="120" w:line="319" w:lineRule="exact"/>
              <w:ind w:left="0" w:right="0" w:firstLine="0"/>
              <w:snapToGrid w:val="false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22"/>
              </w:rPr>
              <w:t xml:space="preserve">5. 成果整理与当前状态。 </w:t>
            </w: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  <w:t>主要计算模块已经运行并形成结果；四年英文图表、中英文完整论文初稿和按阶段整理的科研归档已编制。拟合不等于充分收敛或独立田间验证，当前转入证据核对、限制说明、导师讨论及正式成果凝练阶段。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444444"/>
          <w:left w:val="single" w:sz="5" w:color="444444"/>
          <w:bottom w:val="single" w:sz="5" w:color="444444"/>
          <w:right w:val="single" w:sz="5" w:color="444444"/>
          <w:insideH w:val="single" w:sz="5" w:color="444444"/>
          <w:insideV w:val="single" w:sz="5" w:color="444444"/>
        </w:tblBorders>
      </w:tblPr>
      <w:tblGrid>
        <w:gridCol w:w="9468"/>
      </w:tblGrid>
      <w:tr>
        <w:tc>
          <w:tcPr>
            <w:tcW w:type="dxa" w:w="9468"/>
            <w:vAlign w:val="center"/>
            <w:tcMar>
              <w:top w:w="130" w:type="dxa"/>
              <w:left w:w="130" w:type="dxa"/>
              <w:bottom w:w="130" w:type="dxa"/>
              <w:right w:w="130" w:type="dxa"/>
            </w:tcMar>
          </w:tcPr>
          <w:p>
            <w:pPr>
              <w:widowControl/>
              <w:spacing w:before="0" w:after="0" w:line="40" w:lineRule="exact"/>
              <w:ind w:left="0" w:right="0" w:firstLine="0"/>
              <w:snapToGrid w:val="false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"/>
              </w:rPr>
            </w:r>
          </w:p>
          <w:p>
            <w:pPr>
              <w:keepNext/>
              <w:widowControl/>
              <w:spacing w:before="40" w:after="160" w:line="362" w:lineRule="exact"/>
              <w:ind w:left="0" w:right="0" w:firstLine="0"/>
              <w:snapToGrid w:val="false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25"/>
              </w:rPr>
              <w:t>二、项目研究已取得阶段性成果和收获（须提供相关证明材料）</w:t>
            </w:r>
          </w:p>
          <w:p>
            <w:pPr>
              <w:widowControl/>
              <w:spacing w:before="0" w:after="120" w:line="319" w:lineRule="exact"/>
              <w:ind w:left="0" w:right="0" w:firstLine="0"/>
              <w:snapToGrid w:val="false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22"/>
              </w:rPr>
              <w:t xml:space="preserve">1. 建立完整、可追溯的研究证据链。 </w:t>
            </w: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  <w:t>四年48个CC、37个生物量配对可回溯至源表及逐日模型。四年原始长链、阶段二、个别补充诊断源码、Sobol矩阵、遗传评估与每代结果均按科研阶段归档，附文件索引和SHA256。</w:t>
            </w:r>
          </w:p>
          <w:p>
            <w:pPr>
              <w:widowControl/>
              <w:spacing w:before="0" w:after="120" w:line="319" w:lineRule="exact"/>
              <w:ind w:left="0" w:right="0" w:firstLine="0"/>
              <w:snapToGrid w:val="false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22"/>
              </w:rPr>
              <w:t xml:space="preserve">2. 获得多输出校准与敏感性结果。 </w:t>
            </w: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  <w:t>CC的R²cal为0.9306—0.9932，生物量为0.9685—0.9966；年度产量偏差约−4.18%至+0.92%。公共独立参数范围下，晚期WP与HI0为产量主要敏感参数，四年ST描述均值约0.396与0.206。</w:t>
            </w:r>
          </w:p>
          <w:p>
            <w:pPr>
              <w:widowControl/>
              <w:spacing w:before="0" w:after="120" w:line="319" w:lineRule="exact"/>
              <w:ind w:left="0" w:right="0" w:firstLine="0"/>
              <w:snapToGrid w:val="false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22"/>
              </w:rPr>
              <w:t xml:space="preserve">3. 形成灌水—产量前沿及物理解释。 </w:t>
            </w: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  <w:t>原95%观测门槛候选减灌约35.6%—57.8%，ET仅降1.4%—5.2%；季末储水差解释约83%—97%的减灌量。由此识别单季、无储水底线优化的适用边界，没有将较大的模型减灌百分数等同可推广的田间定额。</w:t>
            </w:r>
          </w:p>
          <w:p>
            <w:pPr>
              <w:widowControl/>
              <w:spacing w:before="0" w:after="120" w:line="319" w:lineRule="exact"/>
              <w:ind w:left="0" w:right="0" w:firstLine="0"/>
              <w:snapToGrid w:val="false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22"/>
              </w:rPr>
              <w:t xml:space="preserve">4. 完成多情景核验和成果表达。 </w:t>
            </w: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  <w:t>完成2021覆膜三情景条件拟合及90000次NSGA-III评估，形成胁迫、冠层、储水和前沿图；完成四算法单目标验证。中英文论文各含14图、7张三线表，当前为论文初稿，未声称已发表、录用或取得奖项。</w:t>
            </w:r>
          </w:p>
          <w:p>
            <w:pPr>
              <w:keepNext/>
              <w:widowControl/>
              <w:spacing w:before="40" w:after="160" w:line="319" w:lineRule="exact"/>
              <w:ind w:left="0" w:right="0" w:firstLine="0"/>
              <w:snapToGrid w:val="false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22"/>
              </w:rPr>
              <w:t>表1  四年校准拟合指标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4" w:color="999999"/>
                <w:left w:val="single" w:sz="4" w:color="999999"/>
                <w:bottom w:val="single" w:sz="4" w:color="999999"/>
                <w:right w:val="single" w:sz="4" w:color="999999"/>
                <w:insideH w:val="single" w:sz="4" w:color="999999"/>
                <w:insideV w:val="single" w:sz="4" w:color="999999"/>
              </w:tblBorders>
            </w:tblPr>
            <w:tblGrid>
              <w:gridCol w:w="737"/>
              <w:gridCol w:w="1020"/>
              <w:gridCol w:w="1134"/>
              <w:gridCol w:w="1191"/>
              <w:gridCol w:w="1191"/>
              <w:gridCol w:w="1417"/>
              <w:gridCol w:w="1191"/>
            </w:tblGrid>
            <w:tr>
              <w:trPr>
                <w:trHeight w:hRule="atLeast" w:val="425"/>
              </w:trPr>
              <w:tc>
                <w:tcPr>
                  <w:tcW w:type="dxa" w:w="737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  <w:shd w:fill="EEF2F4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ans CJK SC" w:hAnsi="Noto Sans CJK SC" w:eastAsia="Noto Sans CJK SC" w:cs="Noto Sans CJK SC"/>
                      <w:b/>
                      <w:color w:val="000000"/>
                      <w:sz w:val="20"/>
                    </w:rPr>
                    <w:t>年份</w:t>
                  </w:r>
                </w:p>
              </w:tc>
              <w:tc>
                <w:tcPr>
                  <w:tcW w:type="dxa" w:w="1020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  <w:shd w:fill="EEF2F4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ans CJK SC" w:hAnsi="Noto Sans CJK SC" w:eastAsia="Noto Sans CJK SC" w:cs="Noto Sans CJK SC"/>
                      <w:b/>
                      <w:color w:val="000000"/>
                      <w:sz w:val="20"/>
                    </w:rPr>
                    <w:t>配对数</w:t>
                    <w:br/>
                    <w:t>CC/B</w:t>
                  </w:r>
                </w:p>
              </w:tc>
              <w:tc>
                <w:tcPr>
                  <w:tcW w:type="dxa" w:w="1134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  <w:shd w:fill="EEF2F4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ans CJK SC" w:hAnsi="Noto Sans CJK SC" w:eastAsia="Noto Sans CJK SC" w:cs="Noto Sans CJK SC"/>
                      <w:b/>
                      <w:color w:val="000000"/>
                      <w:sz w:val="20"/>
                    </w:rPr>
                    <w:t>CC</w:t>
                    <w:br/>
                    <w:t>R²</w:t>
                  </w:r>
                </w:p>
              </w:tc>
              <w:tc>
                <w:tcPr>
                  <w:tcW w:type="dxa" w:w="1191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  <w:shd w:fill="EEF2F4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ans CJK SC" w:hAnsi="Noto Sans CJK SC" w:eastAsia="Noto Sans CJK SC" w:cs="Noto Sans CJK SC"/>
                      <w:b/>
                      <w:color w:val="000000"/>
                      <w:sz w:val="20"/>
                    </w:rPr>
                    <w:t>CC</w:t>
                    <w:br/>
                    <w:t>RMSE</w:t>
                  </w:r>
                </w:p>
              </w:tc>
              <w:tc>
                <w:tcPr>
                  <w:tcW w:type="dxa" w:w="1191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  <w:shd w:fill="EEF2F4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ans CJK SC" w:hAnsi="Noto Sans CJK SC" w:eastAsia="Noto Sans CJK SC" w:cs="Noto Sans CJK SC"/>
                      <w:b/>
                      <w:color w:val="000000"/>
                      <w:sz w:val="20"/>
                    </w:rPr>
                    <w:t>生物量</w:t>
                    <w:br/>
                    <w:t>R²</w:t>
                  </w:r>
                </w:p>
              </w:tc>
              <w:tc>
                <w:tcPr>
                  <w:tcW w:type="dxa" w:w="1417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  <w:shd w:fill="EEF2F4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ans CJK SC" w:hAnsi="Noto Sans CJK SC" w:eastAsia="Noto Sans CJK SC" w:cs="Noto Sans CJK SC"/>
                      <w:b/>
                      <w:color w:val="000000"/>
                      <w:sz w:val="20"/>
                    </w:rPr>
                    <w:t>生物量</w:t>
                    <w:br/>
                    <w:t>RMSE</w:t>
                  </w:r>
                </w:p>
              </w:tc>
              <w:tc>
                <w:tcPr>
                  <w:tcW w:type="dxa" w:w="1191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  <w:shd w:fill="EEF2F4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ans CJK SC" w:hAnsi="Noto Sans CJK SC" w:eastAsia="Noto Sans CJK SC" w:cs="Noto Sans CJK SC"/>
                      <w:b/>
                      <w:color w:val="000000"/>
                      <w:sz w:val="20"/>
                    </w:rPr>
                    <w:t>产量</w:t>
                    <w:br/>
                    <w:t>误差%</w:t>
                  </w:r>
                </w:p>
              </w:tc>
            </w:tr>
            <w:tr>
              <w:trPr>
                <w:trHeight w:hRule="atLeast" w:val="425"/>
              </w:trPr>
              <w:tc>
                <w:tcPr>
                  <w:tcW w:type="dxa" w:w="737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2019</w:t>
                  </w:r>
                </w:p>
              </w:tc>
              <w:tc>
                <w:tcPr>
                  <w:tcW w:type="dxa" w:w="1020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12/9</w:t>
                  </w:r>
                </w:p>
              </w:tc>
              <w:tc>
                <w:tcPr>
                  <w:tcW w:type="dxa" w:w="1134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0.9932</w:t>
                  </w:r>
                </w:p>
              </w:tc>
              <w:tc>
                <w:tcPr>
                  <w:tcW w:type="dxa" w:w="1191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0.0316</w:t>
                  </w:r>
                </w:p>
              </w:tc>
              <w:tc>
                <w:tcPr>
                  <w:tcW w:type="dxa" w:w="1191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0.9926</w:t>
                  </w:r>
                </w:p>
              </w:tc>
              <w:tc>
                <w:tcPr>
                  <w:tcW w:type="dxa" w:w="1417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1.0498</w:t>
                  </w:r>
                </w:p>
              </w:tc>
              <w:tc>
                <w:tcPr>
                  <w:tcW w:type="dxa" w:w="1191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+0.92</w:t>
                  </w:r>
                </w:p>
              </w:tc>
            </w:tr>
            <w:tr>
              <w:trPr>
                <w:trHeight w:hRule="atLeast" w:val="425"/>
              </w:trPr>
              <w:tc>
                <w:tcPr>
                  <w:tcW w:type="dxa" w:w="737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2020</w:t>
                  </w:r>
                </w:p>
              </w:tc>
              <w:tc>
                <w:tcPr>
                  <w:tcW w:type="dxa" w:w="1020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13/10</w:t>
                  </w:r>
                </w:p>
              </w:tc>
              <w:tc>
                <w:tcPr>
                  <w:tcW w:type="dxa" w:w="1134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0.9794</w:t>
                  </w:r>
                </w:p>
              </w:tc>
              <w:tc>
                <w:tcPr>
                  <w:tcW w:type="dxa" w:w="1191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0.0482</w:t>
                  </w:r>
                </w:p>
              </w:tc>
              <w:tc>
                <w:tcPr>
                  <w:tcW w:type="dxa" w:w="1191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0.9766</w:t>
                  </w:r>
                </w:p>
              </w:tc>
              <w:tc>
                <w:tcPr>
                  <w:tcW w:type="dxa" w:w="1417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1.1393</w:t>
                  </w:r>
                </w:p>
              </w:tc>
              <w:tc>
                <w:tcPr>
                  <w:tcW w:type="dxa" w:w="1191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-2.81</w:t>
                  </w:r>
                </w:p>
              </w:tc>
            </w:tr>
            <w:tr>
              <w:trPr>
                <w:trHeight w:hRule="atLeast" w:val="425"/>
              </w:trPr>
              <w:tc>
                <w:tcPr>
                  <w:tcW w:type="dxa" w:w="737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2021</w:t>
                  </w:r>
                </w:p>
              </w:tc>
              <w:tc>
                <w:tcPr>
                  <w:tcW w:type="dxa" w:w="1020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11/8</w:t>
                  </w:r>
                </w:p>
              </w:tc>
              <w:tc>
                <w:tcPr>
                  <w:tcW w:type="dxa" w:w="1134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0.9902</w:t>
                  </w:r>
                </w:p>
              </w:tc>
              <w:tc>
                <w:tcPr>
                  <w:tcW w:type="dxa" w:w="1191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0.0370</w:t>
                  </w:r>
                </w:p>
              </w:tc>
              <w:tc>
                <w:tcPr>
                  <w:tcW w:type="dxa" w:w="1191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0.9685</w:t>
                  </w:r>
                </w:p>
              </w:tc>
              <w:tc>
                <w:tcPr>
                  <w:tcW w:type="dxa" w:w="1417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1.2520</w:t>
                  </w:r>
                </w:p>
              </w:tc>
              <w:tc>
                <w:tcPr>
                  <w:tcW w:type="dxa" w:w="1191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-4.18</w:t>
                  </w:r>
                </w:p>
              </w:tc>
            </w:tr>
            <w:tr>
              <w:trPr>
                <w:trHeight w:hRule="atLeast" w:val="425"/>
              </w:trPr>
              <w:tc>
                <w:tcPr>
                  <w:tcW w:type="dxa" w:w="737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2022</w:t>
                  </w:r>
                </w:p>
              </w:tc>
              <w:tc>
                <w:tcPr>
                  <w:tcW w:type="dxa" w:w="1020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12/10</w:t>
                  </w:r>
                </w:p>
              </w:tc>
              <w:tc>
                <w:tcPr>
                  <w:tcW w:type="dxa" w:w="1134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0.9306</w:t>
                  </w:r>
                </w:p>
              </w:tc>
              <w:tc>
                <w:tcPr>
                  <w:tcW w:type="dxa" w:w="1191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0.0596</w:t>
                  </w:r>
                </w:p>
              </w:tc>
              <w:tc>
                <w:tcPr>
                  <w:tcW w:type="dxa" w:w="1191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0.9966</w:t>
                  </w:r>
                </w:p>
              </w:tc>
              <w:tc>
                <w:tcPr>
                  <w:tcW w:type="dxa" w:w="1417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0.5562</w:t>
                  </w:r>
                </w:p>
              </w:tc>
              <w:tc>
                <w:tcPr>
                  <w:tcW w:type="dxa" w:w="1191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-0.02</w:t>
                  </w:r>
                </w:p>
              </w:tc>
            </w:tr>
          </w:tbl>
          <w:p/>
          <w:p>
            <w:pPr>
              <w:keepNext w:val="0"/>
              <w:widowControl/>
              <w:spacing w:before="0" w:after="140" w:line="275" w:lineRule="exact"/>
              <w:ind w:left="0" w:right="0" w:firstLine="0"/>
              <w:snapToGrid w:val="false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注：B为地上干生物量；CC为比例，生物量RMSE单位为t/ha。R²=1−SSE/SST；产量统一为13%含水率，误差=(模拟−观测)/观测×100%。单年仅一个产量配对，不计算单年产量R²。</w:t>
            </w:r>
          </w:p>
          <w:p>
            <w:pPr>
              <w:keepNext/>
              <w:widowControl/>
              <w:spacing w:before="40" w:after="160" w:line="319" w:lineRule="exact"/>
              <w:ind w:left="0" w:right="0" w:firstLine="0"/>
              <w:snapToGrid w:val="false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22"/>
              </w:rPr>
              <w:t>证明材料对应关系</w:t>
            </w:r>
          </w:p>
          <w:p>
            <w:pPr>
              <w:keepNext w:val="0"/>
              <w:widowControl/>
              <w:spacing w:before="0" w:after="100" w:line="304" w:lineRule="exact"/>
              <w:ind w:left="0" w:right="0" w:firstLine="0"/>
              <w:snapToGrid w:val="false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附件1—5展示四年CC、生物量、Sobol、前沿及水量解释。完整结果、逐代/逐查询记录与中英文论文在分阶段科研包内；指标和处理口径以对应源表与README为准。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444444"/>
          <w:left w:val="single" w:sz="5" w:color="444444"/>
          <w:bottom w:val="single" w:sz="5" w:color="444444"/>
          <w:right w:val="single" w:sz="5" w:color="444444"/>
          <w:insideH w:val="single" w:sz="5" w:color="444444"/>
          <w:insideV w:val="single" w:sz="5" w:color="444444"/>
        </w:tblBorders>
      </w:tblPr>
      <w:tblGrid>
        <w:gridCol w:w="9468"/>
      </w:tblGrid>
      <w:tr>
        <w:tc>
          <w:tcPr>
            <w:tcW w:type="dxa" w:w="9468"/>
            <w:vAlign w:val="center"/>
            <w:tcMar>
              <w:top w:w="130" w:type="dxa"/>
              <w:left w:w="130" w:type="dxa"/>
              <w:bottom w:w="130" w:type="dxa"/>
              <w:right w:w="130" w:type="dxa"/>
            </w:tcMar>
          </w:tcPr>
          <w:p>
            <w:pPr>
              <w:widowControl/>
              <w:spacing w:before="0" w:after="0" w:line="40" w:lineRule="exact"/>
              <w:ind w:left="0" w:right="0" w:firstLine="0"/>
              <w:snapToGrid w:val="false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"/>
              </w:rPr>
            </w:r>
          </w:p>
          <w:p>
            <w:pPr>
              <w:keepNext/>
              <w:widowControl/>
              <w:spacing w:before="40" w:after="160" w:line="362" w:lineRule="exact"/>
              <w:ind w:left="0" w:right="0" w:firstLine="0"/>
              <w:snapToGrid w:val="false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25"/>
              </w:rPr>
              <w:t>三、项目研究存在的主要问题及应对思路与措施</w:t>
            </w:r>
          </w:p>
          <w:p>
            <w:pPr>
              <w:widowControl/>
              <w:spacing w:before="0" w:after="120" w:line="310" w:lineRule="exact"/>
              <w:ind w:left="0" w:right="0" w:firstLine="0"/>
              <w:snapToGrid w:val="false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21"/>
              </w:rPr>
              <w:t xml:space="preserve">1. 收敛与边界问题仍需保留。 </w:t>
            </w: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部分参数在先验边界附近集中，原阶段一未通过全部严格诊断，2021短链试验也不能认证充分收敛。将候选解释为条件模型结果，后续依独立初始化、误差模型和可辨识性开展补强。</w:t>
            </w:r>
          </w:p>
          <w:p>
            <w:pPr>
              <w:widowControl/>
              <w:spacing w:before="0" w:after="120" w:line="310" w:lineRule="exact"/>
              <w:ind w:left="0" w:right="0" w:firstLine="0"/>
              <w:snapToGrid w:val="false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21"/>
              </w:rPr>
              <w:t xml:space="preserve">2. 低灌水候选依赖储水条件。 </w:t>
            </w: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原搜索没有季末储水底线与额外硬件单次上限，部分方案可能难实施。下一步以实测分层水分和设备能力定义约束，避免为获得预设400 mm而调参。</w:t>
            </w:r>
          </w:p>
          <w:p>
            <w:pPr>
              <w:widowControl/>
              <w:spacing w:before="0" w:after="120" w:line="310" w:lineRule="exact"/>
              <w:ind w:left="0" w:right="0" w:firstLine="0"/>
              <w:snapToGrid w:val="false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21"/>
              </w:rPr>
              <w:t xml:space="preserve">3. 资料来源仍有不确定性。 </w:t>
            </w: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论文日雨量图是数字化近似而非原始站点记录，GEE导出元数据与遥感处理标签需完善。土壤实测约1 m，更深层外推与初始水需要核查；新覆膜情景Es仍偏低，不能只凭产量选参数。</w:t>
            </w:r>
          </w:p>
          <w:p>
            <w:pPr>
              <w:widowControl/>
              <w:spacing w:before="0" w:after="120" w:line="310" w:lineRule="exact"/>
              <w:ind w:left="0" w:right="0" w:firstLine="0"/>
              <w:snapToGrid w:val="false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21"/>
              </w:rPr>
              <w:t xml:space="preserve">4. 立项范围与成果口径需核定。 </w:t>
            </w: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本阶段主要完成DI玉米的模型研究，喷灌对照、动态同化、稳健优化与独立田间试验未获完成证据。与导师核定范围及结题表达；申请书预期效率提升30%不能直接列为实绩。</w:t>
            </w:r>
          </w:p>
          <w:p>
            <w:pPr>
              <w:keepNext/>
              <w:widowControl/>
              <w:spacing w:before="40" w:after="160" w:line="362" w:lineRule="exact"/>
              <w:ind w:left="0" w:right="0" w:firstLine="0"/>
              <w:snapToGrid w:val="false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25"/>
              </w:rPr>
              <w:t>四、项目研究下阶段主要任务及时间进程安排</w:t>
            </w:r>
          </w:p>
          <w:p>
            <w:pPr>
              <w:keepNext w:val="0"/>
              <w:widowControl/>
              <w:spacing w:before="0" w:after="120" w:line="304" w:lineRule="exact"/>
              <w:ind w:left="0" w:right="0" w:firstLine="0"/>
              <w:snapToGrid w:val="false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主要模型计算已完成，下面安排侧重核对、必要补强、导师审阅及结题表达；具体日期按学校节点核定。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4" w:color="999999"/>
                <w:left w:val="single" w:sz="4" w:color="999999"/>
                <w:bottom w:val="single" w:sz="4" w:color="999999"/>
                <w:right w:val="single" w:sz="4" w:color="999999"/>
                <w:insideH w:val="single" w:sz="4" w:color="999999"/>
                <w:insideV w:val="single" w:sz="4" w:color="999999"/>
              </w:tblBorders>
            </w:tblPr>
            <w:tblGrid>
              <w:gridCol w:w="1247"/>
              <w:gridCol w:w="4252"/>
              <w:gridCol w:w="3288"/>
            </w:tblGrid>
            <w:tr>
              <w:trPr>
                <w:trHeight w:hRule="atLeast" w:val="425"/>
              </w:trPr>
              <w:tc>
                <w:tcPr>
                  <w:tcW w:type="dxa" w:w="1247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  <w:shd w:fill="EEF2F4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ans CJK SC" w:hAnsi="Noto Sans CJK SC" w:eastAsia="Noto Sans CJK SC" w:cs="Noto Sans CJK SC"/>
                      <w:b/>
                      <w:color w:val="000000"/>
                      <w:sz w:val="20"/>
                    </w:rPr>
                    <w:t>相对进程</w:t>
                  </w:r>
                </w:p>
              </w:tc>
              <w:tc>
                <w:tcPr>
                  <w:tcW w:type="dxa" w:w="4252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  <w:shd w:fill="EEF2F4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ans CJK SC" w:hAnsi="Noto Sans CJK SC" w:eastAsia="Noto Sans CJK SC" w:cs="Noto Sans CJK SC"/>
                      <w:b/>
                      <w:color w:val="000000"/>
                      <w:sz w:val="20"/>
                    </w:rPr>
                    <w:t>主要任务</w:t>
                  </w:r>
                </w:p>
              </w:tc>
              <w:tc>
                <w:tcPr>
                  <w:tcW w:type="dxa" w:w="3288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  <w:shd w:fill="EEF2F4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ans CJK SC" w:hAnsi="Noto Sans CJK SC" w:eastAsia="Noto Sans CJK SC" w:cs="Noto Sans CJK SC"/>
                      <w:b/>
                      <w:color w:val="000000"/>
                      <w:sz w:val="20"/>
                    </w:rPr>
                    <w:t>交付与检查</w:t>
                  </w:r>
                </w:p>
              </w:tc>
            </w:tr>
            <w:tr>
              <w:trPr>
                <w:trHeight w:hRule="atLeast" w:val="425"/>
              </w:trPr>
              <w:tc>
                <w:tcPr>
                  <w:tcW w:type="dxa" w:w="1247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left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10月下旬</w:t>
                  </w:r>
                </w:p>
              </w:tc>
              <w:tc>
                <w:tcPr>
                  <w:tcW w:type="dxa" w:w="4252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left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完成模型结果、图表、引用和阶段归档的最终交叉核对；与导师确认项目范围。</w:t>
                  </w:r>
                </w:p>
              </w:tc>
              <w:tc>
                <w:tcPr>
                  <w:tcW w:type="dxa" w:w="3288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left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核定的数据/代码索引与报告。</w:t>
                  </w:r>
                </w:p>
              </w:tc>
            </w:tr>
            <w:tr>
              <w:trPr>
                <w:trHeight w:hRule="atLeast" w:val="425"/>
              </w:trPr>
              <w:tc>
                <w:tcPr>
                  <w:tcW w:type="dxa" w:w="1247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left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11月上中旬</w:t>
                  </w:r>
                </w:p>
              </w:tc>
              <w:tc>
                <w:tcPr>
                  <w:tcW w:type="dxa" w:w="4252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left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优先取得分层含水量、日雨量及Es/Tr依据，解释储水与覆膜偏差；核定必要补充分析。</w:t>
                  </w:r>
                </w:p>
              </w:tc>
              <w:tc>
                <w:tcPr>
                  <w:tcW w:type="dxa" w:w="3288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left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观测核对及限制清单。</w:t>
                  </w:r>
                </w:p>
              </w:tc>
            </w:tr>
            <w:tr>
              <w:trPr>
                <w:trHeight w:hRule="atLeast" w:val="425"/>
              </w:trPr>
              <w:tc>
                <w:tcPr>
                  <w:tcW w:type="dxa" w:w="1247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left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11月下旬</w:t>
                  </w:r>
                </w:p>
              </w:tc>
              <w:tc>
                <w:tcPr>
                  <w:tcW w:type="dxa" w:w="4252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left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完善采样和误差诊断；在有依据时定义设备与季末水分约束，补充比较。</w:t>
                  </w:r>
                </w:p>
              </w:tc>
              <w:tc>
                <w:tcPr>
                  <w:tcW w:type="dxa" w:w="3288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left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诊断材料与修订说明。</w:t>
                  </w:r>
                </w:p>
              </w:tc>
            </w:tr>
            <w:tr>
              <w:trPr>
                <w:trHeight w:hRule="atLeast" w:val="425"/>
              </w:trPr>
              <w:tc>
                <w:tcPr>
                  <w:tcW w:type="dxa" w:w="1247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left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12月</w:t>
                  </w:r>
                </w:p>
              </w:tc>
              <w:tc>
                <w:tcPr>
                  <w:tcW w:type="dxa" w:w="4252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left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按学校节点完成论文修改、结题报告、答辩图表与科研资料交接。</w:t>
                  </w:r>
                </w:p>
              </w:tc>
              <w:tc>
                <w:tcPr>
                  <w:tcW w:type="dxa" w:w="3288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left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中英文稿、最终归档及结题材料。</w:t>
                  </w:r>
                </w:p>
              </w:tc>
            </w:tr>
          </w:tbl>
          <w:p/>
          <w:p>
            <w:pPr>
              <w:keepNext w:val="0"/>
              <w:widowControl/>
              <w:spacing w:before="0" w:after="100" w:line="290" w:lineRule="exact"/>
              <w:ind w:left="0" w:right="0" w:firstLine="0"/>
              <w:snapToGrid w:val="false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  <w:t>四年真实模型与正式敏感性/优化均已运行。后续是否补做约束优化依实测与管理依据决定，不将现有候选直接作为田间灌水推荐。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444444"/>
          <w:left w:val="single" w:sz="5" w:color="444444"/>
          <w:bottom w:val="single" w:sz="5" w:color="444444"/>
          <w:right w:val="single" w:sz="5" w:color="444444"/>
          <w:insideH w:val="single" w:sz="5" w:color="444444"/>
          <w:insideV w:val="single" w:sz="5" w:color="444444"/>
        </w:tblBorders>
      </w:tblPr>
      <w:tblGrid>
        <w:gridCol w:w="9468"/>
      </w:tblGrid>
      <w:tr>
        <w:tc>
          <w:tcPr>
            <w:tcW w:type="dxa" w:w="9468"/>
            <w:vAlign w:val="center"/>
            <w:tcMar>
              <w:top w:w="130" w:type="dxa"/>
              <w:left w:w="130" w:type="dxa"/>
              <w:bottom w:w="130" w:type="dxa"/>
              <w:right w:w="130" w:type="dxa"/>
            </w:tcMar>
          </w:tcPr>
          <w:p>
            <w:pPr>
              <w:widowControl/>
              <w:spacing w:before="0" w:after="0" w:line="40" w:lineRule="exact"/>
              <w:ind w:left="0" w:right="0" w:firstLine="0"/>
              <w:snapToGrid w:val="false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"/>
              </w:rPr>
            </w:r>
          </w:p>
          <w:p>
            <w:pPr>
              <w:keepNext/>
              <w:widowControl/>
              <w:spacing w:before="40" w:after="160" w:line="362" w:lineRule="exact"/>
              <w:ind w:left="0" w:right="0" w:firstLine="0"/>
              <w:snapToGrid w:val="false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25"/>
              </w:rPr>
              <w:t>五、项目经费使用情况</w:t>
            </w:r>
          </w:p>
          <w:p>
            <w:pPr>
              <w:keepNext w:val="0"/>
              <w:widowControl/>
              <w:spacing w:before="0" w:after="160" w:line="319" w:lineRule="exact"/>
              <w:ind w:left="0" w:right="0" w:firstLine="0"/>
              <w:snapToGrid w:val="false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  <w:t>申请预算5000元；已报销经费：____________元。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4" w:color="999999"/>
                <w:left w:val="single" w:sz="4" w:color="999999"/>
                <w:bottom w:val="single" w:sz="4" w:color="999999"/>
                <w:right w:val="single" w:sz="4" w:color="999999"/>
                <w:insideH w:val="single" w:sz="4" w:color="999999"/>
                <w:insideV w:val="single" w:sz="4" w:color="999999"/>
              </w:tblBorders>
            </w:tblPr>
            <w:tblGrid>
              <w:gridCol w:w="3572"/>
              <w:gridCol w:w="1247"/>
              <w:gridCol w:w="1814"/>
              <w:gridCol w:w="2154"/>
            </w:tblGrid>
            <w:tr>
              <w:trPr>
                <w:trHeight w:hRule="atLeast" w:val="425"/>
              </w:trPr>
              <w:tc>
                <w:tcPr>
                  <w:tcW w:type="dxa" w:w="3572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  <w:shd w:fill="EEF2F4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ans CJK SC" w:hAnsi="Noto Sans CJK SC" w:eastAsia="Noto Sans CJK SC" w:cs="Noto Sans CJK SC"/>
                      <w:b/>
                      <w:color w:val="000000"/>
                      <w:sz w:val="20"/>
                    </w:rPr>
                    <w:t>申请预算科目</w:t>
                  </w:r>
                </w:p>
              </w:tc>
              <w:tc>
                <w:tcPr>
                  <w:tcW w:type="dxa" w:w="1247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  <w:shd w:fill="EEF2F4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ans CJK SC" w:hAnsi="Noto Sans CJK SC" w:eastAsia="Noto Sans CJK SC" w:cs="Noto Sans CJK SC"/>
                      <w:b/>
                      <w:color w:val="000000"/>
                      <w:sz w:val="20"/>
                    </w:rPr>
                    <w:t>预算（元）</w:t>
                  </w:r>
                </w:p>
              </w:tc>
              <w:tc>
                <w:tcPr>
                  <w:tcW w:type="dxa" w:w="1814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  <w:shd w:fill="EEF2F4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ans CJK SC" w:hAnsi="Noto Sans CJK SC" w:eastAsia="Noto Sans CJK SC" w:cs="Noto Sans CJK SC"/>
                      <w:b/>
                      <w:color w:val="000000"/>
                      <w:sz w:val="20"/>
                    </w:rPr>
                    <w:t>实际报销（元）</w:t>
                  </w:r>
                </w:p>
              </w:tc>
              <w:tc>
                <w:tcPr>
                  <w:tcW w:type="dxa" w:w="2154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  <w:shd w:fill="EEF2F4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ans CJK SC" w:hAnsi="Noto Sans CJK SC" w:eastAsia="Noto Sans CJK SC" w:cs="Noto Sans CJK SC"/>
                      <w:b/>
                      <w:color w:val="000000"/>
                      <w:sz w:val="20"/>
                    </w:rPr>
                    <w:t>凭证/日期</w:t>
                  </w:r>
                </w:p>
              </w:tc>
            </w:tr>
            <w:tr>
              <w:trPr>
                <w:trHeight w:hRule="atLeast" w:val="425"/>
              </w:trPr>
              <w:tc>
                <w:tcPr>
                  <w:tcW w:type="dxa" w:w="3572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文献检索与资料费</w:t>
                  </w:r>
                </w:p>
              </w:tc>
              <w:tc>
                <w:tcPr>
                  <w:tcW w:type="dxa" w:w="1247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500</w:t>
                  </w:r>
                </w:p>
              </w:tc>
              <w:tc>
                <w:tcPr>
                  <w:tcW w:type="dxa" w:w="1814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</w:r>
                </w:p>
              </w:tc>
              <w:tc>
                <w:tcPr>
                  <w:tcW w:type="dxa" w:w="2154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</w:r>
                </w:p>
              </w:tc>
            </w:tr>
            <w:tr>
              <w:trPr>
                <w:trHeight w:hRule="atLeast" w:val="425"/>
              </w:trPr>
              <w:tc>
                <w:tcPr>
                  <w:tcW w:type="dxa" w:w="3572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遥感数据获取及处理费</w:t>
                  </w:r>
                </w:p>
              </w:tc>
              <w:tc>
                <w:tcPr>
                  <w:tcW w:type="dxa" w:w="1247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2000</w:t>
                  </w:r>
                </w:p>
              </w:tc>
              <w:tc>
                <w:tcPr>
                  <w:tcW w:type="dxa" w:w="1814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</w:r>
                </w:p>
              </w:tc>
              <w:tc>
                <w:tcPr>
                  <w:tcW w:type="dxa" w:w="2154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</w:r>
                </w:p>
              </w:tc>
            </w:tr>
            <w:tr>
              <w:trPr>
                <w:trHeight w:hRule="atLeast" w:val="425"/>
              </w:trPr>
              <w:tc>
                <w:tcPr>
                  <w:tcW w:type="dxa" w:w="3572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数据存储与打印耗材费</w:t>
                  </w:r>
                </w:p>
              </w:tc>
              <w:tc>
                <w:tcPr>
                  <w:tcW w:type="dxa" w:w="1247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800</w:t>
                  </w:r>
                </w:p>
              </w:tc>
              <w:tc>
                <w:tcPr>
                  <w:tcW w:type="dxa" w:w="1814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</w:r>
                </w:p>
              </w:tc>
              <w:tc>
                <w:tcPr>
                  <w:tcW w:type="dxa" w:w="2154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</w:r>
                </w:p>
              </w:tc>
            </w:tr>
            <w:tr>
              <w:trPr>
                <w:trHeight w:hRule="atLeast" w:val="425"/>
              </w:trPr>
              <w:tc>
                <w:tcPr>
                  <w:tcW w:type="dxa" w:w="3572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实地考察与调研费</w:t>
                  </w:r>
                </w:p>
              </w:tc>
              <w:tc>
                <w:tcPr>
                  <w:tcW w:type="dxa" w:w="1247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1200</w:t>
                  </w:r>
                </w:p>
              </w:tc>
              <w:tc>
                <w:tcPr>
                  <w:tcW w:type="dxa" w:w="1814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</w:r>
                </w:p>
              </w:tc>
              <w:tc>
                <w:tcPr>
                  <w:tcW w:type="dxa" w:w="2154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</w:r>
                </w:p>
              </w:tc>
            </w:tr>
            <w:tr>
              <w:trPr>
                <w:trHeight w:hRule="atLeast" w:val="425"/>
              </w:trPr>
              <w:tc>
                <w:tcPr>
                  <w:tcW w:type="dxa" w:w="3572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成果整理及论文发表辅助费</w:t>
                  </w:r>
                </w:p>
              </w:tc>
              <w:tc>
                <w:tcPr>
                  <w:tcW w:type="dxa" w:w="1247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500</w:t>
                  </w:r>
                </w:p>
              </w:tc>
              <w:tc>
                <w:tcPr>
                  <w:tcW w:type="dxa" w:w="1814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</w:r>
                </w:p>
              </w:tc>
              <w:tc>
                <w:tcPr>
                  <w:tcW w:type="dxa" w:w="2154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</w:r>
                </w:p>
              </w:tc>
            </w:tr>
            <w:tr>
              <w:trPr>
                <w:trHeight w:hRule="atLeast" w:val="425"/>
              </w:trPr>
              <w:tc>
                <w:tcPr>
                  <w:tcW w:type="dxa" w:w="3572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合计</w:t>
                  </w:r>
                </w:p>
              </w:tc>
              <w:tc>
                <w:tcPr>
                  <w:tcW w:type="dxa" w:w="1247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5000</w:t>
                  </w:r>
                </w:p>
              </w:tc>
              <w:tc>
                <w:tcPr>
                  <w:tcW w:type="dxa" w:w="1814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</w:r>
                </w:p>
              </w:tc>
              <w:tc>
                <w:tcPr>
                  <w:tcW w:type="dxa" w:w="2154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</w:r>
                </w:p>
              </w:tc>
            </w:tr>
          </w:tbl>
          <w:p/>
          <w:p>
            <w:pPr>
              <w:keepNext w:val="0"/>
              <w:widowControl/>
              <w:spacing w:before="0" w:after="120" w:line="275" w:lineRule="exact"/>
              <w:ind w:left="0" w:right="0" w:firstLine="0"/>
              <w:snapToGrid w:val="false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注：预算据立项申请书，不代表核定经费或已发生支出；实际使用清单请依财务凭证核对。</w:t>
            </w:r>
          </w:p>
          <w:p>
            <w:pPr>
              <w:keepNext/>
              <w:widowControl/>
              <w:spacing w:before="40" w:after="160" w:line="362" w:lineRule="exact"/>
              <w:ind w:left="0" w:right="0" w:firstLine="0"/>
              <w:snapToGrid w:val="false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25"/>
              </w:rPr>
              <w:t>六、指导教师意见</w:t>
            </w:r>
          </w:p>
          <w:p>
            <w:pPr>
              <w:keepNext w:val="0"/>
              <w:widowControl/>
              <w:spacing w:before="0" w:after="100" w:line="304" w:lineRule="exact"/>
              <w:ind w:left="0" w:right="0" w:firstLine="0"/>
              <w:snapToGrid w:val="false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（从研究内容和进展、阶段性成果、存在问题和建议等加以评价）</w:t>
            </w:r>
          </w:p>
          <w:p>
            <w:pPr>
              <w:keepNext w:val="0"/>
              <w:widowControl/>
              <w:spacing w:before="0" w:after="0" w:line="319" w:lineRule="exact"/>
              <w:ind w:left="0" w:right="0" w:firstLine="0"/>
              <w:snapToGrid w:val="false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  <w:t>【请指导教师本人填写意见并签名】</w:t>
            </w:r>
          </w:p>
          <w:p>
            <w:pPr>
              <w:keepNext w:val="0"/>
              <w:widowControl/>
              <w:spacing w:before="0" w:after="700" w:line="319" w:lineRule="exact"/>
              <w:ind w:left="0" w:right="0" w:firstLine="0"/>
              <w:snapToGrid w:val="false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</w:r>
          </w:p>
          <w:p>
            <w:pPr>
              <w:keepNext w:val="0"/>
              <w:widowControl/>
              <w:spacing w:before="0" w:after="360" w:line="319" w:lineRule="exact"/>
              <w:ind w:left="0" w:right="0" w:firstLine="0"/>
              <w:snapToGrid w:val="false"/>
              <w:jc w:val="righ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  <w:t>签名：________________        年    月    日</w:t>
            </w:r>
          </w:p>
          <w:p>
            <w:pPr>
              <w:keepNext/>
              <w:widowControl/>
              <w:spacing w:before="40" w:after="160" w:line="362" w:lineRule="exact"/>
              <w:ind w:left="0" w:right="0" w:firstLine="0"/>
              <w:snapToGrid w:val="false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25"/>
              </w:rPr>
              <w:t>七、专家组意见</w:t>
            </w:r>
          </w:p>
          <w:p>
            <w:pPr>
              <w:keepNext w:val="0"/>
              <w:widowControl/>
              <w:spacing w:before="0" w:after="0" w:line="319" w:lineRule="exact"/>
              <w:ind w:left="0" w:right="0" w:firstLine="0"/>
              <w:snapToGrid w:val="false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  <w:t>【请专家组填写意见并签名】</w:t>
            </w:r>
          </w:p>
          <w:p>
            <w:pPr>
              <w:keepNext w:val="0"/>
              <w:widowControl/>
              <w:spacing w:before="0" w:after="700" w:line="319" w:lineRule="exact"/>
              <w:ind w:left="0" w:right="0" w:firstLine="0"/>
              <w:snapToGrid w:val="false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</w:r>
          </w:p>
          <w:p>
            <w:pPr>
              <w:keepNext w:val="0"/>
              <w:widowControl/>
              <w:spacing w:before="0" w:after="240" w:line="319" w:lineRule="exact"/>
              <w:ind w:left="0" w:right="0" w:firstLine="0"/>
              <w:snapToGrid w:val="false"/>
              <w:jc w:val="righ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  <w:t>专家组成员签名：________________</w:t>
            </w:r>
          </w:p>
          <w:p>
            <w:pPr>
              <w:keepNext w:val="0"/>
              <w:widowControl/>
              <w:spacing w:before="0" w:after="100" w:line="319" w:lineRule="exact"/>
              <w:ind w:left="0" w:right="0" w:firstLine="0"/>
              <w:snapToGrid w:val="false"/>
              <w:jc w:val="righ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  <w:t>年    月    日</w:t>
            </w:r>
          </w:p>
        </w:tc>
      </w:tr>
    </w:tbl>
    <w:p>
      <w:r>
        <w:br w:type="page"/>
      </w:r>
    </w:p>
    <w:p>
      <w:pPr>
        <w:keepNext/>
        <w:widowControl/>
        <w:spacing w:before="0" w:after="240" w:line="406" w:lineRule="exact"/>
        <w:ind w:left="0" w:right="0" w:firstLine="0"/>
        <w:snapToGrid w:val="false"/>
      </w:pPr>
      <w:r>
        <w:rPr>
          <w:rFonts w:ascii="Noto Sans CJK SC" w:hAnsi="Noto Sans CJK SC" w:eastAsia="Noto Sans CJK SC" w:cs="Noto Sans CJK SC"/>
          <w:b/>
          <w:color w:val="000000"/>
          <w:sz w:val="28"/>
        </w:rPr>
        <w:t>附件1  四年冠层覆盖度校准过程</w:t>
      </w:r>
    </w:p>
    <w:p>
      <w:pPr>
        <w:keepNext/>
        <w:widowControl/>
        <w:spacing w:before="0" w:after="120" w:line="240" w:lineRule="auto"/>
        <w:ind w:left="0" w:right="0" w:firstLine="0"/>
        <w:snapToGrid w:val="false"/>
        <w:jc w:val="center"/>
      </w:pPr>
      <w:r>
        <w:drawing>
          <wp:inline xmlns:a="http://schemas.openxmlformats.org/drawingml/2006/main">
            <wp:extent cx="5940000" cy="4661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dterm_CC_four_yea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6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0" w:after="200" w:line="304" w:lineRule="exact"/>
        <w:ind w:left="0" w:right="0" w:firstLine="0"/>
        <w:snapToGrid w:val="false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图1  实线为模型逐日输出，空心点为用于校准的田间LAI换算CC。各面板采用相同坐标范围；2019蓝、2020橙、2021绿、2022紫。R²及RMSE据全部校准配对复算。</w:t>
      </w:r>
    </w:p>
    <w:p>
      <w:pPr>
        <w:keepNext w:val="0"/>
        <w:widowControl/>
        <w:spacing w:before="0" w:after="200" w:line="304" w:lineRule="exact"/>
        <w:ind w:left="0" w:right="0" w:firstLine="0"/>
        <w:snapToGrid w:val="false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证据口径：四年原模型已贯通并完成冻结中心复现。图示为原校准配对与中心轨迹，不是独立验证，亦不是后验预测区间。</w:t>
      </w:r>
    </w:p>
    <w:p>
      <w:pPr>
        <w:keepNext/>
        <w:widowControl/>
        <w:spacing w:before="40" w:after="160" w:line="319" w:lineRule="exact"/>
        <w:ind w:left="0" w:right="0" w:firstLine="0"/>
        <w:snapToGrid w:val="false"/>
      </w:pPr>
      <w:r>
        <w:rPr>
          <w:rFonts w:ascii="Noto Sans CJK SC" w:hAnsi="Noto Sans CJK SC" w:eastAsia="Noto Sans CJK SC" w:cs="Noto Sans CJK SC"/>
          <w:b/>
          <w:color w:val="000000"/>
          <w:sz w:val="22"/>
        </w:rPr>
        <w:t>来源与检查</w:t>
      </w:r>
    </w:p>
    <w:p>
      <w:pPr>
        <w:keepNext w:val="0"/>
        <w:widowControl/>
        <w:spacing w:before="0" w:after="100" w:line="319" w:lineRule="exact"/>
        <w:ind w:left="0" w:right="0" w:firstLine="0"/>
        <w:snapToGrid w:val="false"/>
      </w:pPr>
      <w:r>
        <w:rPr>
          <w:rFonts w:ascii="Noto Serif CJK SC" w:hAnsi="Noto Serif CJK SC" w:eastAsia="Noto Serif CJK SC" w:cs="Noto Serif CJK SC"/>
          <w:b w:val="0"/>
          <w:color w:val="000000"/>
          <w:sz w:val="22"/>
        </w:rPr>
        <w:t>48个CC配对均有对应日期的逐日模型结果，四年均有实际年度数据，不插值补位；原始配对位于02号年度包及11号图表包。</w:t>
      </w:r>
    </w:p>
    <w:p>
      <w:r>
        <w:br w:type="page"/>
      </w:r>
    </w:p>
    <w:p>
      <w:pPr>
        <w:keepNext/>
        <w:widowControl/>
        <w:spacing w:before="0" w:after="240" w:line="406" w:lineRule="exact"/>
        <w:ind w:left="0" w:right="0" w:firstLine="0"/>
        <w:snapToGrid w:val="false"/>
      </w:pPr>
      <w:r>
        <w:rPr>
          <w:rFonts w:ascii="Noto Sans CJK SC" w:hAnsi="Noto Sans CJK SC" w:eastAsia="Noto Sans CJK SC" w:cs="Noto Sans CJK SC"/>
          <w:b/>
          <w:color w:val="000000"/>
          <w:sz w:val="28"/>
        </w:rPr>
        <w:t>附件2  四年地上干生物量校准过程</w:t>
      </w:r>
    </w:p>
    <w:p>
      <w:pPr>
        <w:keepNext/>
        <w:widowControl/>
        <w:spacing w:before="0" w:after="120" w:line="240" w:lineRule="auto"/>
        <w:ind w:left="0" w:right="0" w:firstLine="0"/>
        <w:snapToGrid w:val="false"/>
        <w:jc w:val="center"/>
      </w:pPr>
      <w:r>
        <w:drawing>
          <wp:inline xmlns:a="http://schemas.openxmlformats.org/drawingml/2006/main">
            <wp:extent cx="5940000" cy="453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dterm_biomass_four_yea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0" w:after="200" w:line="304" w:lineRule="exact"/>
        <w:ind w:left="0" w:right="0" w:firstLine="0"/>
        <w:snapToGrid w:val="false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图2  实线为模型逐日输出，空心点为校准生物量资料；单位为t/ha。各面板坐标范围统一，不删去不利于拟合的观测点。颜色与附件1一致。</w:t>
      </w:r>
    </w:p>
    <w:p>
      <w:pPr>
        <w:keepNext w:val="0"/>
        <w:widowControl/>
        <w:spacing w:before="0" w:after="200" w:line="304" w:lineRule="exact"/>
        <w:ind w:left="0" w:right="0" w:firstLine="0"/>
        <w:snapToGrid w:val="false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证据口径：四年原模型已贯通并完成冻结中心复现。图示为原校准配对与中心轨迹，不是独立验证，亦不是后验预测区间。</w:t>
      </w:r>
    </w:p>
    <w:p>
      <w:pPr>
        <w:keepNext/>
        <w:widowControl/>
        <w:spacing w:before="40" w:after="160" w:line="319" w:lineRule="exact"/>
        <w:ind w:left="0" w:right="0" w:firstLine="0"/>
        <w:snapToGrid w:val="false"/>
      </w:pPr>
      <w:r>
        <w:rPr>
          <w:rFonts w:ascii="Noto Sans CJK SC" w:hAnsi="Noto Sans CJK SC" w:eastAsia="Noto Sans CJK SC" w:cs="Noto Sans CJK SC"/>
          <w:b/>
          <w:color w:val="000000"/>
          <w:sz w:val="22"/>
        </w:rPr>
        <w:t>本阶段结果的适用边界</w:t>
      </w:r>
    </w:p>
    <w:p>
      <w:pPr>
        <w:keepNext w:val="0"/>
        <w:widowControl/>
        <w:spacing w:before="0" w:after="100" w:line="319" w:lineRule="exact"/>
        <w:ind w:left="0" w:right="0" w:firstLine="0"/>
        <w:snapToGrid w:val="false"/>
      </w:pPr>
      <w:r>
        <w:rPr>
          <w:rFonts w:ascii="Noto Serif CJK SC" w:hAnsi="Noto Serif CJK SC" w:eastAsia="Noto Serif CJK SC" w:cs="Noto Serif CJK SC"/>
          <w:b w:val="0"/>
          <w:color w:val="000000"/>
          <w:sz w:val="22"/>
        </w:rPr>
        <w:t>四年共37个生物量配对，部分为论文图数字化。正式真实模型Sobol与优化现已完成，见后附图；高拟合仍不能替代独立验证或认证未知年份的普适制度。</w:t>
      </w:r>
    </w:p>
    <w:p>
      <w:r>
        <w:br w:type="page"/>
      </w:r>
    </w:p>
    <w:p>
      <w:pPr>
        <w:keepNext/>
        <w:widowControl/>
        <w:spacing w:before="0" w:after="240" w:line="406" w:lineRule="exact"/>
        <w:ind w:left="0" w:right="0" w:firstLine="0"/>
        <w:snapToGrid w:val="false"/>
      </w:pPr>
      <w:r>
        <w:rPr>
          <w:rFonts w:ascii="Noto Sans CJK SC" w:hAnsi="Noto Sans CJK SC" w:eastAsia="Noto Sans CJK SC" w:cs="Noto Sans CJK SC"/>
          <w:b/>
          <w:color w:val="000000"/>
          <w:sz w:val="28"/>
        </w:rPr>
        <w:t>附件3  四年Sobol敏感性结果</w:t>
      </w:r>
    </w:p>
    <w:p>
      <w:pPr>
        <w:keepNext/>
        <w:widowControl/>
        <w:spacing w:before="0" w:after="100" w:line="240" w:lineRule="auto"/>
        <w:ind w:left="0" w:right="0" w:firstLine="0"/>
        <w:snapToGrid w:val="false"/>
        <w:jc w:val="center"/>
      </w:pPr>
      <w:r>
        <w:drawing>
          <wp:inline xmlns:a="http://schemas.openxmlformats.org/drawingml/2006/main">
            <wp:extent cx="5940000" cy="577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1_Sobol_four_outputs_2x2_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7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0" w:after="240" w:line="304" w:lineRule="exact"/>
        <w:ind w:left="0" w:right="0" w:firstLine="0"/>
        <w:snapToGrid w:val="false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图3  四年八参数的总效应指数，产量、生物量、ET及最大冠层合并2×2。每格为三个N512设计均值，独立均匀输入范围。产量主要受晚期WP与HI0影响，平均排序一致不代表每年的贡献幅度完全相同。</w:t>
      </w:r>
    </w:p>
    <w:p>
      <w:pPr>
        <w:keepNext w:val="0"/>
        <w:widowControl/>
        <w:spacing w:before="0" w:after="100" w:line="304" w:lineRule="exact"/>
        <w:ind w:left="0" w:right="0" w:firstLine="0"/>
        <w:snapToGrid w:val="false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原始结果、图像和逐图解析均按研究阶段提供。图为英文版，中文解释保留变量、单位、比较基准及适用边界。</w:t>
      </w:r>
    </w:p>
    <w:p>
      <w:r>
        <w:br w:type="page"/>
      </w:r>
    </w:p>
    <w:p>
      <w:pPr>
        <w:keepNext/>
        <w:widowControl/>
        <w:spacing w:before="0" w:after="240" w:line="406" w:lineRule="exact"/>
        <w:ind w:left="0" w:right="0" w:firstLine="0"/>
        <w:snapToGrid w:val="false"/>
      </w:pPr>
      <w:r>
        <w:rPr>
          <w:rFonts w:ascii="Noto Sans CJK SC" w:hAnsi="Noto Sans CJK SC" w:eastAsia="Noto Sans CJK SC" w:cs="Noto Sans CJK SC"/>
          <w:b/>
          <w:color w:val="000000"/>
          <w:sz w:val="28"/>
        </w:rPr>
        <w:t>附件4  四年完整灌水—产量权衡</w:t>
      </w:r>
    </w:p>
    <w:p>
      <w:pPr>
        <w:keepNext/>
        <w:widowControl/>
        <w:spacing w:before="0" w:after="100" w:line="240" w:lineRule="auto"/>
        <w:ind w:left="0" w:right="0" w:firstLine="0"/>
        <w:snapToGrid w:val="false"/>
        <w:jc w:val="center"/>
      </w:pPr>
      <w:r>
        <w:drawing>
          <wp:inline xmlns:a="http://schemas.openxmlformats.org/drawingml/2006/main">
            <wp:extent cx="5940000" cy="4826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3_full_range_diagnostic_2x2_E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82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0" w:after="240" w:line="304" w:lineRule="exact"/>
        <w:ind w:left="0" w:right="0" w:firstLine="0"/>
        <w:snapToGrid w:val="false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图4  四年全范围补充搜索显示低水量段与零灌溉，实线为最佳已找到包络，虚线为原比例剂量响应；未证明全局最优。原高产门槛局部图不能用来推断零灌溉也能稳产。</w:t>
      </w:r>
    </w:p>
    <w:p>
      <w:pPr>
        <w:keepNext w:val="0"/>
        <w:widowControl/>
        <w:spacing w:before="0" w:after="100" w:line="304" w:lineRule="exact"/>
        <w:ind w:left="0" w:right="0" w:firstLine="0"/>
        <w:snapToGrid w:val="false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原始结果、图像和逐图解析均按研究阶段提供。图为英文版，中文解释保留变量、单位、比较基准及适用边界。</w:t>
      </w:r>
    </w:p>
    <w:p>
      <w:r>
        <w:br w:type="page"/>
      </w:r>
    </w:p>
    <w:p>
      <w:pPr>
        <w:keepNext/>
        <w:widowControl/>
        <w:spacing w:before="0" w:after="240" w:line="406" w:lineRule="exact"/>
        <w:ind w:left="0" w:right="0" w:firstLine="0"/>
        <w:snapToGrid w:val="false"/>
      </w:pPr>
      <w:r>
        <w:rPr>
          <w:rFonts w:ascii="Noto Sans CJK SC" w:hAnsi="Noto Sans CJK SC" w:eastAsia="Noto Sans CJK SC" w:cs="Noto Sans CJK SC"/>
          <w:b/>
          <w:color w:val="000000"/>
          <w:sz w:val="28"/>
        </w:rPr>
        <w:t>附件5  减灌水量的来源</w:t>
      </w:r>
    </w:p>
    <w:p>
      <w:pPr>
        <w:keepNext/>
        <w:widowControl/>
        <w:spacing w:before="0" w:after="100" w:line="240" w:lineRule="auto"/>
        <w:ind w:left="0" w:right="0" w:firstLine="0"/>
        <w:snapToGrid w:val="false"/>
        <w:jc w:val="center"/>
      </w:pPr>
      <w:r>
        <w:drawing>
          <wp:inline xmlns:a="http://schemas.openxmlformats.org/drawingml/2006/main">
            <wp:extent cx="5940000" cy="3836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7_Irrigation_reduction_decomposition_E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0" w:after="240" w:line="304" w:lineRule="exact"/>
        <w:ind w:left="0" w:right="0" w:firstLine="0"/>
        <w:snapToGrid w:val="false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图5  减灌水量按ET、季末储水与其他损失分解。2021年少灌约366.2 mm中，ET仅少约8.6 mm，主要是季末储水差。模型保产候选不等于已验证的田间节水制度。</w:t>
      </w:r>
    </w:p>
    <w:p>
      <w:pPr>
        <w:keepNext w:val="0"/>
        <w:widowControl/>
        <w:spacing w:before="0" w:after="100" w:line="304" w:lineRule="exact"/>
        <w:ind w:left="0" w:right="0" w:firstLine="0"/>
        <w:snapToGrid w:val="false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原始结果、图像和逐图解析均按研究阶段提供。图为英文版，中文解释保留变量、单位、比较基准及适用边界。</w:t>
      </w:r>
    </w:p>
    <w:sectPr>
      <w:footerReference w:type="default" r:id="rId3"/>
      <w:footerReference w:type="first" r:id="rId4"/>
      <w:type w:val="nextPage"/>
      <w:pgSz w:w="11906" w:h="16838"/>
      <w:pgMar w:left="1219" w:right="1219" w:gutter="0" w:header="454" w:top="1191" w:footer="510" w:bottom="1134"/>
      <w:pgNumType w:start="0" w:fmt="decimal"/>
      <w:formProt w:val="false"/>
      <w:titlePg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Liberation Sans">
    <w:altName w:val="Arial"/>
    <w:charset w:val="01"/>
    <w:family w:val="swiss"/>
    <w:pitch w:val="variable"/>
  </w:font>
  <w:font w:name="宋体">
    <w:charset w:val="86"/>
    <w:family w:val="auto"/>
    <w:pitch w:val="default"/>
  </w:font>
  <w:font w:name="华文中宋">
    <w:charset w:val="86"/>
    <w:family w:val="auto"/>
    <w:pitch w:val="default"/>
  </w:font>
  <w:font w:name="Noto Serif CJK SC">
    <w:altName w:val="宋体"/>
    <w:charset w:val="86"/>
    <w:family w:val="auto"/>
    <w:pitch w:val="default"/>
  </w:font>
  <w:font w:name="黑体">
    <w:charset w:val="86"/>
    <w:family w:val="auto"/>
    <w:pitch w:val="default"/>
  </w:font>
  <w:font w:name="楷体_GB2312">
    <w:altName w:val="楷体"/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widowControl/>
      <w:spacing w:before="0" w:after="0" w:line="261" w:lineRule="exact"/>
      <w:ind w:left="0" w:right="0" w:firstLine="0"/>
      <w:snapToGrid w:val="false"/>
      <w:jc w:val="center"/>
    </w:pPr>
    <w:r/>
    <w:fldSimple w:instr="PAGE"/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widowControl/>
      <w:spacing w:before="0" w:after="0" w:line="261" w:lineRule="exact"/>
      <w:ind w:left="0" w:right="0" w:firstLine="0"/>
      <w:snapToGrid w:val="false"/>
      <w:jc w:val="right"/>
    </w:pPr>
    <w:r>
      <w:rPr>
        <w:rFonts w:ascii="Noto Serif CJK SC" w:hAnsi="Noto Serif CJK SC" w:eastAsia="Noto Serif CJK SC" w:cs="Noto Serif CJK SC"/>
        <w:b w:val="0"/>
        <w:color w:val="000000"/>
        <w:sz w:val="18"/>
      </w:rPr>
      <w:t>中国农业大学 制表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chineseCountingThousand"/>
      <w:suff w:val="nothing"/>
      <w:lvlText w:val="%1、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60"/>
  <w:defaultTabStop w:val="420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="324" w:lineRule="auto"/>
      <w:jc w:val="both"/>
    </w:pPr>
    <w:rPr>
      <w:rFonts w:ascii="Noto Serif CJK SC" w:hAnsi="Noto Serif CJK SC" w:eastAsia="Noto Serif CJK SC" w:cs="Times New Roman"/>
      <w:color w:val="auto"/>
      <w:kern w:val="2"/>
      <w:sz w:val="22"/>
      <w:szCs w:val="24"/>
      <w:lang w:bidi="ar-SA" w:val="en-US" w:eastAsia="zh-CN"/>
    </w:rPr>
  </w:style>
  <w:style w:type="character" w:styleId="WW8Num1z0">
    <w:name w:val="WW8Num1z0"/>
    <w:qFormat/>
    <w:rPr>
      <w:rFonts w:hint="eastAsia"/>
    </w:rPr>
  </w:style>
  <w:style w:type="character" w:styleId="Style14">
    <w:name w:val="默认段落字体"/>
    <w:qFormat/>
    <w:rPr/>
  </w:style>
  <w:style w:type="character" w:styleId="Char">
    <w:name w:val="页眉 Char"/>
    <w:qFormat/>
    <w:rPr>
      <w:kern w:val="2"/>
      <w:sz w:val="18"/>
      <w:szCs w:val="18"/>
    </w:rPr>
  </w:style>
  <w:style w:type="character" w:styleId="PageNumber">
    <w:name w:val="page number"/>
    <w:basedOn w:val="Style14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BodyTextIndent">
    <w:name w:val="Body Text Indent"/>
    <w:basedOn w:val="Normal"/>
    <w:pPr>
      <w:spacing w:lineRule="atLeast" w:line="340"/>
      <w:ind w:hanging="0" w:start="360" w:end="0"/>
    </w:pPr>
    <w:rPr>
      <w:rFonts w:ascii="宋体" w:hAnsi="宋体" w:cs="宋体" w:hint="eastAsia"/>
      <w:spacing w:val="14"/>
    </w:rPr>
  </w:style>
  <w:style w:type="paragraph" w:styleId="Style15">
    <w:name w:val="日期"/>
    <w:basedOn w:val="Normal"/>
    <w:next w:val="Normal"/>
    <w:qFormat/>
    <w:pPr>
      <w:ind w:firstLineChars="0" w:firstLine="0" w:startChars="2500" w:endChars="0" w:end="0"/>
    </w:pPr>
    <w:rPr>
      <w:b/>
      <w:bCs/>
      <w:spacing w:val="20"/>
      <w:sz w:val="24"/>
    </w:rPr>
  </w:style>
  <w:style w:type="paragraph" w:styleId="Style16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2011-09-06T09:21:00Z</dcterms:created>
  <dc:creator>吴雨臻、李承昊、段璞</dc:creator>
  <dc:description/>
  <dc:language>en-US</dc:language>
  <cp:lastModifiedBy>Ava</cp:lastModifiedBy>
  <cp:lastPrinted>2007-07-23T10:04:00Z</cp:lastPrinted>
  <dcterms:modified xsi:type="dcterms:W3CDTF">2026-10-19T01:39:06Z</dcterms:modified>
  <cp:revision>61</cp:revision>
  <dc:subject>截至2026-10-21，主要模型计算完成；保留科学限制及待核实行政字段</dc:subject>
  <dc:title>创新训练项目中期报告书（URP研究内容已填写稿）</dc:title>
  <cp:keywords>中期报告;滴灌玉米;AquaCrop;MCMC;Sobol;NSGA-III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6024744923F44D01A96FB0A3679AA658_12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eyJoZGlkIjoiYTViOGJhZWQ4NGZmY2Q5MDNlMDIzNWYzY2Q4MmJjZGYiLCJ1c2VySWQiOiIxNDMxMDQ4MzQ2In0=</vt:lpwstr>
  </property>
  <property fmtid="{D5CDD505-2E9C-101B-9397-08002B2CF9AE}" pid="5" name="_AdHocReviewCycleID">
    <vt:r8>-1032565596</vt:r8>
  </property>
  <property fmtid="{D5CDD505-2E9C-101B-9397-08002B2CF9AE}" pid="6" name="_AuthorEmail">
    <vt:lpwstr>xq@mail.cau.edu.cn</vt:lpwstr>
  </property>
  <property fmtid="{D5CDD505-2E9C-101B-9397-08002B2CF9AE}" pid="7" name="_AuthorEmailDisplayName">
    <vt:lpwstr>席清</vt:lpwstr>
  </property>
  <property fmtid="{D5CDD505-2E9C-101B-9397-08002B2CF9AE}" pid="8" name="_EmailSubject">
    <vt:lpwstr>下发文件</vt:lpwstr>
  </property>
  <property fmtid="{D5CDD505-2E9C-101B-9397-08002B2CF9AE}" pid="9" name="_ReviewingToolsShownOnce">
    <vt:lpwstr/>
  </property>
</Properties>
</file>