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urp-六包同步更新与四年图表核验"/>
    <w:p>
      <w:pPr>
        <w:pStyle w:val="Heading1"/>
      </w:pPr>
      <w:r>
        <w:t xml:space="preserve">URP 六包同步更新与四年图表核验</w:t>
      </w:r>
    </w:p>
    <w:p>
      <w:pPr>
        <w:pStyle w:val="FirstParagraph"/>
      </w:pPr>
      <w:r>
        <w:t xml:space="preserve">版本：2026-10-18。范围：六个交付包、2019—2022图件、论文与报告，以及2022原模型接入。</w:t>
      </w:r>
    </w:p>
    <w:bookmarkStart w:id="20" w:name="已完成与执行范围"/>
    <w:p>
      <w:pPr>
        <w:pStyle w:val="Heading2"/>
      </w:pPr>
      <w:r>
        <w:t xml:space="preserve">1 已完成与执行范围</w:t>
      </w:r>
    </w:p>
    <w:p>
      <w:pPr>
        <w:pStyle w:val="FirstParagraph"/>
      </w:pPr>
      <w:r>
        <w:t xml:space="preserve">2022完整data已补齐，18项原模型/资料哈希与原manifest一致；实际预审和阶段二均值点DI/零灌溉回放通过。本次工程进一步接入2022原模型，并用基准重复运行与改变五次灌水量的实测验证接口。MCMC保持冻结，统一文件的8个数组不变。</w:t>
      </w:r>
      <w:r>
        <w:t xml:space="preserve"> </w:t>
      </w:r>
      <w:r>
        <w:t xml:space="preserve">四年逐日生长和CC/生物量配对输出已逐点核对，全部当前年度图含2019、2020、2021、2022。2019—2021引用原核验输出；2022引用本次均值点回放。完整真实模型Sobol与NSGA-III实验尚未完成，另外三年的原始模型实现仍待接入。</w:t>
      </w:r>
    </w:p>
    <w:bookmarkEnd w:id="20"/>
    <w:bookmarkStart w:id="24" w:name="图形版式与完整性"/>
    <w:p>
      <w:pPr>
        <w:pStyle w:val="Heading2"/>
      </w:pPr>
      <w:r>
        <w:t xml:space="preserve">2 图形版式与完整性</w:t>
      </w:r>
    </w:p>
    <w:p>
      <w:pPr>
        <w:pStyle w:val="FirstParagraph"/>
      </w:pPr>
      <w:r>
        <w:t xml:space="preserve">当前图件为18组300dpi PNG与矢量PDF，固定年份色：2019蓝、2020橙、2021绿、2022紫。标题15pt、面板标题13pt、坐标12pt、刻度11pt、注释不小于10.5pt；图例设置专门留白。分开输出冠层、生物量、配对图和轨迹，避免挤成大拼图。</w:t>
      </w:r>
      <w:r>
        <w:t xml:space="preserve"> </w:t>
      </w:r>
      <w:r>
        <w:t xml:space="preserve">FIGURE_COVERAGE_AND_STYLE.json逐图列出四年覆盖、字体阈值和文件哈希。旧2022单年轨迹和历史代理图保存在历史记录中，当前图件包不混入这些旧图。均值/区间/相关和水量图中的2022来自真实冻结样本或原模型回放，无插值补位。</w:t>
      </w:r>
    </w:p>
    <w:p>
      <w:pPr>
        <w:pStyle w:val="CaptionedFigure"/>
        <w:keepNext/>
        <w:keepLines/>
      </w:pPr>
      <w:r>
        <w:drawing>
          <wp:inline>
            <wp:extent cx="5334000" cy="2174864"/>
            <wp:effectExtent b="0" l="0" r="0" t="0"/>
            <wp:docPr descr="四年校准误差概览" title="" id="22" name="Picture"/>
            <a:graphic>
              <a:graphicData uri="http://schemas.openxmlformats.org/drawingml/2006/picture">
                <pic:pic>
                  <pic:nvPicPr>
                    <pic:cNvPr descr="figures/F06_calibration_summa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</w:pPr>
      <w:r>
        <w:t xml:space="preserve">四年校准误差概览</w:t>
      </w:r>
    </w:p>
    <w:p>
      <w:pPr>
        <w:pStyle w:val="BodyText"/>
        <w:keepLines/>
      </w:pPr>
      <w:r>
        <w:t xml:space="preserve">图注：灰带为项目 ±5% 产量容许幅度，不是置信区间。2022 配对指标与产量已核验。</w:t>
      </w:r>
    </w:p>
    <w:bookmarkEnd w:id="24"/>
    <w:bookmarkStart w:id="25" w:name="四年校准配对核对"/>
    <w:p>
      <w:pPr>
        <w:pStyle w:val="Heading2"/>
      </w:pPr>
      <w:r>
        <w:t xml:space="preserve">3 四年校准配对核对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C6D1D9"/>
          <w:left w:val="single" w:sz="4" w:color="C6D1D9"/>
          <w:bottom w:val="single" w:sz="4" w:color="C6D1D9"/>
          <w:right w:val="single" w:sz="4" w:color="C6D1D9"/>
          <w:insideH w:val="single" w:sz="4" w:color="C6D1D9"/>
          <w:insideV w:val="single" w:sz="4" w:color="C6D1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年份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配对数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R2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0.9794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配对数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RMSE_t_ha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1.0498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0.9766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1.1393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0.9685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0.5562</w:t>
            </w:r>
          </w:p>
        </w:tc>
      </w:tr>
    </w:tbl>
    <w:p>
      <w:pPr>
        <w:pStyle w:val="BodyText"/>
      </w:pPr>
      <w:r>
        <w:t xml:space="preserve">2022冠层R²=0.9306170451、RMSE=0.0595741682；生物量R²=0.9966499365、RMSE=0.5561588827 t/ha。2022不再标记“R²仅为文档报告值”。R²按1−SSE/SST计算，逐日输出与配对模拟值对应日期一致。</w:t>
      </w:r>
    </w:p>
    <w:bookmarkEnd w:id="25"/>
    <w:bookmarkStart w:id="26" w:name="模型水量与参数状态"/>
    <w:p>
      <w:pPr>
        <w:pStyle w:val="Heading2"/>
      </w:pPr>
      <w:r>
        <w:t xml:space="preserve">4 模型、水量与参数状态</w:t>
      </w:r>
    </w:p>
    <w:p>
      <w:pPr>
        <w:pStyle w:val="FirstParagraph"/>
      </w:pPr>
      <w:r>
        <w:t xml:space="preserve">2022均值点Y13=14.0777828181 t/ha、I=404.84mm、ET=596.7846360647mm，原汇总回放最大差异小于1.5×10</w:t>
      </w:r>
      <w:r>
        <w:rPr>
          <w:vertAlign w:val="superscript"/>
        </w:rPr>
        <w:t xml:space="preserve">-14。季节量账残差约10</w:t>
      </w:r>
      <w:r>
        <w:t xml:space="preserve">-12mm；单位与干/湿基换算已核验。保产门槛13.376 t/ha，产量余量约4.985%，该余量不等于节水率。</w:t>
      </w:r>
      <w:r>
        <w:t xml:space="preserve"> </w:t>
      </w:r>
      <w:r>
        <w:t xml:space="preserve">| 年份 | 观测产量 | 模型基准 | 95%门槛 | 产量余量_pct |</w:t>
      </w:r>
      <w:r>
        <w:t xml:space="preserve"> </w:t>
      </w:r>
      <w:r>
        <w:t xml:space="preserve">| — | — | — | — | — |</w:t>
      </w:r>
      <w:r>
        <w:t xml:space="preserve"> </w:t>
      </w:r>
      <w:r>
        <w:t xml:space="preserve">| 2019 | 16.5500 | 16.7017 | 15.7225 | 5.8628 |</w:t>
      </w:r>
      <w:r>
        <w:t xml:space="preserve"> </w:t>
      </w:r>
      <w:r>
        <w:t xml:space="preserve">| 2020 | 17.2900 | 16.8040 | 16.4255 | 2.2527 |</w:t>
      </w:r>
      <w:r>
        <w:t xml:space="preserve"> </w:t>
      </w:r>
      <w:r>
        <w:t xml:space="preserve">| 2021 | 15.8600 | 15.1971 | 15.0670 | 0.8563 |</w:t>
      </w:r>
      <w:r>
        <w:t xml:space="preserve"> </w:t>
      </w:r>
      <w:r>
        <w:t xml:space="preserve">| 2022 | 14.0800 | 14.0778 | 13.3760 | 4.9850 |</w:t>
      </w:r>
      <w:r>
        <w:t xml:space="preserve"> </w:t>
      </w:r>
      <w:r>
        <w:t xml:space="preserve">四年16组阶段一、4组阶段二记录与32个中心值可追溯；阶段二为条件分布，单ensemble不能宣称八维联合收敛。严格阶段一诊断仍单列，未据此强制重跑MCMC。</w:t>
      </w:r>
    </w:p>
    <w:bookmarkEnd w:id="26"/>
    <w:bookmarkStart w:id="27" w:name="六包更新内容"/>
    <w:p>
      <w:pPr>
        <w:pStyle w:val="Heading2"/>
      </w:pPr>
      <w:r>
        <w:t xml:space="preserve">5 六包更新内容</w:t>
      </w:r>
    </w:p>
    <w:p>
      <w:pPr>
        <w:pStyle w:val="FirstParagraph"/>
      </w:pPr>
      <w:r>
        <w:t xml:space="preserve">完整报告包：新四年图、论文/报告/工作簿、当前工程及历史审计；运行结果包：冻结样本、四年原输出、2022原模型回放与更新表；图件包：18组当前四年图、源表、图注与覆盖清单；材料复核包：新论文/报告、原件来源与四年表；计算准备包：完整2022接口、四年设计与基准收据、论文/图；工程包：完整2022源码/data、B/C流程、冻结样本、19项检查及四年概览图。</w:t>
      </w:r>
      <w:r>
        <w:t xml:space="preserve"> </w:t>
      </w:r>
      <w:r>
        <w:t xml:space="preserve">所有包使用同一版当前图和表，文件名保留旧日期以兼容下载地址，内部版本均为2026-10-18。完整正式敏感性与优化结果仍待计算；历史36组代理Sobol及9次代理优化仅留作审计，不能替代真实作物模型结果。</w:t>
      </w:r>
    </w:p>
    <w:bookmarkEnd w:id="27"/>
    <w:bookmarkStart w:id="28" w:name="方法与限制"/>
    <w:p>
      <w:pPr>
        <w:pStyle w:val="Heading2"/>
      </w:pPr>
      <w:r>
        <w:t xml:space="preserve">6 方法与限制</w:t>
      </w:r>
    </w:p>
    <w:p>
      <w:pPr>
        <w:pStyle w:val="FirstParagraph"/>
      </w:pPr>
      <w:r>
        <w:t xml:space="preserve">正式Sobol保持公共独立均匀范围，local95仅作邻域响应；优化固定中心点、两个目标、观测95%保产及灌水上限，候选单列组内条件扰动。2022接口仅支持原五个固定日期的水量分配。数据数字化误差、近似Es、RS处理不一致、原模型结构与采样诊断等限制保留；不声称独立验证、已得到节水推荐或未知年普适制度。</w:t>
      </w:r>
    </w:p>
    <w:bookmarkEnd w:id="28"/>
    <w:bookmarkEnd w:id="29"/>
    <w:sectPr>
      <w:footerReference w:type="default" r:id="rId9"/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URP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Calibri" w:hAnsi="Calibri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Calibri" w:hAnsi="Calibri" w:eastAsia="宋体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/>
    </w:pPr>
    <w:rPr>
      <w:rFonts w:ascii="Calibri" w:hAnsi="Calibri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宋体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宋体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宋体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宋体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宋体"/>
      <w:b/>
    </w:rPr>
  </w:style>
  <w:style w:customStyle="1" w:styleId="Definition" w:type="paragraph">
    <w:name w:val="Definition"/>
    <w:basedOn w:val="Normal"/>
    <w:rPr>
      <w:rFonts w:ascii="Calibri" w:hAnsi="Calibri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/>
    </w:rPr>
  </w:style>
  <w:style w:customStyle="1" w:styleId="ImageCaption" w:type="paragraph">
    <w:name w:val="Image Caption"/>
    <w:basedOn w:val="Caption"/>
    <w:rPr>
      <w:rFonts w:ascii="Calibri" w:hAnsi="Calibri" w:eastAsia="宋体"/>
    </w:rPr>
  </w:style>
  <w:style w:customStyle="1" w:styleId="Figure" w:type="paragraph">
    <w:name w:val="Figure"/>
    <w:basedOn w:val="Normal"/>
    <w:rPr>
      <w:rFonts w:ascii="Calibri" w:hAnsi="Calibri" w:eastAsia="宋体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宋体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宋体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2026-10-18T14:27:41Z</dcterms:created>
  <dcterms:modified xsi:type="dcterms:W3CDTF">2026-10-18T14:27:41Z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