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滴灌玉米改进-aquacrop-的分阶段校准范围敏感性与灌溉决策"/>
    <w:p>
      <w:pPr>
        <w:pStyle w:val="Heading1"/>
      </w:pPr>
      <w:r>
        <w:t xml:space="preserve">滴灌玉米改进 AquaCrop 的分阶段校准、范围敏感性与灌溉决策</w:t>
      </w:r>
    </w:p>
    <w:bookmarkStart w:id="20" w:name="四年数据与插图论文框架2026-10-18-更新版"/>
    <w:p>
      <w:pPr>
        <w:pStyle w:val="Heading2"/>
      </w:pPr>
      <w:r>
        <w:t xml:space="preserve">四年数据与插图论文框架（2026-10-18 更新版）</w:t>
      </w:r>
    </w:p>
    <w:p>
      <w:pPr>
        <w:pStyle w:val="FirstParagraph"/>
      </w:pPr>
      <w:r>
        <w:t xml:space="preserve">本稿统一纳入2019、2020、2021、2022。图中四年分别为蓝、橙、绿、紫，字号与图例位置统一。2019—2021基于已核验的原始输出，2022增加了本轮原模型均值点回放；完整真实模型Sobol和优化实验尚未完成，相关结果保留待填。</w:t>
      </w:r>
    </w:p>
    <w:bookmarkEnd w:id="20"/>
    <w:bookmarkStart w:id="21" w:name="摘要草稿"/>
    <w:p>
      <w:pPr>
        <w:pStyle w:val="Heading2"/>
      </w:pPr>
      <w:r>
        <w:t xml:space="preserve">摘要草稿</w:t>
      </w:r>
    </w:p>
    <w:p>
      <w:pPr>
        <w:pStyle w:val="FirstParagraph"/>
      </w:pPr>
      <w:r>
        <w:t xml:space="preserve">本研究以2019—2022年DI玉米的气象、冠层、生物量、产量和初始土壤水为基础，构建分阶段条件校准、独立范围敏感性和确定性灌溉决策框架。四年冠层与生物量配对序列均可复算，年度中心输入来自各阶段保留样本均值。2022年原模型与12份data原件已补齐，18项源文件哈希匹配，预审及DI/零灌溉均值点回放通过。后续将按预声明公共独立范围开展Sobol分析，并在固定年度中心点、产量与灌溉硬约束下开展双目标优化及候选条件扰动核验。现有结果属于样本内校准与数值复现，不提前报告正式敏感性排序、推荐制度或节水率。</w:t>
      </w:r>
      <w:r>
        <w:t xml:space="preserve"> </w:t>
      </w:r>
      <w:r>
        <w:t xml:space="preserve">关键词：滴灌玉米；改进AquaCrop；分阶段条件校准；Sobol；NSGA-III。</w:t>
      </w:r>
    </w:p>
    <w:bookmarkEnd w:id="21"/>
    <w:bookmarkStart w:id="25" w:name="引言与研究问题"/>
    <w:p>
      <w:pPr>
        <w:pStyle w:val="Heading2"/>
      </w:pPr>
      <w:r>
        <w:t xml:space="preserve">1 引言与研究问题</w:t>
      </w:r>
    </w:p>
    <w:p>
      <w:pPr>
        <w:pStyle w:val="FirstParagraph"/>
      </w:pPr>
      <w:r>
        <w:t xml:space="preserve">研究主线应围绕水分过程校准如何支持受供水与产量限制的管理决策，而不是把算法并列作为创新点。RQ1：四年资料支持哪些过程重现和参数补偿结论？RQ2：预声明独立物理范围下，哪些输入贡献输出方差？RQ3：固定年度中心点时，哪些非支配灌溉制度满足观测产量门槛，其条件参数扰动表现如何？</w:t>
      </w:r>
      <w:r>
        <w:t xml:space="preserve"> </w:t>
      </w:r>
      <w:r>
        <w:t xml:space="preserve">研究区、试验处理、田间重复数与测量误差仍须按原始论文和记录补齐，不能从拟合图推断试验设计。</w:t>
      </w:r>
    </w:p>
    <w:p>
      <w:pPr>
        <w:pStyle w:val="CaptionedFigure"/>
        <w:keepNext/>
        <w:keepLines/>
      </w:pPr>
      <w:r>
        <w:drawing>
          <wp:inline>
            <wp:extent cx="5334000" cy="2571252"/>
            <wp:effectExtent b="0" l="0" r="0" t="0"/>
            <wp:docPr descr="研究路线与当前数据状态" title="" id="23" name="Picture"/>
            <a:graphic>
              <a:graphicData uri="http://schemas.openxmlformats.org/drawingml/2006/picture">
                <pic:pic>
                  <pic:nvPicPr>
                    <pic:cNvPr descr="figures/F01_workflow.png" id="24" name="Picture"/>
                    <pic:cNvPicPr>
                      <a:picLocks noChangeArrowheads="1" noChangeAspect="1"/>
                    </pic:cNvPicPr>
                  </pic:nvPicPr>
                  <pic:blipFill>
                    <a:blip r:embed="rId22"/>
                    <a:stretch>
                      <a:fillRect/>
                    </a:stretch>
                  </pic:blipFill>
                  <pic:spPr bwMode="auto">
                    <a:xfrm>
                      <a:off x="0" y="0"/>
                      <a:ext cx="5334000" cy="2571252"/>
                    </a:xfrm>
                    <a:prstGeom prst="rect">
                      <a:avLst/>
                    </a:prstGeom>
                    <a:noFill/>
                    <a:ln w="9525">
                      <a:noFill/>
                      <a:headEnd/>
                      <a:tailEnd/>
                    </a:ln>
                  </pic:spPr>
                </pic:pic>
              </a:graphicData>
            </a:graphic>
          </wp:inline>
        </w:drawing>
      </w:r>
    </w:p>
    <w:p>
      <w:pPr>
        <w:pStyle w:val="ImageCaption"/>
        <w:keepNext/>
      </w:pPr>
      <w:r>
        <w:t xml:space="preserve">研究路线与当前数据状态</w:t>
      </w:r>
    </w:p>
    <w:p>
      <w:pPr>
        <w:pStyle w:val="BodyText"/>
        <w:keepLines/>
      </w:pPr>
      <w:r>
        <w:t xml:space="preserve">图注：图中状态对应本轮核验；完整敏感性和优化数值不由历史代理图替代。</w:t>
      </w:r>
    </w:p>
    <w:bookmarkEnd w:id="25"/>
    <w:bookmarkStart w:id="26" w:name="数据与模型复现"/>
    <w:p>
      <w:pPr>
        <w:pStyle w:val="Heading2"/>
      </w:pPr>
      <w:r>
        <w:t xml:space="preserve">2 数据与模型复现</w:t>
      </w:r>
    </w:p>
    <w:p>
      <w:pPr>
        <w:pStyle w:val="FirstParagraph"/>
      </w:pPr>
      <w:r>
        <w:t xml:space="preserve">Field LAI转换的CC用于阶段一校准；地上干生物量和年产量用于阶段二条件校准。遥感CC为未进入似然的辅助时序，2019—2021处理为BI、2022标签不全，因此不称DI独立验证。ET=Tr+Es，派生ET核对不重复作为独立似然信息。</w:t>
      </w:r>
      <w:r>
        <w:t xml:space="preserve"> </w:t>
      </w:r>
      <w:r>
        <w:t xml:space="preserve">2022模型源码SHA256为31dc424301d544ca55cbdaf3f68a9b7c265feef2b66f3380f67121232fe954d5，与原阶段二合同一致；数据文件全部按原哈希核对。实际预审、冻结初始点及历史分组MAP复现通过。在阶段二均值点，本轮重算DI产量14.0777828181 t/ha、ET596.7846360647 mm；DI与零灌溉汇总和原记录差异均低于1.5×10^-14。阶段二均值输出不是后验预测均值。</w:t>
      </w:r>
      <w:r>
        <w:t xml:space="preserve"> </w:t>
      </w:r>
      <w:r>
        <w:t xml:space="preserve">当前工程已接入2022原模型；2019—2021的原始模型实现仍待接入。四年图表所用原输出与原件来源逐项记录，不能把重绘理解为本轮重新执行另外三年模型。</w:t>
      </w:r>
    </w:p>
    <w:bookmarkEnd w:id="26"/>
    <w:bookmarkStart w:id="33" w:name="冻结分阶段校准与参数"/>
    <w:p>
      <w:pPr>
        <w:pStyle w:val="Heading2"/>
      </w:pPr>
      <w:r>
        <w:t xml:space="preserve">3 冻结分阶段校准与参数</w:t>
      </w:r>
    </w:p>
    <w:p>
      <w:pPr>
        <w:pStyle w:val="FirstParagraph"/>
      </w:pPr>
      <w:r>
        <w:t xml:space="preserve">阶段一为CCx、CGC_CD、CDC_CD、SenescenceCD、Kcb，阶段二为WP_early、WP_late、HI0。确定性分析采用年度两组保留样本的均值拼接；不把不同阶段、年度样本拼成八维联合后验。</w:t>
      </w:r>
      <w:r>
        <w:t xml:space="preserve"> </w:t>
      </w:r>
      <w:r>
        <w:t xml:space="preserve">每年阶段一4个独立ensemble，阶段二1个，每组32 walkers、2000步。采用组内最大τ的5倍向上取整截断；2022阶段二burn=163，保留1837步/每walker、58784行相关样本。原八个保留数组均保持冻结，不重跑MCMC。</w:t>
      </w:r>
      <w:r>
        <w:t xml:space="preserve"> </w:t>
      </w:r>
      <w:r>
        <w:t xml:space="preserve">严格阶段一Rhat/ESS限制在补充图S01单列，不将耦合walker视作独立链，也不宣称已认证联合收敛。确定性下游流程不因此强制新增联合后验门槛。</w:t>
      </w:r>
    </w:p>
    <w:p>
      <w:pPr>
        <w:pStyle w:val="CaptionedFigure"/>
        <w:keepNext/>
        <w:keepLines/>
      </w:pPr>
      <w:r>
        <w:drawing>
          <wp:inline>
            <wp:extent cx="5334000" cy="6026496"/>
            <wp:effectExtent b="0" l="0" r="0" t="0"/>
            <wp:docPr descr="四年冻结中心参数" title="" id="28" name="Picture"/>
            <a:graphic>
              <a:graphicData uri="http://schemas.openxmlformats.org/drawingml/2006/picture">
                <pic:pic>
                  <pic:nvPicPr>
                    <pic:cNvPr descr="figures/F17_parameter_centers.png" id="29" name="Picture"/>
                    <pic:cNvPicPr>
                      <a:picLocks noChangeArrowheads="1" noChangeAspect="1"/>
                    </pic:cNvPicPr>
                  </pic:nvPicPr>
                  <pic:blipFill>
                    <a:blip r:embed="rId27"/>
                    <a:stretch>
                      <a:fillRect/>
                    </a:stretch>
                  </pic:blipFill>
                  <pic:spPr bwMode="auto">
                    <a:xfrm>
                      <a:off x="0" y="0"/>
                      <a:ext cx="5334000" cy="6026496"/>
                    </a:xfrm>
                    <a:prstGeom prst="rect">
                      <a:avLst/>
                    </a:prstGeom>
                    <a:noFill/>
                    <a:ln w="9525">
                      <a:noFill/>
                      <a:headEnd/>
                      <a:tailEnd/>
                    </a:ln>
                  </pic:spPr>
                </pic:pic>
              </a:graphicData>
            </a:graphic>
          </wp:inline>
        </w:drawing>
      </w:r>
    </w:p>
    <w:p>
      <w:pPr>
        <w:pStyle w:val="ImageCaption"/>
        <w:keepNext/>
      </w:pPr>
      <w:r>
        <w:t xml:space="preserve">四年冻结中心参数</w:t>
      </w:r>
    </w:p>
    <w:p>
      <w:pPr>
        <w:pStyle w:val="BodyText"/>
        <w:keepLines/>
      </w:pPr>
      <w:r>
        <w:t xml:space="preserve">图注：各阶段保留样本的算术均值；连线仅用于年度比较，不表示已证明跨年趋势。</w:t>
      </w:r>
    </w:p>
    <w:p>
      <w:pPr>
        <w:pStyle w:val="CaptionedFigure"/>
        <w:keepNext/>
        <w:keepLines/>
      </w:pPr>
      <w:r>
        <w:drawing>
          <wp:inline>
            <wp:extent cx="5334000" cy="6253777"/>
            <wp:effectExtent b="0" l="0" r="0" t="0"/>
            <wp:docPr descr="四年八参数的条件分布区间" title="" id="31" name="Picture"/>
            <a:graphic>
              <a:graphicData uri="http://schemas.openxmlformats.org/drawingml/2006/picture">
                <pic:pic>
                  <pic:nvPicPr>
                    <pic:cNvPr descr="figures/F07_parameter_intervals.png" id="32" name="Picture"/>
                    <pic:cNvPicPr>
                      <a:picLocks noChangeArrowheads="1" noChangeAspect="1"/>
                    </pic:cNvPicPr>
                  </pic:nvPicPr>
                  <pic:blipFill>
                    <a:blip r:embed="rId30"/>
                    <a:stretch>
                      <a:fillRect/>
                    </a:stretch>
                  </pic:blipFill>
                  <pic:spPr bwMode="auto">
                    <a:xfrm>
                      <a:off x="0" y="0"/>
                      <a:ext cx="5334000" cy="6253777"/>
                    </a:xfrm>
                    <a:prstGeom prst="rect">
                      <a:avLst/>
                    </a:prstGeom>
                    <a:noFill/>
                    <a:ln w="9525">
                      <a:noFill/>
                      <a:headEnd/>
                      <a:tailEnd/>
                    </a:ln>
                  </pic:spPr>
                </pic:pic>
              </a:graphicData>
            </a:graphic>
          </wp:inline>
        </w:drawing>
      </w:r>
    </w:p>
    <w:p>
      <w:pPr>
        <w:pStyle w:val="ImageCaption"/>
        <w:keepNext/>
      </w:pPr>
      <w:r>
        <w:t xml:space="preserve">四年八参数的条件分布区间</w:t>
      </w:r>
    </w:p>
    <w:p>
      <w:pPr>
        <w:pStyle w:val="BodyText"/>
        <w:keepLines/>
      </w:pPr>
      <w:r>
        <w:t xml:space="preserve">图注：点为中位数，线为 2.5%—97.5% 保留样本分位；分阶段结果不构成八维联合后验。</w:t>
      </w:r>
    </w:p>
    <w:bookmarkEnd w:id="33"/>
    <w:bookmarkStart w:id="45" w:name="四年校准结果"/>
    <w:p>
      <w:pPr>
        <w:pStyle w:val="Heading2"/>
      </w:pPr>
      <w:r>
        <w:t xml:space="preserve">4 四年校准结果</w:t>
      </w:r>
    </w:p>
    <w:bookmarkStart w:id="37" w:name="冠层覆盖度"/>
    <w:p>
      <w:pPr>
        <w:pStyle w:val="Heading3"/>
      </w:pPr>
      <w:r>
        <w:t xml:space="preserve">4.1 冠层覆盖度</w:t>
      </w:r>
    </w:p>
    <w:tbl>
      <w:tblPr>
        <w:tblStyle w:val="Table"/>
        <w:tblW w:type="auto" w:w="0"/>
        <w:jc w:val="left"/>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1980"/>
        <w:gridCol w:w="1980"/>
        <w:gridCol w:w="1980"/>
        <w:gridCol w:w="1980"/>
      </w:tblGrid>
      <w:tr>
        <w:trPr>
          <w:tblHeader w:val="on"/>
        </w:trPr>
        <w:tc>
          <w:tcPr>
            <w:shd w:fill="DDE8EE"/>
          </w:tcPr>
          <w:p>
            <w:pPr>
              <w:pStyle w:val="Compact"/>
              <w:jc w:val="left"/>
            </w:pPr>
            <w:r>
              <w:rPr>
                <w:sz w:val="16"/>
              </w:rPr>
              <w:t xml:space="preserve">年份</w:t>
            </w:r>
          </w:p>
        </w:tc>
        <w:tc>
          <w:tcPr>
            <w:shd w:fill="DDE8EE"/>
          </w:tcPr>
          <w:p>
            <w:pPr>
              <w:pStyle w:val="Compact"/>
              <w:jc w:val="left"/>
            </w:pPr>
            <w:r>
              <w:rPr>
                <w:sz w:val="16"/>
              </w:rPr>
              <w:t xml:space="preserve">配对数</w:t>
            </w:r>
          </w:p>
        </w:tc>
        <w:tc>
          <w:tcPr>
            <w:shd w:fill="DDE8EE"/>
          </w:tcPr>
          <w:p>
            <w:pPr>
              <w:pStyle w:val="Compact"/>
              <w:jc w:val="left"/>
            </w:pPr>
            <w:r>
              <w:rPr>
                <w:sz w:val="16"/>
              </w:rPr>
              <w:t xml:space="preserve">R2</w:t>
            </w:r>
          </w:p>
        </w:tc>
        <w:tc>
          <w:tcPr>
            <w:shd w:fill="DDE8EE"/>
          </w:tcPr>
          <w:p>
            <w:pPr>
              <w:pStyle w:val="Compact"/>
              <w:jc w:val="left"/>
            </w:pPr>
            <w:r>
              <w:rPr>
                <w:sz w:val="16"/>
              </w:rPr>
              <w:t xml:space="preserve">RMSE</w:t>
            </w:r>
          </w:p>
        </w:tc>
      </w:tr>
      <w:tr>
        <w:tc>
          <w:tcPr/>
          <w:p>
            <w:pPr>
              <w:pStyle w:val="Compact"/>
              <w:jc w:val="left"/>
            </w:pPr>
            <w:r>
              <w:rPr>
                <w:sz w:val="16"/>
              </w:rPr>
              <w:t xml:space="preserve">2019</w:t>
            </w:r>
          </w:p>
        </w:tc>
        <w:tc>
          <w:tcPr/>
          <w:p>
            <w:pPr>
              <w:pStyle w:val="Compact"/>
              <w:jc w:val="left"/>
            </w:pPr>
            <w:r>
              <w:rPr>
                <w:sz w:val="16"/>
              </w:rPr>
              <w:t xml:space="preserve">12</w:t>
            </w:r>
          </w:p>
        </w:tc>
        <w:tc>
          <w:tcPr/>
          <w:p>
            <w:pPr>
              <w:pStyle w:val="Compact"/>
              <w:jc w:val="left"/>
            </w:pPr>
            <w:r>
              <w:rPr>
                <w:sz w:val="16"/>
              </w:rPr>
              <w:t xml:space="preserve">0.9932</w:t>
            </w:r>
          </w:p>
        </w:tc>
        <w:tc>
          <w:tcPr/>
          <w:p>
            <w:pPr>
              <w:pStyle w:val="Compact"/>
              <w:jc w:val="left"/>
            </w:pPr>
            <w:r>
              <w:rPr>
                <w:sz w:val="16"/>
              </w:rPr>
              <w:t xml:space="preserve">0.0316</w:t>
            </w:r>
          </w:p>
        </w:tc>
      </w:tr>
      <w:tr>
        <w:tc>
          <w:tcPr/>
          <w:p>
            <w:pPr>
              <w:pStyle w:val="Compact"/>
              <w:jc w:val="left"/>
            </w:pPr>
            <w:r>
              <w:rPr>
                <w:sz w:val="16"/>
              </w:rPr>
              <w:t xml:space="preserve">2020</w:t>
            </w:r>
          </w:p>
        </w:tc>
        <w:tc>
          <w:tcPr/>
          <w:p>
            <w:pPr>
              <w:pStyle w:val="Compact"/>
              <w:jc w:val="left"/>
            </w:pPr>
            <w:r>
              <w:rPr>
                <w:sz w:val="16"/>
              </w:rPr>
              <w:t xml:space="preserve">13</w:t>
            </w:r>
          </w:p>
        </w:tc>
        <w:tc>
          <w:tcPr/>
          <w:p>
            <w:pPr>
              <w:pStyle w:val="Compact"/>
              <w:jc w:val="left"/>
            </w:pPr>
            <w:r>
              <w:rPr>
                <w:sz w:val="16"/>
              </w:rPr>
              <w:t xml:space="preserve">0.9794</w:t>
            </w:r>
          </w:p>
        </w:tc>
        <w:tc>
          <w:tcPr/>
          <w:p>
            <w:pPr>
              <w:pStyle w:val="Compact"/>
              <w:jc w:val="left"/>
            </w:pPr>
            <w:r>
              <w:rPr>
                <w:sz w:val="16"/>
              </w:rPr>
              <w:t xml:space="preserve">0.0482</w:t>
            </w:r>
          </w:p>
        </w:tc>
      </w:tr>
      <w:tr>
        <w:tc>
          <w:tcPr/>
          <w:p>
            <w:pPr>
              <w:pStyle w:val="Compact"/>
              <w:jc w:val="left"/>
            </w:pPr>
            <w:r>
              <w:rPr>
                <w:sz w:val="16"/>
              </w:rPr>
              <w:t xml:space="preserve">2021</w:t>
            </w:r>
          </w:p>
        </w:tc>
        <w:tc>
          <w:tcPr/>
          <w:p>
            <w:pPr>
              <w:pStyle w:val="Compact"/>
              <w:jc w:val="left"/>
            </w:pPr>
            <w:r>
              <w:rPr>
                <w:sz w:val="16"/>
              </w:rPr>
              <w:t xml:space="preserve">11</w:t>
            </w:r>
          </w:p>
        </w:tc>
        <w:tc>
          <w:tcPr/>
          <w:p>
            <w:pPr>
              <w:pStyle w:val="Compact"/>
              <w:jc w:val="left"/>
            </w:pPr>
            <w:r>
              <w:rPr>
                <w:sz w:val="16"/>
              </w:rPr>
              <w:t xml:space="preserve">0.9902</w:t>
            </w:r>
          </w:p>
        </w:tc>
        <w:tc>
          <w:tcPr/>
          <w:p>
            <w:pPr>
              <w:pStyle w:val="Compact"/>
              <w:jc w:val="left"/>
            </w:pPr>
            <w:r>
              <w:rPr>
                <w:sz w:val="16"/>
              </w:rPr>
              <w:t xml:space="preserve">0.0370</w:t>
            </w:r>
          </w:p>
        </w:tc>
      </w:tr>
      <w:tr>
        <w:tc>
          <w:tcPr/>
          <w:p>
            <w:pPr>
              <w:pStyle w:val="Compact"/>
              <w:jc w:val="left"/>
            </w:pPr>
            <w:r>
              <w:rPr>
                <w:sz w:val="16"/>
              </w:rPr>
              <w:t xml:space="preserve">2022</w:t>
            </w:r>
          </w:p>
        </w:tc>
        <w:tc>
          <w:tcPr/>
          <w:p>
            <w:pPr>
              <w:pStyle w:val="Compact"/>
              <w:jc w:val="left"/>
            </w:pPr>
            <w:r>
              <w:rPr>
                <w:sz w:val="16"/>
              </w:rPr>
              <w:t xml:space="preserve">12</w:t>
            </w:r>
          </w:p>
        </w:tc>
        <w:tc>
          <w:tcPr/>
          <w:p>
            <w:pPr>
              <w:pStyle w:val="Compact"/>
              <w:jc w:val="left"/>
            </w:pPr>
            <w:r>
              <w:rPr>
                <w:sz w:val="16"/>
              </w:rPr>
              <w:t xml:space="preserve">0.9306</w:t>
            </w:r>
          </w:p>
        </w:tc>
        <w:tc>
          <w:tcPr/>
          <w:p>
            <w:pPr>
              <w:pStyle w:val="Compact"/>
              <w:jc w:val="left"/>
            </w:pPr>
            <w:r>
              <w:rPr>
                <w:sz w:val="16"/>
              </w:rPr>
              <w:t xml:space="preserve">0.0596</w:t>
            </w:r>
          </w:p>
        </w:tc>
      </w:tr>
    </w:tbl>
    <w:p>
      <w:pPr>
        <w:pStyle w:val="CaptionedFigure"/>
        <w:keepNext/>
        <w:keepLines/>
      </w:pPr>
      <w:r>
        <w:drawing>
          <wp:inline>
            <wp:extent cx="5334000" cy="4261517"/>
            <wp:effectExtent b="0" l="0" r="0" t="0"/>
            <wp:docPr descr="四年冠层覆盖度：模拟过程与校准观测" title="" id="35" name="Picture"/>
            <a:graphic>
              <a:graphicData uri="http://schemas.openxmlformats.org/drawingml/2006/picture">
                <pic:pic>
                  <pic:nvPicPr>
                    <pic:cNvPr descr="figures/F02_CC_trajectories.png" id="36" name="Picture"/>
                    <pic:cNvPicPr>
                      <a:picLocks noChangeArrowheads="1" noChangeAspect="1"/>
                    </pic:cNvPicPr>
                  </pic:nvPicPr>
                  <pic:blipFill>
                    <a:blip r:embed="rId34"/>
                    <a:stretch>
                      <a:fillRect/>
                    </a:stretch>
                  </pic:blipFill>
                  <pic:spPr bwMode="auto">
                    <a:xfrm>
                      <a:off x="0" y="0"/>
                      <a:ext cx="5334000" cy="4261517"/>
                    </a:xfrm>
                    <a:prstGeom prst="rect">
                      <a:avLst/>
                    </a:prstGeom>
                    <a:noFill/>
                    <a:ln w="9525">
                      <a:noFill/>
                      <a:headEnd/>
                      <a:tailEnd/>
                    </a:ln>
                  </pic:spPr>
                </pic:pic>
              </a:graphicData>
            </a:graphic>
          </wp:inline>
        </w:drawing>
      </w:r>
    </w:p>
    <w:p>
      <w:pPr>
        <w:pStyle w:val="ImageCaption"/>
        <w:keepNext/>
      </w:pPr>
      <w:r>
        <w:t xml:space="preserve">四年冠层覆盖度：模拟过程与校准观测</w:t>
      </w:r>
    </w:p>
    <w:p>
      <w:pPr>
        <w:pStyle w:val="BodyText"/>
        <w:keepLines/>
      </w:pPr>
      <w:r>
        <w:t xml:space="preserve">图注：2019—2021 来自已核验原输出；2022 为本次冻结均值点回放。样本内校准评价。</w:t>
      </w:r>
    </w:p>
    <w:bookmarkEnd w:id="37"/>
    <w:bookmarkStart w:id="44" w:name="地上干生物量"/>
    <w:p>
      <w:pPr>
        <w:pStyle w:val="Heading3"/>
      </w:pPr>
      <w:r>
        <w:t xml:space="preserve">4.2 地上干生物量</w:t>
      </w:r>
    </w:p>
    <w:tbl>
      <w:tblPr>
        <w:tblStyle w:val="Table"/>
        <w:tblW w:type="auto" w:w="0"/>
        <w:jc w:val="left"/>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1980"/>
        <w:gridCol w:w="1980"/>
        <w:gridCol w:w="1980"/>
        <w:gridCol w:w="1980"/>
      </w:tblGrid>
      <w:tr>
        <w:trPr>
          <w:tblHeader w:val="on"/>
        </w:trPr>
        <w:tc>
          <w:tcPr>
            <w:shd w:fill="DDE8EE"/>
          </w:tcPr>
          <w:p>
            <w:pPr>
              <w:pStyle w:val="Compact"/>
              <w:jc w:val="left"/>
            </w:pPr>
            <w:r>
              <w:rPr>
                <w:sz w:val="16"/>
              </w:rPr>
              <w:t xml:space="preserve">年份</w:t>
            </w:r>
          </w:p>
        </w:tc>
        <w:tc>
          <w:tcPr>
            <w:shd w:fill="DDE8EE"/>
          </w:tcPr>
          <w:p>
            <w:pPr>
              <w:pStyle w:val="Compact"/>
              <w:jc w:val="left"/>
            </w:pPr>
            <w:r>
              <w:rPr>
                <w:sz w:val="16"/>
              </w:rPr>
              <w:t xml:space="preserve">配对数</w:t>
            </w:r>
          </w:p>
        </w:tc>
        <w:tc>
          <w:tcPr>
            <w:shd w:fill="DDE8EE"/>
          </w:tcPr>
          <w:p>
            <w:pPr>
              <w:pStyle w:val="Compact"/>
              <w:jc w:val="left"/>
            </w:pPr>
            <w:r>
              <w:rPr>
                <w:sz w:val="16"/>
              </w:rPr>
              <w:t xml:space="preserve">R2</w:t>
            </w:r>
          </w:p>
        </w:tc>
        <w:tc>
          <w:tcPr>
            <w:shd w:fill="DDE8EE"/>
          </w:tcPr>
          <w:p>
            <w:pPr>
              <w:pStyle w:val="Compact"/>
              <w:jc w:val="left"/>
            </w:pPr>
            <w:r>
              <w:rPr>
                <w:sz w:val="16"/>
              </w:rPr>
              <w:t xml:space="preserve">RMSE_t_ha</w:t>
            </w:r>
          </w:p>
        </w:tc>
      </w:tr>
      <w:tr>
        <w:tc>
          <w:tcPr/>
          <w:p>
            <w:pPr>
              <w:pStyle w:val="Compact"/>
              <w:jc w:val="left"/>
            </w:pPr>
            <w:r>
              <w:rPr>
                <w:sz w:val="16"/>
              </w:rPr>
              <w:t xml:space="preserve">2019</w:t>
            </w:r>
          </w:p>
        </w:tc>
        <w:tc>
          <w:tcPr/>
          <w:p>
            <w:pPr>
              <w:pStyle w:val="Compact"/>
              <w:jc w:val="left"/>
            </w:pPr>
            <w:r>
              <w:rPr>
                <w:sz w:val="16"/>
              </w:rPr>
              <w:t xml:space="preserve">9.0000</w:t>
            </w:r>
          </w:p>
        </w:tc>
        <w:tc>
          <w:tcPr/>
          <w:p>
            <w:pPr>
              <w:pStyle w:val="Compact"/>
              <w:jc w:val="left"/>
            </w:pPr>
            <w:r>
              <w:rPr>
                <w:sz w:val="16"/>
              </w:rPr>
              <w:t xml:space="preserve">0.9926</w:t>
            </w:r>
          </w:p>
        </w:tc>
        <w:tc>
          <w:tcPr/>
          <w:p>
            <w:pPr>
              <w:pStyle w:val="Compact"/>
              <w:jc w:val="left"/>
            </w:pPr>
            <w:r>
              <w:rPr>
                <w:sz w:val="16"/>
              </w:rPr>
              <w:t xml:space="preserve">1.0498</w:t>
            </w:r>
          </w:p>
        </w:tc>
      </w:tr>
      <w:tr>
        <w:tc>
          <w:tcPr/>
          <w:p>
            <w:pPr>
              <w:pStyle w:val="Compact"/>
              <w:jc w:val="left"/>
            </w:pPr>
            <w:r>
              <w:rPr>
                <w:sz w:val="16"/>
              </w:rPr>
              <w:t xml:space="preserve">2020</w:t>
            </w:r>
          </w:p>
        </w:tc>
        <w:tc>
          <w:tcPr/>
          <w:p>
            <w:pPr>
              <w:pStyle w:val="Compact"/>
              <w:jc w:val="left"/>
            </w:pPr>
            <w:r>
              <w:rPr>
                <w:sz w:val="16"/>
              </w:rPr>
              <w:t xml:space="preserve">10.0000</w:t>
            </w:r>
          </w:p>
        </w:tc>
        <w:tc>
          <w:tcPr/>
          <w:p>
            <w:pPr>
              <w:pStyle w:val="Compact"/>
              <w:jc w:val="left"/>
            </w:pPr>
            <w:r>
              <w:rPr>
                <w:sz w:val="16"/>
              </w:rPr>
              <w:t xml:space="preserve">0.9766</w:t>
            </w:r>
          </w:p>
        </w:tc>
        <w:tc>
          <w:tcPr/>
          <w:p>
            <w:pPr>
              <w:pStyle w:val="Compact"/>
              <w:jc w:val="left"/>
            </w:pPr>
            <w:r>
              <w:rPr>
                <w:sz w:val="16"/>
              </w:rPr>
              <w:t xml:space="preserve">1.1393</w:t>
            </w:r>
          </w:p>
        </w:tc>
      </w:tr>
      <w:tr>
        <w:tc>
          <w:tcPr/>
          <w:p>
            <w:pPr>
              <w:pStyle w:val="Compact"/>
              <w:jc w:val="left"/>
            </w:pPr>
            <w:r>
              <w:rPr>
                <w:sz w:val="16"/>
              </w:rPr>
              <w:t xml:space="preserve">2021</w:t>
            </w:r>
          </w:p>
        </w:tc>
        <w:tc>
          <w:tcPr/>
          <w:p>
            <w:pPr>
              <w:pStyle w:val="Compact"/>
              <w:jc w:val="left"/>
            </w:pPr>
            <w:r>
              <w:rPr>
                <w:sz w:val="16"/>
              </w:rPr>
              <w:t xml:space="preserve">8.0000</w:t>
            </w:r>
          </w:p>
        </w:tc>
        <w:tc>
          <w:tcPr/>
          <w:p>
            <w:pPr>
              <w:pStyle w:val="Compact"/>
              <w:jc w:val="left"/>
            </w:pPr>
            <w:r>
              <w:rPr>
                <w:sz w:val="16"/>
              </w:rPr>
              <w:t xml:space="preserve">0.9685</w:t>
            </w:r>
          </w:p>
        </w:tc>
        <w:tc>
          <w:tcPr/>
          <w:p>
            <w:pPr>
              <w:pStyle w:val="Compact"/>
              <w:jc w:val="left"/>
            </w:pPr>
            <w:r>
              <w:rPr>
                <w:sz w:val="16"/>
              </w:rPr>
              <w:t xml:space="preserve">1.2520</w:t>
            </w:r>
          </w:p>
        </w:tc>
      </w:tr>
      <w:tr>
        <w:tc>
          <w:tcPr/>
          <w:p>
            <w:pPr>
              <w:pStyle w:val="Compact"/>
              <w:jc w:val="left"/>
            </w:pPr>
            <w:r>
              <w:rPr>
                <w:sz w:val="16"/>
              </w:rPr>
              <w:t xml:space="preserve">2022</w:t>
            </w:r>
          </w:p>
        </w:tc>
        <w:tc>
          <w:tcPr/>
          <w:p>
            <w:pPr>
              <w:pStyle w:val="Compact"/>
              <w:jc w:val="left"/>
            </w:pPr>
            <w:r>
              <w:rPr>
                <w:sz w:val="16"/>
              </w:rPr>
              <w:t xml:space="preserve">10.0000</w:t>
            </w:r>
          </w:p>
        </w:tc>
        <w:tc>
          <w:tcPr/>
          <w:p>
            <w:pPr>
              <w:pStyle w:val="Compact"/>
              <w:jc w:val="left"/>
            </w:pPr>
            <w:r>
              <w:rPr>
                <w:sz w:val="16"/>
              </w:rPr>
              <w:t xml:space="preserve">0.9966</w:t>
            </w:r>
          </w:p>
        </w:tc>
        <w:tc>
          <w:tcPr/>
          <w:p>
            <w:pPr>
              <w:pStyle w:val="Compact"/>
              <w:jc w:val="left"/>
            </w:pPr>
            <w:r>
              <w:rPr>
                <w:sz w:val="16"/>
              </w:rPr>
              <w:t xml:space="preserve">0.5562</w:t>
            </w:r>
          </w:p>
        </w:tc>
      </w:tr>
    </w:tbl>
    <w:p>
      <w:pPr>
        <w:pStyle w:val="CaptionedFigure"/>
        <w:keepNext/>
        <w:keepLines/>
      </w:pPr>
      <w:r>
        <w:drawing>
          <wp:inline>
            <wp:extent cx="5334000" cy="4261517"/>
            <wp:effectExtent b="0" l="0" r="0" t="0"/>
            <wp:docPr descr="四年生物量：模拟过程与校准观测" title="" id="39" name="Picture"/>
            <a:graphic>
              <a:graphicData uri="http://schemas.openxmlformats.org/drawingml/2006/picture">
                <pic:pic>
                  <pic:nvPicPr>
                    <pic:cNvPr descr="figures/F03_Biomass_trajectories.png" id="40" name="Picture"/>
                    <pic:cNvPicPr>
                      <a:picLocks noChangeArrowheads="1" noChangeAspect="1"/>
                    </pic:cNvPicPr>
                  </pic:nvPicPr>
                  <pic:blipFill>
                    <a:blip r:embed="rId38"/>
                    <a:stretch>
                      <a:fillRect/>
                    </a:stretch>
                  </pic:blipFill>
                  <pic:spPr bwMode="auto">
                    <a:xfrm>
                      <a:off x="0" y="0"/>
                      <a:ext cx="5334000" cy="4261517"/>
                    </a:xfrm>
                    <a:prstGeom prst="rect">
                      <a:avLst/>
                    </a:prstGeom>
                    <a:noFill/>
                    <a:ln w="9525">
                      <a:noFill/>
                      <a:headEnd/>
                      <a:tailEnd/>
                    </a:ln>
                  </pic:spPr>
                </pic:pic>
              </a:graphicData>
            </a:graphic>
          </wp:inline>
        </w:drawing>
      </w:r>
    </w:p>
    <w:p>
      <w:pPr>
        <w:pStyle w:val="ImageCaption"/>
        <w:keepNext/>
      </w:pPr>
      <w:r>
        <w:t xml:space="preserve">四年生物量：模拟过程与校准观测</w:t>
      </w:r>
    </w:p>
    <w:p>
      <w:pPr>
        <w:pStyle w:val="BodyText"/>
        <w:keepLines/>
      </w:pPr>
      <w:r>
        <w:t xml:space="preserve">图注：2019—2021 来自已核验原输出；2022 为本次冻结均值点回放。样本内校准评价。</w:t>
      </w:r>
    </w:p>
    <w:p>
      <w:pPr>
        <w:pStyle w:val="BodyText"/>
      </w:pPr>
      <w:r>
        <w:t xml:space="preserve">R²按1−SSE/SST计算，与Pearson相关平方分开；RMSE保留对应单位。2022冠层早期低估和2021生物量偏差应如实讨论，不通过平滑、删点或视觉缩放隐藏。四年散点配对图F04/F05另行提供。</w:t>
      </w:r>
      <w:r>
        <w:t xml:space="preserve"> </w:t>
      </w:r>
      <w:r>
        <w:t xml:space="preserve">### 4.3 年产量与误差</w:t>
      </w:r>
      <w:r>
        <w:t xml:space="preserve"> </w:t>
      </w:r>
      <w:r>
        <w:t xml:space="preserve">| 年份 | 观测产量 | 模拟产量 | 产量误差_pct |</w:t>
      </w:r>
      <w:r>
        <w:t xml:space="preserve"> </w:t>
      </w:r>
      <w:r>
        <w:t xml:space="preserve">| — | — | — | — |</w:t>
      </w:r>
      <w:r>
        <w:t xml:space="preserve"> </w:t>
      </w:r>
      <w:r>
        <w:t xml:space="preserve">| 2019 | 16.5500 | 16.7017 | 0.9166 |</w:t>
      </w:r>
      <w:r>
        <w:t xml:space="preserve"> </w:t>
      </w:r>
      <w:r>
        <w:t xml:space="preserve">| 2020 | 17.2900 | 16.8040 | -2.8107 |</w:t>
      </w:r>
      <w:r>
        <w:t xml:space="preserve"> </w:t>
      </w:r>
      <w:r>
        <w:t xml:space="preserve">| 2021 | 15.8600 | 15.1971 | -4.1795 |</w:t>
      </w:r>
      <w:r>
        <w:t xml:space="preserve"> </w:t>
      </w:r>
      <w:r>
        <w:t xml:space="preserve">| 2022 | 14.0800 | 14.0778 | -0.0157 |</w:t>
      </w:r>
      <w:r>
        <w:t xml:space="preserve"> </w:t>
      </w:r>
      <w:r>
        <w:t xml:space="preserve">每年仅一对年产量，单年产量R²不计算。±5%为项目容许幅度，不是统计置信带。上述指标为校准拟合，不是外部验证。</w:t>
      </w:r>
    </w:p>
    <w:p>
      <w:pPr>
        <w:pStyle w:val="CaptionedFigure"/>
        <w:keepNext/>
        <w:keepLines/>
      </w:pPr>
      <w:r>
        <w:drawing>
          <wp:inline>
            <wp:extent cx="5334000" cy="2174864"/>
            <wp:effectExtent b="0" l="0" r="0" t="0"/>
            <wp:docPr descr="四年校准误差概览" title="" id="42" name="Picture"/>
            <a:graphic>
              <a:graphicData uri="http://schemas.openxmlformats.org/drawingml/2006/picture">
                <pic:pic>
                  <pic:nvPicPr>
                    <pic:cNvPr descr="figures/F06_calibration_summary.png" id="43" name="Picture"/>
                    <pic:cNvPicPr>
                      <a:picLocks noChangeArrowheads="1" noChangeAspect="1"/>
                    </pic:cNvPicPr>
                  </pic:nvPicPr>
                  <pic:blipFill>
                    <a:blip r:embed="rId41"/>
                    <a:stretch>
                      <a:fillRect/>
                    </a:stretch>
                  </pic:blipFill>
                  <pic:spPr bwMode="auto">
                    <a:xfrm>
                      <a:off x="0" y="0"/>
                      <a:ext cx="5334000" cy="2174864"/>
                    </a:xfrm>
                    <a:prstGeom prst="rect">
                      <a:avLst/>
                    </a:prstGeom>
                    <a:noFill/>
                    <a:ln w="9525">
                      <a:noFill/>
                      <a:headEnd/>
                      <a:tailEnd/>
                    </a:ln>
                  </pic:spPr>
                </pic:pic>
              </a:graphicData>
            </a:graphic>
          </wp:inline>
        </w:drawing>
      </w:r>
    </w:p>
    <w:p>
      <w:pPr>
        <w:pStyle w:val="ImageCaption"/>
        <w:keepNext/>
      </w:pPr>
      <w:r>
        <w:t xml:space="preserve">四年校准误差概览</w:t>
      </w:r>
    </w:p>
    <w:p>
      <w:pPr>
        <w:pStyle w:val="BodyText"/>
        <w:keepLines/>
      </w:pPr>
      <w:r>
        <w:t xml:space="preserve">图注：灰带为项目 ±5% 产量容许幅度，不是置信区间。2022 配对指标与产量已核验。</w:t>
      </w:r>
    </w:p>
    <w:bookmarkEnd w:id="44"/>
    <w:bookmarkEnd w:id="45"/>
    <w:bookmarkStart w:id="52" w:name="参数补偿与水量过程"/>
    <w:p>
      <w:pPr>
        <w:pStyle w:val="Heading2"/>
      </w:pPr>
      <w:r>
        <w:t xml:space="preserve">5 参数补偿与水量过程</w:t>
      </w:r>
    </w:p>
    <w:p>
      <w:pPr>
        <w:pStyle w:val="FirstParagraph"/>
      </w:pPr>
      <w:r>
        <w:t xml:space="preserve">2022阶段二WP_late与HI0相关约−0.645；其他年度也存在补偿结构。后续条件扰动应保留同一阶段样本的整行相关，不用边际独立重抽代替。跨年参数差异可能吸收驱动误差、数字化误差及结构差异，不仅代表生理变化。</w:t>
      </w:r>
    </w:p>
    <w:p>
      <w:pPr>
        <w:pStyle w:val="CaptionedFigure"/>
        <w:keepNext/>
        <w:keepLines/>
      </w:pPr>
      <w:r>
        <w:drawing>
          <wp:inline>
            <wp:extent cx="5334000" cy="3984519"/>
            <wp:effectExtent b="0" l="0" r="0" t="0"/>
            <wp:docPr descr="四年第二阶段参数补偿" title="" id="47" name="Picture"/>
            <a:graphic>
              <a:graphicData uri="http://schemas.openxmlformats.org/drawingml/2006/picture">
                <pic:pic>
                  <pic:nvPicPr>
                    <pic:cNvPr descr="figures/F08_phase2_compensation.png" id="48" name="Picture"/>
                    <pic:cNvPicPr>
                      <a:picLocks noChangeArrowheads="1" noChangeAspect="1"/>
                    </pic:cNvPicPr>
                  </pic:nvPicPr>
                  <pic:blipFill>
                    <a:blip r:embed="rId46"/>
                    <a:stretch>
                      <a:fillRect/>
                    </a:stretch>
                  </pic:blipFill>
                  <pic:spPr bwMode="auto">
                    <a:xfrm>
                      <a:off x="0" y="0"/>
                      <a:ext cx="5334000" cy="3984519"/>
                    </a:xfrm>
                    <a:prstGeom prst="rect">
                      <a:avLst/>
                    </a:prstGeom>
                    <a:noFill/>
                    <a:ln w="9525">
                      <a:noFill/>
                      <a:headEnd/>
                      <a:tailEnd/>
                    </a:ln>
                  </pic:spPr>
                </pic:pic>
              </a:graphicData>
            </a:graphic>
          </wp:inline>
        </w:drawing>
      </w:r>
    </w:p>
    <w:p>
      <w:pPr>
        <w:pStyle w:val="ImageCaption"/>
        <w:keepNext/>
      </w:pPr>
      <w:r>
        <w:t xml:space="preserve">四年第二阶段参数补偿</w:t>
      </w:r>
    </w:p>
    <w:p>
      <w:pPr>
        <w:pStyle w:val="BodyText"/>
        <w:keepLines/>
      </w:pPr>
      <w:r>
        <w:t xml:space="preserve">图注：各年均按同一行保留样本绘制；相关系数使用全部样本，散点仅作等距抽稀展示。</w:t>
      </w:r>
    </w:p>
    <w:tbl>
      <w:tblPr>
        <w:tblStyle w:val="Table"/>
        <w:tblW w:type="auto" w:w="0"/>
        <w:jc w:val="left"/>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1320"/>
        <w:gridCol w:w="1320"/>
        <w:gridCol w:w="1320"/>
        <w:gridCol w:w="1320"/>
        <w:gridCol w:w="1320"/>
        <w:gridCol w:w="1320"/>
      </w:tblGrid>
      <w:tr>
        <w:trPr>
          <w:tblHeader w:val="on"/>
        </w:trPr>
        <w:tc>
          <w:tcPr>
            <w:shd w:fill="DDE8EE"/>
          </w:tcPr>
          <w:p>
            <w:pPr>
              <w:pStyle w:val="Compact"/>
              <w:jc w:val="left"/>
            </w:pPr>
            <w:r>
              <w:rPr>
                <w:sz w:val="16"/>
              </w:rPr>
              <w:t xml:space="preserve">年份</w:t>
            </w:r>
          </w:p>
        </w:tc>
        <w:tc>
          <w:tcPr>
            <w:shd w:fill="DDE8EE"/>
          </w:tcPr>
          <w:p>
            <w:pPr>
              <w:pStyle w:val="Compact"/>
              <w:jc w:val="left"/>
            </w:pPr>
            <w:r>
              <w:rPr>
                <w:sz w:val="16"/>
              </w:rPr>
              <w:t xml:space="preserve">灌水_mm</w:t>
            </w:r>
          </w:p>
        </w:tc>
        <w:tc>
          <w:tcPr>
            <w:shd w:fill="DDE8EE"/>
          </w:tcPr>
          <w:p>
            <w:pPr>
              <w:pStyle w:val="Compact"/>
              <w:jc w:val="left"/>
            </w:pPr>
            <w:r>
              <w:rPr>
                <w:sz w:val="16"/>
              </w:rPr>
              <w:t xml:space="preserve">Tr_mm</w:t>
            </w:r>
          </w:p>
        </w:tc>
        <w:tc>
          <w:tcPr>
            <w:shd w:fill="DDE8EE"/>
          </w:tcPr>
          <w:p>
            <w:pPr>
              <w:pStyle w:val="Compact"/>
              <w:jc w:val="left"/>
            </w:pPr>
            <w:r>
              <w:rPr>
                <w:sz w:val="16"/>
              </w:rPr>
              <w:t xml:space="preserve">Es_mm</w:t>
            </w:r>
          </w:p>
        </w:tc>
        <w:tc>
          <w:tcPr>
            <w:shd w:fill="DDE8EE"/>
          </w:tcPr>
          <w:p>
            <w:pPr>
              <w:pStyle w:val="Compact"/>
              <w:jc w:val="left"/>
            </w:pPr>
            <w:r>
              <w:rPr>
                <w:sz w:val="16"/>
              </w:rPr>
              <w:t xml:space="preserve">ET_mm</w:t>
            </w:r>
          </w:p>
        </w:tc>
        <w:tc>
          <w:tcPr>
            <w:shd w:fill="DDE8EE"/>
          </w:tcPr>
          <w:p>
            <w:pPr>
              <w:pStyle w:val="Compact"/>
              <w:jc w:val="left"/>
            </w:pPr>
            <w:r>
              <w:rPr>
                <w:sz w:val="16"/>
              </w:rPr>
              <w:t xml:space="preserve">储水增加_mm</w:t>
            </w:r>
          </w:p>
        </w:tc>
      </w:tr>
      <w:tr>
        <w:tc>
          <w:tcPr/>
          <w:p>
            <w:pPr>
              <w:pStyle w:val="Compact"/>
              <w:jc w:val="left"/>
            </w:pPr>
            <w:r>
              <w:rPr>
                <w:sz w:val="16"/>
              </w:rPr>
              <w:t xml:space="preserve">2019</w:t>
            </w:r>
          </w:p>
        </w:tc>
        <w:tc>
          <w:tcPr/>
          <w:p>
            <w:pPr>
              <w:pStyle w:val="Compact"/>
              <w:jc w:val="left"/>
            </w:pPr>
            <w:r>
              <w:rPr>
                <w:sz w:val="16"/>
              </w:rPr>
              <w:t xml:space="preserve">445.2700</w:t>
            </w:r>
          </w:p>
        </w:tc>
        <w:tc>
          <w:tcPr/>
          <w:p>
            <w:pPr>
              <w:pStyle w:val="Compact"/>
              <w:jc w:val="left"/>
            </w:pPr>
            <w:r>
              <w:rPr>
                <w:sz w:val="16"/>
              </w:rPr>
              <w:t xml:space="preserve">540.7645</w:t>
            </w:r>
          </w:p>
        </w:tc>
        <w:tc>
          <w:tcPr/>
          <w:p>
            <w:pPr>
              <w:pStyle w:val="Compact"/>
              <w:jc w:val="left"/>
            </w:pPr>
            <w:r>
              <w:rPr>
                <w:sz w:val="16"/>
              </w:rPr>
              <w:t xml:space="preserve">97.2337</w:t>
            </w:r>
          </w:p>
        </w:tc>
        <w:tc>
          <w:tcPr/>
          <w:p>
            <w:pPr>
              <w:pStyle w:val="Compact"/>
              <w:jc w:val="left"/>
            </w:pPr>
            <w:r>
              <w:rPr>
                <w:sz w:val="16"/>
              </w:rPr>
              <w:t xml:space="preserve">637.9982</w:t>
            </w:r>
          </w:p>
        </w:tc>
        <w:tc>
          <w:tcPr/>
          <w:p>
            <w:pPr>
              <w:pStyle w:val="Compact"/>
              <w:jc w:val="left"/>
            </w:pPr>
            <w:r>
              <w:rPr>
                <w:sz w:val="16"/>
              </w:rPr>
              <w:t xml:space="preserve">-19.2272</w:t>
            </w:r>
          </w:p>
        </w:tc>
      </w:tr>
      <w:tr>
        <w:tc>
          <w:tcPr/>
          <w:p>
            <w:pPr>
              <w:pStyle w:val="Compact"/>
              <w:jc w:val="left"/>
            </w:pPr>
            <w:r>
              <w:rPr>
                <w:sz w:val="16"/>
              </w:rPr>
              <w:t xml:space="preserve">2020</w:t>
            </w:r>
          </w:p>
        </w:tc>
        <w:tc>
          <w:tcPr/>
          <w:p>
            <w:pPr>
              <w:pStyle w:val="Compact"/>
              <w:jc w:val="left"/>
            </w:pPr>
            <w:r>
              <w:rPr>
                <w:sz w:val="16"/>
              </w:rPr>
              <w:t xml:space="preserve">559.7600</w:t>
            </w:r>
          </w:p>
        </w:tc>
        <w:tc>
          <w:tcPr/>
          <w:p>
            <w:pPr>
              <w:pStyle w:val="Compact"/>
              <w:jc w:val="left"/>
            </w:pPr>
            <w:r>
              <w:rPr>
                <w:sz w:val="16"/>
              </w:rPr>
              <w:t xml:space="preserve">526.7431</w:t>
            </w:r>
          </w:p>
        </w:tc>
        <w:tc>
          <w:tcPr/>
          <w:p>
            <w:pPr>
              <w:pStyle w:val="Compact"/>
              <w:jc w:val="left"/>
            </w:pPr>
            <w:r>
              <w:rPr>
                <w:sz w:val="16"/>
              </w:rPr>
              <w:t xml:space="preserve">83.2188</w:t>
            </w:r>
          </w:p>
        </w:tc>
        <w:tc>
          <w:tcPr/>
          <w:p>
            <w:pPr>
              <w:pStyle w:val="Compact"/>
              <w:jc w:val="left"/>
            </w:pPr>
            <w:r>
              <w:rPr>
                <w:sz w:val="16"/>
              </w:rPr>
              <w:t xml:space="preserve">609.9619</w:t>
            </w:r>
          </w:p>
        </w:tc>
        <w:tc>
          <w:tcPr/>
          <w:p>
            <w:pPr>
              <w:pStyle w:val="Compact"/>
              <w:jc w:val="left"/>
            </w:pPr>
            <w:r>
              <w:rPr>
                <w:sz w:val="16"/>
              </w:rPr>
              <w:t xml:space="preserve">61.9190</w:t>
            </w:r>
          </w:p>
        </w:tc>
      </w:tr>
      <w:tr>
        <w:tc>
          <w:tcPr/>
          <w:p>
            <w:pPr>
              <w:pStyle w:val="Compact"/>
              <w:jc w:val="left"/>
            </w:pPr>
            <w:r>
              <w:rPr>
                <w:sz w:val="16"/>
              </w:rPr>
              <w:t xml:space="preserve">2021</w:t>
            </w:r>
          </w:p>
        </w:tc>
        <w:tc>
          <w:tcPr/>
          <w:p>
            <w:pPr>
              <w:pStyle w:val="Compact"/>
              <w:jc w:val="left"/>
            </w:pPr>
            <w:r>
              <w:rPr>
                <w:sz w:val="16"/>
              </w:rPr>
              <w:t xml:space="preserve">633.4700</w:t>
            </w:r>
          </w:p>
        </w:tc>
        <w:tc>
          <w:tcPr/>
          <w:p>
            <w:pPr>
              <w:pStyle w:val="Compact"/>
              <w:jc w:val="left"/>
            </w:pPr>
            <w:r>
              <w:rPr>
                <w:sz w:val="16"/>
              </w:rPr>
              <w:t xml:space="preserve">533.2378</w:t>
            </w:r>
          </w:p>
        </w:tc>
        <w:tc>
          <w:tcPr/>
          <w:p>
            <w:pPr>
              <w:pStyle w:val="Compact"/>
              <w:jc w:val="left"/>
            </w:pPr>
            <w:r>
              <w:rPr>
                <w:sz w:val="16"/>
              </w:rPr>
              <w:t xml:space="preserve">71.9055</w:t>
            </w:r>
          </w:p>
        </w:tc>
        <w:tc>
          <w:tcPr/>
          <w:p>
            <w:pPr>
              <w:pStyle w:val="Compact"/>
              <w:jc w:val="left"/>
            </w:pPr>
            <w:r>
              <w:rPr>
                <w:sz w:val="16"/>
              </w:rPr>
              <w:t xml:space="preserve">605.1434</w:t>
            </w:r>
          </w:p>
        </w:tc>
        <w:tc>
          <w:tcPr/>
          <w:p>
            <w:pPr>
              <w:pStyle w:val="Compact"/>
              <w:jc w:val="left"/>
            </w:pPr>
            <w:r>
              <w:rPr>
                <w:sz w:val="16"/>
              </w:rPr>
              <w:t xml:space="preserve">169.9674</w:t>
            </w:r>
          </w:p>
        </w:tc>
      </w:tr>
      <w:tr>
        <w:tc>
          <w:tcPr/>
          <w:p>
            <w:pPr>
              <w:pStyle w:val="Compact"/>
              <w:jc w:val="left"/>
            </w:pPr>
            <w:r>
              <w:rPr>
                <w:sz w:val="16"/>
              </w:rPr>
              <w:t xml:space="preserve">2022</w:t>
            </w:r>
          </w:p>
        </w:tc>
        <w:tc>
          <w:tcPr/>
          <w:p>
            <w:pPr>
              <w:pStyle w:val="Compact"/>
              <w:jc w:val="left"/>
            </w:pPr>
            <w:r>
              <w:rPr>
                <w:sz w:val="16"/>
              </w:rPr>
              <w:t xml:space="preserve">404.8400</w:t>
            </w:r>
          </w:p>
        </w:tc>
        <w:tc>
          <w:tcPr/>
          <w:p>
            <w:pPr>
              <w:pStyle w:val="Compact"/>
              <w:jc w:val="left"/>
            </w:pPr>
            <w:r>
              <w:rPr>
                <w:sz w:val="16"/>
              </w:rPr>
              <w:t xml:space="preserve">529.9393</w:t>
            </w:r>
          </w:p>
        </w:tc>
        <w:tc>
          <w:tcPr/>
          <w:p>
            <w:pPr>
              <w:pStyle w:val="Compact"/>
              <w:jc w:val="left"/>
            </w:pPr>
            <w:r>
              <w:rPr>
                <w:sz w:val="16"/>
              </w:rPr>
              <w:t xml:space="preserve">66.8453</w:t>
            </w:r>
          </w:p>
        </w:tc>
        <w:tc>
          <w:tcPr/>
          <w:p>
            <w:pPr>
              <w:pStyle w:val="Compact"/>
              <w:jc w:val="left"/>
            </w:pPr>
            <w:r>
              <w:rPr>
                <w:sz w:val="16"/>
              </w:rPr>
              <w:t xml:space="preserve">596.7846</w:t>
            </w:r>
          </w:p>
        </w:tc>
        <w:tc>
          <w:tcPr/>
          <w:p>
            <w:pPr>
              <w:pStyle w:val="Compact"/>
              <w:jc w:val="left"/>
            </w:pPr>
            <w:r>
              <w:rPr>
                <w:sz w:val="16"/>
              </w:rPr>
              <w:t xml:space="preserve">-40.5824</w:t>
            </w:r>
          </w:p>
        </w:tc>
      </w:tr>
    </w:tbl>
    <w:p>
      <w:pPr>
        <w:pStyle w:val="CaptionedFigure"/>
        <w:keepNext/>
        <w:keepLines/>
      </w:pPr>
      <w:r>
        <w:drawing>
          <wp:inline>
            <wp:extent cx="5334000" cy="4202922"/>
            <wp:effectExtent b="0" l="0" r="0" t="0"/>
            <wp:docPr descr="四年 DI 季节水量账" title="" id="50" name="Picture"/>
            <a:graphic>
              <a:graphicData uri="http://schemas.openxmlformats.org/drawingml/2006/picture">
                <pic:pic>
                  <pic:nvPicPr>
                    <pic:cNvPr descr="figures/F09_water_ledger.png" id="51" name="Picture"/>
                    <pic:cNvPicPr>
                      <a:picLocks noChangeArrowheads="1" noChangeAspect="1"/>
                    </pic:cNvPicPr>
                  </pic:nvPicPr>
                  <pic:blipFill>
                    <a:blip r:embed="rId49"/>
                    <a:stretch>
                      <a:fillRect/>
                    </a:stretch>
                  </pic:blipFill>
                  <pic:spPr bwMode="auto">
                    <a:xfrm>
                      <a:off x="0" y="0"/>
                      <a:ext cx="5334000" cy="4202922"/>
                    </a:xfrm>
                    <a:prstGeom prst="rect">
                      <a:avLst/>
                    </a:prstGeom>
                    <a:noFill/>
                    <a:ln w="9525">
                      <a:noFill/>
                      <a:headEnd/>
                      <a:tailEnd/>
                    </a:ln>
                  </pic:spPr>
                </pic:pic>
              </a:graphicData>
            </a:graphic>
          </wp:inline>
        </w:drawing>
      </w:r>
    </w:p>
    <w:p>
      <w:pPr>
        <w:pStyle w:val="ImageCaption"/>
        <w:keepNext/>
      </w:pPr>
      <w:r>
        <w:t xml:space="preserve">四年 DI 季节水量账</w:t>
      </w:r>
    </w:p>
    <w:p>
      <w:pPr>
        <w:pStyle w:val="BodyText"/>
        <w:keepLines/>
      </w:pPr>
      <w:r>
        <w:t xml:space="preserve">图注：入流/出流柱均包含储水变化；原模型水量账闭合。2022 已由本次原模型回放复现。</w:t>
      </w:r>
    </w:p>
    <w:p>
      <w:pPr>
        <w:pStyle w:val="BodyText"/>
      </w:pPr>
      <w:r>
        <w:t xml:space="preserve">完整量账包含灌溉、降水、CR、GwIn、ET、径流、深层渗漏、排水以及整个土壤与地表储水变化。季节残差约10^-12mm属于内部守恒证据。2022零灌溉产量5.8495800962 t/ha、相对DI减产约58.45%，仍是未经同地零灌溉观测验证的反事实。</w:t>
      </w:r>
    </w:p>
    <w:bookmarkEnd w:id="52"/>
    <w:bookmarkStart w:id="53" w:name="sobol-正式实验设计"/>
    <w:p>
      <w:pPr>
        <w:pStyle w:val="Heading2"/>
      </w:pPr>
      <w:r>
        <w:t xml:space="preserve">6 Sobol 正式实验设计</w:t>
      </w:r>
    </w:p>
    <w:p>
      <w:pPr>
        <w:pStyle w:val="FirstParagraph"/>
      </w:pPr>
      <w:r>
        <w:t xml:space="preserve">八参数采用已声明公共物理范围内相互独立的均匀分布：CCx[0.60,0.99]、CGC[0.08,0.16]、CDC[0.03,0.12]、SenescenceCD[115,145]、Kcb[1.05,1.60]、WP early/late[10,40]、HI0[0.35,0.60]。这是指定范围的响应实验，不是原先验密度或条件后验传播，文献/农艺依据仍须在定稿时补全。</w:t>
      </w:r>
      <w:r>
        <w:t xml:space="preserve"> </w:t>
      </w:r>
      <w:r>
        <w:t xml:space="preserve">先N=128、三个scramble种子101/202/303，不算二阶时每年每种子1280次调用，四年共15360次；排序或区间不稳再扩大N=512。保存六输出Y13、Biomass、Tr、Es、ET、MaxCC，以及S1、ST、bootstrap区间、均值、方差、单位和输入—响应矩阵。常量输出标为归一化指数未定义；失败点不删行、不填零，不强制某参数排名第一。</w:t>
      </w:r>
      <w:r>
        <w:t xml:space="preserve"> </w:t>
      </w:r>
      <w:r>
        <w:t xml:space="preserve">local95仅作为边际邻域响应补充，不称posterior Sobol或计算CAI。现2022原模型可按工程中的–years 2022入口执行；完整实验尚未完成，本节不填历史代理指数。</w:t>
      </w:r>
    </w:p>
    <w:bookmarkEnd w:id="53"/>
    <w:bookmarkStart w:id="57" w:name="确定性灌溉优化与候选核验"/>
    <w:p>
      <w:pPr>
        <w:pStyle w:val="Heading2"/>
      </w:pPr>
      <w:r>
        <w:t xml:space="preserve">7 确定性灌溉优化与候选核验</w:t>
      </w:r>
    </w:p>
    <w:p>
      <w:pPr>
        <w:pStyle w:val="FirstParagraph"/>
      </w:pPr>
      <w:r>
        <w:t xml:space="preserve">目标为min(-Y13,I)，固定年度中心参数。硬约束I≤年度DI基准、Y13≥0.95×文献观测；并检查非负量、原灌溉窗口和完整水量账。IWP=100Y[t/ha]/I[mm]，单位kg/m³。</w:t>
      </w:r>
      <w:r>
        <w:t xml:space="preserve"> </w:t>
      </w:r>
      <w:r>
        <w:t xml:space="preserve">| 年份 | 观测产量 | 模型基准 | 95%门槛 | 产量余量_pct |</w:t>
      </w:r>
      <w:r>
        <w:t xml:space="preserve"> </w:t>
      </w:r>
      <w:r>
        <w:t xml:space="preserve">| — | — | — | — | — |</w:t>
      </w:r>
      <w:r>
        <w:t xml:space="preserve"> </w:t>
      </w:r>
      <w:r>
        <w:t xml:space="preserve">| 2019 | 16.5500 | 16.7017 | 15.7225 | 5.8628 |</w:t>
      </w:r>
      <w:r>
        <w:t xml:space="preserve"> </w:t>
      </w:r>
      <w:r>
        <w:t xml:space="preserve">| 2020 | 17.2900 | 16.8040 | 16.4255 | 2.2527 |</w:t>
      </w:r>
      <w:r>
        <w:t xml:space="preserve"> </w:t>
      </w:r>
      <w:r>
        <w:t xml:space="preserve">| 2021 | 15.8600 | 15.1971 | 15.0670 | 0.8563 |</w:t>
      </w:r>
      <w:r>
        <w:t xml:space="preserve"> </w:t>
      </w:r>
      <w:r>
        <w:t xml:space="preserve">| 2022 | 14.0800 | 14.0778 | 13.3760 | 4.9850 |</w:t>
      </w:r>
    </w:p>
    <w:p>
      <w:pPr>
        <w:pStyle w:val="CaptionedFigure"/>
        <w:keepNext/>
        <w:keepLines/>
      </w:pPr>
      <w:r>
        <w:drawing>
          <wp:inline>
            <wp:extent cx="5334000" cy="2613033"/>
            <wp:effectExtent b="0" l="0" r="0" t="0"/>
            <wp:docPr descr="四年确定性优化的保产门槛" title="" id="55" name="Picture"/>
            <a:graphic>
              <a:graphicData uri="http://schemas.openxmlformats.org/drawingml/2006/picture">
                <pic:pic>
                  <pic:nvPicPr>
                    <pic:cNvPr descr="figures/F13_yield_gate.png" id="56" name="Picture"/>
                    <pic:cNvPicPr>
                      <a:picLocks noChangeArrowheads="1" noChangeAspect="1"/>
                    </pic:cNvPicPr>
                  </pic:nvPicPr>
                  <pic:blipFill>
                    <a:blip r:embed="rId54"/>
                    <a:stretch>
                      <a:fillRect/>
                    </a:stretch>
                  </pic:blipFill>
                  <pic:spPr bwMode="auto">
                    <a:xfrm>
                      <a:off x="0" y="0"/>
                      <a:ext cx="5334000" cy="2613033"/>
                    </a:xfrm>
                    <a:prstGeom prst="rect">
                      <a:avLst/>
                    </a:prstGeom>
                    <a:noFill/>
                    <a:ln w="9525">
                      <a:noFill/>
                      <a:headEnd/>
                      <a:tailEnd/>
                    </a:ln>
                  </pic:spPr>
                </pic:pic>
              </a:graphicData>
            </a:graphic>
          </wp:inline>
        </w:drawing>
      </w:r>
    </w:p>
    <w:p>
      <w:pPr>
        <w:pStyle w:val="ImageCaption"/>
        <w:keepNext/>
      </w:pPr>
      <w:r>
        <w:t xml:space="preserve">四年确定性优化的保产门槛</w:t>
      </w:r>
    </w:p>
    <w:p>
      <w:pPr>
        <w:pStyle w:val="BodyText"/>
        <w:keepLines/>
      </w:pPr>
      <w:r>
        <w:t xml:space="preserve">图注：余量是相对模型基准可允许的产量损失，不是节水率；2021 约 0.86%，2022 约 4.99%。</w:t>
      </w:r>
    </w:p>
    <w:p>
      <w:pPr>
        <w:pStyle w:val="BodyText"/>
      </w:pPr>
      <w:r>
        <w:t xml:space="preserve">当前已提供2022接口支持原五个日期的阶段水量分配：06-09、06-22、07-03、07-24、08-09。它不提供SMT触发控制，因此采用指导文件允许的五阶段水量方案；该设置优化水量，不声称同时优化灌溉日期。</w:t>
      </w:r>
      <w:r>
        <w:t xml:space="preserve"> </w:t>
      </w:r>
      <w:r>
        <w:t xml:space="preserve">正式预算为约100个体/参考方向、100代、5种子，并与同预算NSGA-II对照。保存每代X/F/G/CV与统一归一化HV。以ε门槛内最低灌水量选主候选，另列两个相邻可行备选；无可行解时不输出推荐。</w:t>
      </w:r>
      <w:r>
        <w:t xml:space="preserve"> </w:t>
      </w:r>
      <w:r>
        <w:t xml:space="preserve">候选分别做阶段一扰动/固定阶段二、阶段二整行扰动/固定阶段一，每个可用组至少128行。报告均值、5%分位、观测门槛达标概率、MC误差、I/ET/Tr/Es和守恒。这是条件分布下的核验，不是八维联合传播或田间失收概率。</w:t>
      </w:r>
      <w:r>
        <w:t xml:space="preserve"> </w:t>
      </w:r>
      <w:r>
        <w:t xml:space="preserve">真实前沿、节水率与推荐日程仍待完整实验；旧代理图不用于本节结论，旧2021约38%节水不恢复。年度专用结果不自动外推为未知年通用制度。</w:t>
      </w:r>
    </w:p>
    <w:bookmarkEnd w:id="57"/>
    <w:bookmarkStart w:id="58" w:name="讨论与定稿安排"/>
    <w:p>
      <w:pPr>
        <w:pStyle w:val="Heading2"/>
      </w:pPr>
      <w:r>
        <w:t xml:space="preserve">8 讨论与定稿安排</w:t>
      </w:r>
    </w:p>
    <w:p>
      <w:pPr>
        <w:pStyle w:val="FirstParagraph"/>
      </w:pPr>
      <w:r>
        <w:t xml:space="preserve">讨论区分校准/验证、指定范围敏感性/后验归因、确定性最优/可靠性、年度定制/跨年泛化。保留数字化观测与假定sigma、近似Es目标、B组ETo、部分假定灌溉记录、模型结构与参数补偿等限制。</w:t>
      </w:r>
      <w:r>
        <w:t xml:space="preserve"> </w:t>
      </w:r>
      <w:r>
        <w:t xml:space="preserve">论文可按“数据与证据角色—冻结校准与基准复现—四年过程与参数—Sobol范围实验—双目标优化与条件核验—局限与适用条件”组织。正式敏感性表、前沿、算法对照和候选管理表在真实运行后插入，不提前填写。</w:t>
      </w:r>
      <w:r>
        <w:t xml:space="preserve"> </w:t>
      </w:r>
      <w:r>
        <w:t xml:space="preserve">图件当前统一18组PNG/PDF，所有年度比较均包含2019—2022。主图字号不小于10.5pt，年份颜色固定；补充S01保留严格诊断。旧代理探索归入历史目录。</w:t>
      </w:r>
    </w:p>
    <w:bookmarkEnd w:id="58"/>
    <w:bookmarkStart w:id="59" w:name="参考方向"/>
    <w:p>
      <w:pPr>
        <w:pStyle w:val="Heading2"/>
      </w:pPr>
      <w:r>
        <w:t xml:space="preserve">参考方向</w:t>
      </w:r>
    </w:p>
    <w:p>
      <w:pPr>
        <w:pStyle w:val="FirstParagraph"/>
      </w:pPr>
      <w:r>
        <w:t xml:space="preserve">FAO Irrigation and Drainage Paper 66；Goodman与Weare（2010），DOI 10.2140/camcos.2010.5.65；Vehtari等（2021），DOI 10.1214/20-BA1221；Saltelli等（2010），DOI 10.1016/j.cpc.2009.09.018；Deb与Jain（2014），DOI 10.1109/TEVC.2013.2281535。具体试验资料、参考论文原文和引用页码仍须逐项核对。</w:t>
      </w:r>
    </w:p>
    <w:bookmarkEnd w:id="59"/>
    <w:bookmarkEnd w:id="60"/>
    <w:sectPr>
      <w:footerReference w:type="default" r:id="rId9"/>
      <w:pgSz w:w="11906" w:h="16838"/>
      <w:pgMar w:top="1020" w:bottom="1020"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URP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pPr>
    <w:rPr>
      <w:rFonts w:ascii="Calibri" w:hAnsi="Calibri" w:eastAsia="宋体"/>
      <w:sz w:val="21"/>
    </w:rPr>
  </w:style>
  <w:style w:styleId="BodyText" w:type="paragraph">
    <w:name w:val="Body Text"/>
    <w:basedOn w:val="Normal"/>
    <w:link w:val="BodyTextChar"/>
    <w:qFormat/>
    <w:pPr>
      <w:spacing w:after="180" w:before="180" w:line="300" w:lineRule="auto"/>
    </w:pPr>
    <w:rPr>
      <w:rFonts w:ascii="Calibri" w:hAnsi="Calibri" w:eastAsia="宋体"/>
      <w:sz w:val="21"/>
    </w:rPr>
  </w:style>
  <w:style w:customStyle="1" w:styleId="FirstParagraph" w:type="paragraph">
    <w:name w:val="First Paragraph"/>
    <w:basedOn w:val="BodyText"/>
    <w:next w:val="BodyText"/>
    <w:qFormat/>
    <w:pPr>
      <w:spacing w:line="300" w:lineRule="auto"/>
    </w:pPr>
    <w:rPr>
      <w:rFonts w:ascii="Calibri" w:hAnsi="Calibri" w:eastAsia="宋体"/>
      <w:sz w:val="21"/>
    </w:rPr>
  </w:style>
  <w:style w:customStyle="1" w:styleId="Compact" w:type="paragraph">
    <w:name w:val="Compact"/>
    <w:basedOn w:val="BodyText"/>
    <w:qFormat/>
    <w:pPr>
      <w:spacing w:after="36" w:before="36"/>
    </w:pPr>
    <w:rPr>
      <w:rFonts w:ascii="Calibri" w:hAnsi="Calibri"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宋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eastAsia="宋体"/>
      <w:sz w:val="30"/>
      <w:szCs w:val="30"/>
    </w:rPr>
  </w:style>
  <w:style w:customStyle="1" w:styleId="Author" w:type="paragraph">
    <w:name w:val="Author"/>
    <w:next w:val="BodyText"/>
    <w:qFormat/>
    <w:pPr>
      <w:keepNext/>
      <w:keepLines/>
      <w:jc w:val="center"/>
    </w:pPr>
    <w:rPr>
      <w:rFonts w:ascii="Calibri" w:hAnsi="Calibri" w:eastAsia="宋体"/>
    </w:rPr>
  </w:style>
  <w:style w:styleId="Date" w:type="paragraph">
    <w:name w:val="Date"/>
    <w:next w:val="BodyText"/>
    <w:qFormat/>
    <w:pPr>
      <w:keepNext/>
      <w:keepLines/>
      <w:jc w:val="center"/>
    </w:pPr>
    <w:rPr>
      <w:rFonts w:ascii="Calibri" w:hAnsi="Calibri" w:eastAsia="宋体"/>
    </w:rPr>
  </w:style>
  <w:style w:customStyle="1" w:styleId="AbstractTitle" w:type="paragraph">
    <w:name w:val="Abstract Title"/>
    <w:basedOn w:val="Normal"/>
    <w:next w:val="Abstract"/>
    <w:qFormat/>
    <w:pPr>
      <w:keepNext/>
      <w:keepLines/>
      <w:spacing w:after="0" w:before="300"/>
      <w:jc w:val="center"/>
    </w:pPr>
    <w:rPr>
      <w:rFonts w:ascii="Calibri" w:hAnsi="Calibri" w:eastAsia="宋体"/>
      <w:b/>
      <w:color w:val="345A8A"/>
      <w:sz w:val="20"/>
      <w:szCs w:val="20"/>
    </w:rPr>
  </w:style>
  <w:style w:customStyle="1" w:styleId="Abstract" w:type="paragraph">
    <w:name w:val="Abstract"/>
    <w:basedOn w:val="Normal"/>
    <w:next w:val="BodyText"/>
    <w:qFormat/>
    <w:pPr>
      <w:keepNext/>
      <w:keepLines/>
      <w:spacing w:after="300" w:before="100"/>
    </w:pPr>
    <w:rPr>
      <w:rFonts w:ascii="Calibri" w:hAnsi="Calibri" w:eastAsia="宋体"/>
      <w:sz w:val="20"/>
      <w:szCs w:val="20"/>
    </w:rPr>
  </w:style>
  <w:style w:styleId="Bibliography" w:type="paragraph">
    <w:name w:val="Bibliography"/>
    <w:basedOn w:val="Normal"/>
    <w:next w:val="Bibliography"/>
    <w:qFormat/>
    <w:pPr/>
    <w:rPr>
      <w:rFonts w:ascii="Calibri" w:hAnsi="Calibri"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eastAsia="宋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eastAsia="宋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eastAsia="宋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eastAsia="宋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eastAsia="宋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eastAsia="宋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eastAsia="宋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eastAsia="宋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eastAsia="宋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eastAsia="宋体"/>
    </w:rPr>
  </w:style>
  <w:style w:styleId="FootnoteText" w:type="paragraph">
    <w:name w:val="Footnote Text"/>
    <w:basedOn w:val="Normal"/>
    <w:next w:val="FootnoteText"/>
    <w:uiPriority w:val="9"/>
    <w:unhideWhenUsed/>
    <w:qFormat/>
    <w:rPr>
      <w:rFonts w:ascii="Calibri" w:hAnsi="Calibri"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Calibri" w:hAnsi="Calibri"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eastAsia="宋体"/>
      <w:b/>
    </w:rPr>
  </w:style>
  <w:style w:customStyle="1" w:styleId="Definition" w:type="paragraph">
    <w:name w:val="Definition"/>
    <w:basedOn w:val="Normal"/>
    <w:rPr>
      <w:rFonts w:ascii="Calibri" w:hAnsi="Calibri" w:eastAsia="宋体"/>
    </w:rPr>
  </w:style>
  <w:style w:styleId="Caption" w:type="paragraph">
    <w:name w:val="Caption"/>
    <w:basedOn w:val="Normal"/>
    <w:link w:val="BodyTextChar"/>
    <w:pPr>
      <w:spacing w:after="120" w:before="0"/>
    </w:pPr>
    <w:rPr>
      <w:rFonts w:ascii="Calibri" w:hAnsi="Calibri" w:eastAsia="宋体"/>
      <w:i/>
    </w:rPr>
  </w:style>
  <w:style w:customStyle="1" w:styleId="TableCaption" w:type="paragraph">
    <w:name w:val="Table Caption"/>
    <w:basedOn w:val="Caption"/>
    <w:pPr>
      <w:keepNext/>
    </w:pPr>
    <w:rPr>
      <w:rFonts w:ascii="Calibri" w:hAnsi="Calibri" w:eastAsia="宋体"/>
    </w:rPr>
  </w:style>
  <w:style w:customStyle="1" w:styleId="ImageCaption" w:type="paragraph">
    <w:name w:val="Image Caption"/>
    <w:basedOn w:val="Caption"/>
    <w:rPr>
      <w:rFonts w:ascii="Calibri" w:hAnsi="Calibri" w:eastAsia="宋体"/>
    </w:rPr>
  </w:style>
  <w:style w:customStyle="1" w:styleId="Figure" w:type="paragraph">
    <w:name w:val="Figure"/>
    <w:basedOn w:val="Normal"/>
    <w:rPr>
      <w:rFonts w:ascii="Calibri" w:hAnsi="Calibri" w:eastAsia="宋体"/>
    </w:rPr>
  </w:style>
  <w:style w:customStyle="1" w:styleId="CaptionedFigure" w:type="paragraph">
    <w:name w:val="Captioned Figure"/>
    <w:basedOn w:val="Figure"/>
    <w:pPr>
      <w:keepNext/>
    </w:pPr>
    <w:rPr>
      <w:rFonts w:ascii="Calibri" w:hAnsi="Calibri"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eastAsia="宋体"/>
      <w:b w:val="0"/>
      <w:bCs w:val="0"/>
      <w:color w:themeColor="accent1" w:themeShade="BF" w:val="365F91"/>
    </w:rPr>
  </w:style>
  <w:style w:type="paragraph" w:customStyle="1" w:styleId="SourceCode">
    <w:name w:val="Source Code"/>
    <w:basedOn w:val="Normal"/>
    <w:link w:val="VerbatimChar"/>
    <w:pPr>
      <w:wordWrap w:val="off"/>
    </w:pPr>
    <w:rPr>
      <w:rFonts w:ascii="Calibri" w:hAnsi="Calibri"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4" Type="http://schemas.openxmlformats.org/officeDocument/2006/relationships/image" Target="media/rId34.png"/><Relationship Id="rId38" Type="http://schemas.openxmlformats.org/officeDocument/2006/relationships/image" Target="media/rId38.png"/><Relationship Id="rId41" Type="http://schemas.openxmlformats.org/officeDocument/2006/relationships/image" Target="media/rId41.png"/><Relationship Id="rId30" Type="http://schemas.openxmlformats.org/officeDocument/2006/relationships/image" Target="media/rId30.png"/><Relationship Id="rId46" Type="http://schemas.openxmlformats.org/officeDocument/2006/relationships/image" Target="media/rId46.png"/><Relationship Id="rId49" Type="http://schemas.openxmlformats.org/officeDocument/2006/relationships/image" Target="media/rId49.png"/><Relationship Id="rId54" Type="http://schemas.openxmlformats.org/officeDocument/2006/relationships/image" Target="media/rId54.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2026-10-18T14:27:36Z</dcterms:created>
  <dcterms:modified xsi:type="dcterms:W3CDTF">2026-10-18T14:27:36Z</dcterms:modified>
</cp:coreProperties>
</file>

<file path=docProps/custom.xml><?xml version="1.0" encoding="utf-8"?>
<Properties xmlns="http://schemas.openxmlformats.org/officeDocument/2006/custom-properties" xmlns:vt="http://schemas.openxmlformats.org/officeDocument/2006/docPropsVTypes"/>
</file>