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before="0" w:after="160" w:line="240" w:lineRule="auto"/>
        <w:ind w:end="1466" w:left="0" w:right="0" w:firstLine="0"/>
        <w:jc w:val="left"/>
        <w:rPr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  <w:szCs w:val="28"/>
        </w:rPr>
        <w:drawing>
          <wp:inline distT="0" distB="0" distL="0" distR="0">
            <wp:extent cx="2287905" cy="54546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29" r="-7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905" cy="54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Noto Serif CJK SC" w:hAnsi="Noto Serif CJK SC" w:eastAsia="Noto Serif CJK SC" w:cs="Noto Serif CJK SC"/>
          <w:b w:val="0"/>
          <w:color w:val="000000"/>
          <w:sz w:val="22"/>
          <w:szCs w:val="28"/>
        </w:rPr>
        <w:t xml:space="preserve">      </w:t>
      </w:r>
      <w:r>
        <w:rPr>
          <w:rFonts w:ascii="Noto Serif CJK SC" w:hAnsi="Noto Serif CJK SC" w:hint="eastAsia" w:eastAsia="Noto Serif CJK SC" w:cs="Noto Serif CJK SC"/>
          <w:b w:val="0"/>
          <w:color w:val="000000"/>
          <w:sz w:val="22"/>
          <w:szCs w:val="28"/>
        </w:rPr>
        <w:t>项目编号：X2026100190937</w:t>
      </w:r>
    </w:p>
    <w:p>
      <w:pPr>
        <w:pStyle w:val="Normal"/>
        <w:widowControl/>
        <w:spacing w:lineRule="exact" w:line="96" w:before="0" w:after="180"/>
        <w:ind w:start="0" w:end="0" w:left="0" w:right="0" w:firstLine="0"/>
        <w:rPr>
          <w:rFonts w:ascii="宋体;SimSun" w:hAnsi="宋体;SimSun" w:hint="eastAsia"/>
          <w:b/>
          <w:sz w:val="28"/>
          <w:szCs w:val="28"/>
        </w:rPr>
        <w:snapToGrid w:val="false"/>
      </w:pPr>
      <w:r>
        <w:rPr>
          <w:rFonts w:hint="eastAsia" w:ascii="Noto Serif CJK SC" w:hAnsi="Noto Serif CJK SC" w:eastAsia="Noto Serif CJK SC" w:cs="Noto Serif CJK SC"/>
          <w:b w:val="0"/>
          <w:color w:val="000000"/>
          <w:sz w:val="8"/>
          <w:szCs w:val="28"/>
        </w:rPr>
      </w:r>
    </w:p>
    <w:p>
      <w:pPr>
        <w:pStyle w:val="Normal"/>
        <w:widowControl/>
        <w:snapToGrid w:val="false"/>
        <w:spacing w:lineRule="exact" w:line="696" w:before="80" w:after="120"/>
        <w:ind w:left="0" w:right="0" w:firstLine="0"/>
        <w:jc w:val="center"/>
        <w:rPr>
          <w:rFonts w:ascii="华文中宋" w:hAnsi="华文中宋" w:eastAsia="华文中宋" w:cs="华文中宋" w:hint="eastAsia"/>
          <w:b/>
          <w:color w:val="000000"/>
          <w:w w:val="80"/>
          <w:sz w:val="52"/>
          <w:szCs w:val="52"/>
        </w:rPr>
      </w:pPr>
      <w:r>
        <w:rPr>
          <w:rFonts w:ascii="Noto Sans CJK SC" w:hAnsi="Noto Sans CJK SC" w:cs="Noto Sans CJK SC" w:hint="eastAsia" w:eastAsia="Noto Sans CJK SC"/>
          <w:b/>
          <w:color w:val="000000"/>
          <w:sz w:val="48"/>
          <w:szCs w:val="52"/>
        </w:rPr>
        <w:t>创新训练项目</w:t>
      </w:r>
    </w:p>
    <w:p>
      <w:pPr>
        <w:pStyle w:val="Normal"/>
        <w:widowControl/>
        <w:snapToGrid w:val="false"/>
        <w:spacing w:lineRule="exact" w:line="696" w:before="80" w:after="120"/>
        <w:ind w:left="0" w:right="0" w:firstLine="0"/>
        <w:jc w:val="center"/>
        <w:rPr>
          <w:rFonts w:ascii="华文中宋" w:hAnsi="华文中宋" w:eastAsia="华文中宋" w:cs="华文中宋"/>
          <w:b/>
          <w:color w:val="000000"/>
          <w:w w:val="80"/>
          <w:sz w:val="52"/>
          <w:szCs w:val="52"/>
        </w:rPr>
      </w:pPr>
      <w:r>
        <w:rPr>
          <w:rFonts w:ascii="Noto Sans CJK SC" w:hAnsi="Noto Sans CJK SC" w:cs="Noto Sans CJK SC" w:hint="eastAsia" w:eastAsia="Noto Sans CJK SC"/>
          <w:b/>
          <w:color w:val="000000"/>
          <w:sz w:val="48"/>
          <w:szCs w:val="52"/>
        </w:rPr>
        <w:t>中期报告书</w:t>
      </w:r>
    </w:p>
    <w:p>
      <w:pPr>
        <w:pStyle w:val="Normal"/>
        <w:widowControl/>
        <w:spacing w:before="0" w:after="100" w:line="96" w:lineRule="exact"/>
        <w:ind w:end="26" w:left="0" w:right="0" w:firstLine="0"/>
        <w:jc w:val="center"/>
        <w:rPr>
          <w:rFonts w:ascii="宋体;SimSun" w:hAnsi="宋体;SimSun" w:eastAsia="华文中宋" w:cs="华文中宋"/>
          <w:b/>
          <w:color w:val="000000"/>
          <w:w w:val="80"/>
          <w:sz w:val="44"/>
          <w:szCs w:val="52"/>
        </w:rPr>
        <w:snapToGrid w:val="false"/>
      </w:pPr>
      <w:r>
        <w:rPr>
          <w:rFonts w:eastAsia="Noto Serif CJK SC" w:cs="Noto Serif CJK SC" w:ascii="Noto Serif CJK SC" w:hAnsi="Noto Serif CJK SC"/>
          <w:b w:val="0"/>
          <w:color w:val="000000"/>
          <w:sz w:val="8"/>
          <w:szCs w:val="52"/>
        </w:rPr>
      </w:r>
    </w:p>
    <w:tbl>
      <w:tblPr>
        <w:tblW w:w="8362" w:type="dxa"/>
        <w:jc w:val="start"/>
        <w:tblInd w:w="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1156"/>
        <w:gridCol w:w="865"/>
        <w:gridCol w:w="2040"/>
        <w:gridCol w:w="438"/>
        <w:gridCol w:w="982"/>
        <w:gridCol w:w="1504"/>
        <w:gridCol w:w="2483"/>
      </w:tblGrid>
      <w:tr>
        <w:trPr>
          <w:trHeight w:val="935" w:hRule="atLeast"/>
        </w:trPr>
        <w:tc>
          <w:tcPr>
            <w:tcW w:w="20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项目名称</w:t>
            </w:r>
          </w:p>
        </w:tc>
        <w:tc>
          <w:tcPr>
            <w:tcW w:w="744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基于马尔科夫链的不同灌溉方式灌溉制度优化</w:t>
            </w:r>
          </w:p>
        </w:tc>
      </w:tr>
      <w:tr>
        <w:trPr>
          <w:trHeight w:val="510" w:hRule="atLeast"/>
        </w:trPr>
        <w:tc>
          <w:tcPr>
            <w:tcW w:w="20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项目执行时间</w:t>
            </w:r>
          </w:p>
        </w:tc>
        <w:tc>
          <w:tcPr>
            <w:tcW w:w="24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2026年</w:t>
            </w:r>
          </w:p>
        </w:tc>
        <w:tc>
          <w:tcPr>
            <w:tcW w:w="24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项目团队人数</w:t>
            </w:r>
          </w:p>
        </w:tc>
        <w:tc>
          <w:tcPr>
            <w:tcW w:w="2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3人</w:t>
            </w:r>
          </w:p>
        </w:tc>
      </w:tr>
      <w:tr>
        <w:trPr>
          <w:trHeight w:val="357" w:hRule="atLeast"/>
        </w:trPr>
        <w:tc>
          <w:tcPr>
            <w:tcW w:w="11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</w:t>
            </w:r>
          </w:p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负责人</w:t>
            </w:r>
          </w:p>
        </w:tc>
        <w:tc>
          <w:tcPr>
            <w:tcW w:w="8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姓名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吴雨臻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学号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2024321010307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7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8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院系班级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土地科学与技术学院243班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手机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17624057163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电子邮箱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yuzhenAva@163.com</w:t>
            </w:r>
          </w:p>
        </w:tc>
      </w:tr>
      <w:tr>
        <w:trPr>
          <w:trHeight w:val="357" w:hRule="atLeast"/>
        </w:trPr>
        <w:tc>
          <w:tcPr>
            <w:tcW w:w="11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</w:t>
            </w:r>
          </w:p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成员</w:t>
            </w:r>
            <w:r>
              <w:rPr>
                <w:rFonts w:eastAsia="Noto Serif CJK SC" w:cs="Noto Serif CJK SC" w:hint="eastAsia" w:ascii="Noto Serif CJK SC" w:hAnsi="Noto Serif CJK SC"/>
                <w:b w:val="0"/>
                <w:color w:val="000000"/>
                <w:sz w:val="21"/>
                <w:szCs w:val="28"/>
              </w:rPr>
              <w:t>1</w:t>
            </w:r>
          </w:p>
        </w:tc>
        <w:tc>
          <w:tcPr>
            <w:tcW w:w="8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姓名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李承昊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学号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2024321010302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7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8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院系班级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土地科学与技术学院243班</w:t>
            </w:r>
          </w:p>
        </w:tc>
      </w:tr>
      <w:tr>
        <w:trPr>
          <w:trHeight w:val="357" w:hRule="atLeast"/>
        </w:trPr>
        <w:tc>
          <w:tcPr>
            <w:tcW w:w="11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</w:t>
            </w:r>
          </w:p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成员</w:t>
            </w:r>
            <w:r>
              <w:rPr>
                <w:rFonts w:eastAsia="Noto Serif CJK SC" w:cs="Noto Serif CJK SC" w:hint="eastAsia" w:ascii="Noto Serif CJK SC" w:hAnsi="Noto Serif CJK SC"/>
                <w:b w:val="0"/>
                <w:color w:val="000000"/>
                <w:sz w:val="21"/>
                <w:szCs w:val="28"/>
              </w:rPr>
              <w:t>2</w:t>
            </w:r>
          </w:p>
        </w:tc>
        <w:tc>
          <w:tcPr>
            <w:tcW w:w="8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姓名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段璞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学号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2024321010208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7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8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院系班级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土地科学与技术学院242班</w:t>
            </w:r>
          </w:p>
        </w:tc>
      </w:tr>
      <w:tr>
        <w:trPr>
          <w:trHeight w:val="357" w:hRule="atLeast"/>
        </w:trPr>
        <w:tc>
          <w:tcPr>
            <w:tcW w:w="11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导师</w:t>
            </w:r>
          </w:p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情况</w:t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姓名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廖人宽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职务职称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教授</w:t>
            </w:r>
          </w:p>
        </w:tc>
      </w:tr>
      <w:tr>
        <w:trPr>
          <w:trHeight w:val="357" w:hRule="atLeast"/>
        </w:trPr>
        <w:tc>
          <w:tcPr>
            <w:tcW w:w="10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00"/>
              <w:ind w:end="28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</w:pPr>
            <w:r>
              <w:rPr>
                <w:rFonts w:eastAsia="华文中宋" w:cs="华文中宋" w:hint="eastAsia" w:ascii="华文中宋" w:hAnsi="华文中宋"/>
                <w:color w:val="000000"/>
                <w:w w:val="80"/>
                <w:sz w:val="28"/>
                <w:szCs w:val="28"/>
              </w:rPr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电话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18600795649</w:t>
            </w:r>
          </w:p>
        </w:tc>
        <w:tc>
          <w:tcPr>
            <w:tcW w:w="1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电子邮箱</w:t>
            </w:r>
          </w:p>
        </w:tc>
        <w:tc>
          <w:tcPr>
            <w:tcW w:w="39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renkuanliao@163.com</w:t>
            </w:r>
          </w:p>
        </w:tc>
      </w:tr>
      <w:tr>
        <w:trPr>
          <w:trHeight w:val="454" w:hRule="atLeast"/>
        </w:trPr>
        <w:tc>
          <w:tcPr>
            <w:tcW w:w="20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填表日期</w:t>
            </w:r>
          </w:p>
        </w:tc>
        <w:tc>
          <w:tcPr>
            <w:tcW w:w="744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2026年10月19日（请按实际提交日核定）</w:t>
            </w:r>
          </w:p>
        </w:tc>
      </w:tr>
      <w:tr>
        <w:trPr>
          <w:trHeight w:val="454" w:hRule="atLeast"/>
        </w:trPr>
        <w:tc>
          <w:tcPr>
            <w:tcW w:w="946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Normal"/>
              <w:widowControl/>
              <w:spacing w:lineRule="exact" w:line="304" w:before="0" w:after="0"/>
              <w:ind w:end="28" w:left="0" w:right="0" w:firstLine="0"/>
              <w:jc w:val="center"/>
              <w:rPr>
                <w:rFonts w:ascii="华文中宋" w:hAnsi="华文中宋" w:eastAsia="华文中宋" w:cs="华文中宋" w:hint="eastAsia"/>
                <w:color w:val="000000"/>
                <w:w w:val="80"/>
                <w:sz w:val="28"/>
                <w:szCs w:val="28"/>
              </w:rPr>
              <w:snapToGrid w:val="false"/>
            </w:pP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项目</w:t>
            </w:r>
            <w:r>
              <w:rPr>
                <w:rFonts w:ascii="Noto Serif CJK SC" w:hAnsi="Noto Serif CJK SC" w:cs="Noto Serif CJK SC" w:eastAsia="Noto Serif CJK SC"/>
                <w:b w:val="0"/>
                <w:color w:val="000000"/>
                <w:sz w:val="21"/>
                <w:szCs w:val="28"/>
              </w:rPr>
              <w:t>简介</w:t>
            </w: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（</w:t>
            </w:r>
            <w:r>
              <w:rPr>
                <w:rFonts w:eastAsia="Noto Serif CJK SC" w:cs="Noto Serif CJK SC" w:hint="eastAsia" w:ascii="Noto Serif CJK SC" w:hAnsi="Noto Serif CJK SC"/>
                <w:b w:val="0"/>
                <w:color w:val="000000"/>
                <w:sz w:val="21"/>
                <w:szCs w:val="28"/>
              </w:rPr>
              <w:t>100</w:t>
            </w:r>
            <w:r>
              <w:rPr>
                <w:rFonts w:ascii="Noto Serif CJK SC" w:hAnsi="Noto Serif CJK SC" w:cs="Noto Serif CJK SC" w:hint="eastAsia" w:eastAsia="Noto Serif CJK SC"/>
                <w:b w:val="0"/>
                <w:color w:val="000000"/>
                <w:sz w:val="21"/>
                <w:szCs w:val="28"/>
              </w:rPr>
              <w:t>字</w:t>
            </w:r>
            <w:r>
              <w:rPr>
                <w:rFonts w:ascii="Noto Serif CJK SC" w:hAnsi="Noto Serif CJK SC" w:cs="Noto Serif CJK SC" w:eastAsia="Noto Serif CJK SC"/>
                <w:b w:val="0"/>
                <w:color w:val="000000"/>
                <w:sz w:val="21"/>
                <w:szCs w:val="28"/>
              </w:rPr>
              <w:t>以内）</w:t>
            </w:r>
          </w:p>
        </w:tc>
      </w:tr>
      <w:tr>
        <w:trPr>
          <w:trHeight w:val="1276" w:hRule="atLeast"/>
        </w:trPr>
        <w:tc>
          <w:tcPr>
            <w:tcW w:w="9468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widowControl/>
              <w:spacing w:before="0" w:after="0" w:line="304" w:lineRule="exact"/>
              <w:ind w:left="0" w:right="0" w:firstLine="0"/>
              <w:snapToGrid w:val="false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面向玉米节水灌溉，融合田间与遥感资料，利用AquaCrop模型和MCMC开展参数校准及不确定性分析，结合敏感性与多情景模拟优化灌溉制度，为提高农业用水效率、保障作物产量提供依据。</w:t>
            </w:r>
          </w:p>
        </w:tc>
      </w:tr>
    </w:tbl>
    <w:p>
      <w:pPr>
        <w:keepNext w:val="0"/>
        <w:widowControl/>
        <w:spacing w:before="0" w:after="0" w:line="275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基本信息据立项材料；项目编号与成员分工据项目组补充说明。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9468"/>
      </w:tblGrid>
      <w:tr>
        <w:tc>
          <w:tcPr>
            <w:tcW w:type="dxa" w:w="94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pPr>
              <w:widowControl/>
              <w:spacing w:before="0" w:after="0" w:line="4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1757"/>
              <w:gridCol w:w="2324"/>
              <w:gridCol w:w="4706"/>
            </w:tblGrid>
            <w:tr>
              <w:trPr>
                <w:trHeight w:hRule="atLeast" w:val="425"/>
              </w:trPr>
              <w:tc>
                <w:tcPr>
                  <w:tcW w:type="dxa" w:w="175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项目组成员</w:t>
                  </w:r>
                </w:p>
              </w:tc>
              <w:tc>
                <w:tcPr>
                  <w:tcW w:type="dxa" w:w="232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具体分工</w:t>
                  </w:r>
                </w:p>
              </w:tc>
              <w:tc>
                <w:tcPr>
                  <w:tcW w:type="dxa" w:w="4706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个人完成情况及对项目的贡献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75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吴雨臻（组长）</w:t>
                  </w:r>
                </w:p>
              </w:tc>
              <w:tc>
                <w:tcPr>
                  <w:tcW w:type="dxa" w:w="232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项目统筹、核心模型复核与研究方案设计</w:t>
                  </w:r>
                </w:p>
              </w:tc>
              <w:tc>
                <w:tcPr>
                  <w:tcW w:type="dxa" w:w="4706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统筹四年研究路线与技术衔接，负责分阶段MCMC成果复核、2022模型复现和敏感性及优化方案设计，整合核心结果与报告。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75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李承昊</w:t>
                  </w:r>
                </w:p>
              </w:tc>
              <w:tc>
                <w:tcPr>
                  <w:tcW w:type="dxa" w:w="232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四年数据处理、拟合指标与图表整理</w:t>
                  </w:r>
                </w:p>
              </w:tc>
              <w:tc>
                <w:tcPr>
                  <w:tcW w:type="dxa" w:w="4706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整理气象、冠层和生物量资料，协助配对核对与拟合指标复算，承担四年图表规范化和结果表整理，支持模型分析。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75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段璞</w:t>
                  </w:r>
                </w:p>
              </w:tc>
              <w:tc>
                <w:tcPr>
                  <w:tcW w:type="dxa" w:w="232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文献资料、成果归档与报告辅助</w:t>
                  </w:r>
                </w:p>
              </w:tc>
              <w:tc>
                <w:tcPr>
                  <w:tcW w:type="dxa" w:w="4706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协助查阅研究文献、记录资料来源及归档文件，整理阶段性成果证明材料，参与报告文字校对与格式检查。</w:t>
                  </w:r>
                </w:p>
              </w:tc>
            </w:tr>
          </w:tbl>
          <w:p/>
          <w:p>
            <w:pPr>
              <w:keepNext w:val="0"/>
              <w:widowControl/>
              <w:spacing w:before="0" w:after="120" w:line="275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成员围绕模型分析、数据可视化和资料整理协作推进，下述为项目整体进展。</w:t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一、项目研究进展情况（研究内容、方法、进度等）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1. 研究内容与立项任务衔接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本项目依托“吐哈盆地农业水资源节水潜力分析”，围绕不同灌溉方式下的玉米灌溉制度优化展开。目前以2019—2022年滴灌（DI）资料为基础，形成“资料整理—分阶段MCMC校准复核—生长与水量评价—Sobol分析—保产节水优化”路线，为后续不同方式情景比较建立可信基准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2. 四年资料整理与质量核查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已整理四年气象、田间叶面积指数换算的冠层覆盖度（CC）、地上干生物量、年产量、初始土壤水及灌溉资料，统一日期、单位与产量含水率口径。逐点核对CC及生物量配对值与对应日期的逐日模拟输出；2022年补充资料已齐全，18项原模型与支持资料文件哈希均匹配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3. 既有MCMC成果复核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复核既有两阶段校准：阶段一为CCx、CGC_CD、CDC_CD、SenescenceCD、Kcb，阶段二为WP_early、WP_late、HI0。四年共16组阶段一、4组阶段二记录，32个年度中心值可追溯。实际为每组32个walker、2000步的ensemble采样，与申请书初拟“三链1000步”有所调整，后续按实际方法报告。本轮未重跑MCMC；两阶段样本不能视作八维联合后验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4. 模型复现与下游计算准备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已接入2022原模型，完成资料预审及冻结均值点回放；2019—2021采用已核验原输出进行四年比较。已明确Sobol八参数独立物理范围、确定性双目标优化及候选条件扰动方案，准备设计矩阵与自动化接口。完整的新真实模型Sobol及NSGA-III实验尚待执行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5. 当前进度与立项计划比较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对照立项书2—4月资料、5—7月模型、8—10月参数优化、11—12月总结的安排，现阶段已形成四年校准成果及复核材料；遥感动态同化、滴灌与喷灌对照和正式优化结果仍需补充。本阶段训练集中于数据溯源、统计诊断、模型复现和科研表达，后续工作按原定年末成果整理节点推进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9468"/>
      </w:tblGrid>
      <w:tr>
        <w:tc>
          <w:tcPr>
            <w:tcW w:type="dxa" w:w="94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pPr>
              <w:widowControl/>
              <w:spacing w:before="0" w:after="0" w:line="4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"/>
              </w:rPr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二、项目研究已取得阶段性成果和收获（须提供相关证明材料）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1. 形成可追溯的四年资料与校准证据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建立四年逐日输出、校准配对表、参数中心与采样来源记录。四年CC共48对、生物量共37对，均可回到对应日期的模型输出复算；遥感CC仅作辅助参照，未将其作为DI处理的独立验证。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2. 获得四年生长过程拟合评价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CC的R²为0.9306—0.9932，RMSE为0.0316—0.0596；地上干生物量的R²为0.9685—0.9966，RMSE为0.5562—1.2520 t/ha。四年年产量相对误差均在±5%内，最大绝对误差约4.18%。这些结果说明对现有校准资料的拟合较好，仍需独立数据评价泛化能力。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3. 完成2022模型数值复现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冻结中心点回放得到产量14.0778 t/ha、灌水量404.84 mm、季节蒸散596.7846 mm；与原汇总结果的最大差异小于1.5×10⁻¹⁴，季节水量账残差约10⁻¹² mm。这些结果支持计算复现与内部守恒，不代表田间预测误差为零。</w:t>
            </w:r>
          </w:p>
          <w:p>
            <w:pPr>
              <w:widowControl/>
              <w:spacing w:before="0" w:after="12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 xml:space="preserve">4. 形成阶段性成果载体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形成18组四年比较图（PNG与矢量PDF）、核验工作簿、论文框架和六个同步交付包；18张PNG可由独立交付工程逐字节复现。工程验证共19项通过，其中1项调用2022真实模型检查基准、重复性与灌水量接口。现阶段成果为数据、方法及可复现工程，论文尚处于框架与结果整理阶段。</w:t>
            </w:r>
          </w:p>
          <w:p>
            <w:pPr>
              <w:keepNext/>
              <w:widowControl/>
              <w:spacing w:before="40" w:after="160" w:line="319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2"/>
              </w:rPr>
              <w:t>表1  四年校准拟合指标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737"/>
              <w:gridCol w:w="1020"/>
              <w:gridCol w:w="1134"/>
              <w:gridCol w:w="1191"/>
              <w:gridCol w:w="1191"/>
              <w:gridCol w:w="1417"/>
              <w:gridCol w:w="1191"/>
            </w:tblGrid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年份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配对数</w:t>
                    <w:br/>
                    <w:t>CC/B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CC</w:t>
                    <w:br/>
                    <w:t>R²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CC</w:t>
                    <w:br/>
                    <w:t>RMSE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生物量</w:t>
                    <w:br/>
                    <w:t>R²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生物量</w:t>
                    <w:br/>
                    <w:t>RMSE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产量</w:t>
                    <w:br/>
                    <w:t>误差%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2019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12/9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0.9932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0.0316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0.9926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1.0498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+0.92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2020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13/10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0.9794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0.0482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0.9766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1.1393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-2.81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2021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11/8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0.9902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0.0370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0.9685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1.2520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-4.18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73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2022</w:t>
                  </w:r>
                </w:p>
              </w:tc>
              <w:tc>
                <w:tcPr>
                  <w:tcW w:type="dxa" w:w="1020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12/10</w:t>
                  </w:r>
                </w:p>
              </w:tc>
              <w:tc>
                <w:tcPr>
                  <w:tcW w:type="dxa" w:w="113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0.9306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0.0596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0.9966</w:t>
                  </w:r>
                </w:p>
              </w:tc>
              <w:tc>
                <w:tcPr>
                  <w:tcW w:type="dxa" w:w="141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0.5562</w:t>
                  </w:r>
                </w:p>
              </w:tc>
              <w:tc>
                <w:tcPr>
                  <w:tcW w:type="dxa" w:w="1191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-0.02</w:t>
                  </w:r>
                </w:p>
              </w:tc>
            </w:tr>
          </w:tbl>
          <w:p/>
          <w:p>
            <w:pPr>
              <w:keepNext w:val="0"/>
              <w:widowControl/>
              <w:spacing w:before="0" w:after="140" w:line="275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注：B为地上干生物量；CC为比例，生物量RMSE单位为t/ha。R²=1−SSE/SST；产量统一为13%含水率，误差=(模拟−观测)/观测×100%。单年仅一个产量配对，不计算单年产量R²。</w:t>
            </w:r>
          </w:p>
          <w:p>
            <w:pPr>
              <w:keepNext/>
              <w:widowControl/>
              <w:spacing w:before="40" w:after="160" w:line="319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2"/>
              </w:rPr>
              <w:t>证明材料对应关系</w:t>
            </w:r>
          </w:p>
          <w:p>
            <w:pPr>
              <w:keepNext w:val="0"/>
              <w:widowControl/>
              <w:spacing w:before="0" w:after="100" w:line="304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附件1、2展示四年CC与生物量过程；随附CSV提供逐点来源与复算指标；采样汇总表记录既有两阶段成果；2022接入核验文件和19项验证记录提供复现证明。18组四年图及六包同步记录保存在原交付分支，随附填写说明给出索引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9468"/>
      </w:tblGrid>
      <w:tr>
        <w:tc>
          <w:tcPr>
            <w:tcW w:type="dxa" w:w="94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pPr>
              <w:widowControl/>
              <w:spacing w:before="0" w:after="0" w:line="4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"/>
              </w:rPr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三、项目研究存在的主要问题及应对思路与措施</w:t>
            </w:r>
          </w:p>
          <w:p>
            <w:pPr>
              <w:widowControl/>
              <w:spacing w:before="0" w:after="120" w:line="31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1"/>
              </w:rPr>
              <w:t xml:space="preserve">1. 跨年模型调用尚未全部贯通。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2022资料与原模型已接入，2019—2021原始模型实现仍待补充接入。下一步逐年核对源码、驱动和冻结中心点，完成基准一致性测试后再开展四年真实模型响应计算；当前不将重绘图表表述为四年模型全部重跑。</w:t>
            </w:r>
          </w:p>
          <w:p>
            <w:pPr>
              <w:widowControl/>
              <w:spacing w:before="0" w:after="120" w:line="31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1"/>
              </w:rPr>
              <w:t xml:space="preserve">2. 采样诊断与参数补偿限制仍需保留。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现有阶段一结果尚不能按原严格诊断标准作出全面收敛认证，且两阶段样本不构成八维联合后验。将完整保留诊断与适用边界；候选方案按阶段分别扰动，并保留同阶段样本整行相关，不把相关保留行视作独立样本。</w:t>
            </w:r>
          </w:p>
          <w:p>
            <w:pPr>
              <w:widowControl/>
              <w:spacing w:before="0" w:after="120" w:line="31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1"/>
              </w:rPr>
              <w:t xml:space="preserve">3. 敏感性与优化尚缺正式真实模型结果。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历史代理探索可用于排查流程，不能替代作物模型的敏感性排序、Pareto前沿或节水结论。后续开展重复种子、样本量稳定性和同预算算法对照；有硬约束违反或无可行解时，不输出推荐制度。</w:t>
            </w:r>
          </w:p>
          <w:p>
            <w:pPr>
              <w:widowControl/>
              <w:spacing w:before="0" w:after="120" w:line="31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1"/>
              </w:rPr>
              <w:t xml:space="preserve">4. 与原立项范围的衔接需补充。 </w:t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当前以DI为主，遥感动态同化、滴灌与喷灌对照尚无可核验的完成证据；将核查相应数据和模型适用性，与导师确认补充任务或范围调整。部分观测来自数字化，校准不等同独立验证。申请书所述效率提升30%以上仍属预期目标，不列为已实现成果。</w:t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四、项目研究下阶段主要任务及时间进程安排</w:t>
            </w:r>
          </w:p>
          <w:p>
            <w:pPr>
              <w:keepNext w:val="0"/>
              <w:widowControl/>
              <w:spacing w:before="0" w:after="120" w:line="304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对照立项书2026年11—12月成果总结阶段拟定下列安排，具体日期按学校节点核定。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1247"/>
              <w:gridCol w:w="4252"/>
              <w:gridCol w:w="3288"/>
            </w:tblGrid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相对进程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主要任务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交付与检查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10月下旬—</w:t>
                    <w:br/>
                    <w:t>11月上旬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接入2019—2021原模型并复现四年基准；核查遥感同化、滴/喷对照的数据与方法条件。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年度模型接口、复现记录与范围衔接清单。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11月上中旬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执行8参数独立范围Sobol分析，初始N=128、3个种子；检查样本量和排序稳定性。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六输出的S1、ST、置信区间与稳定性表。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11月中下旬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执行NSGA-III及同预算NSGA-II对照；产量≥观测95%，灌水≤基准；2022固定原五日期分配水量。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真实模型前沿、可行性与重复运行记录。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12月上旬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候选真实回代、分阶段条件扰动及完整水量核查；按可用证据完成不同方式情景对照。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主候选及备选核验表；无可行解不强行推荐。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12月中下旬</w:t>
                  </w:r>
                </w:p>
              </w:tc>
              <w:tc>
                <w:tcPr>
                  <w:tcW w:type="dxa" w:w="425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完善结果与局限、图表、操作说明及参考文献，整理结题材料和论文初稿。</w:t>
                  </w:r>
                </w:p>
              </w:tc>
              <w:tc>
                <w:tcPr>
                  <w:tcW w:type="dxa" w:w="3288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left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研究报告、数据与代码归档、论文初稿。</w:t>
                  </w:r>
                </w:p>
              </w:tc>
            </w:tr>
          </w:tbl>
          <w:p/>
          <w:p>
            <w:pPr>
              <w:keepNext w:val="0"/>
              <w:widowControl/>
              <w:spacing w:before="0" w:after="100" w:line="29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执行顺序以各年模型可调用、基准复现通过为前提；正式敏感性、节水率与推荐灌溉方案须在真实模型实验完成后报告。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44444"/>
          <w:left w:val="single" w:sz="5" w:color="444444"/>
          <w:bottom w:val="single" w:sz="5" w:color="444444"/>
          <w:right w:val="single" w:sz="5" w:color="444444"/>
          <w:insideH w:val="single" w:sz="5" w:color="444444"/>
          <w:insideV w:val="single" w:sz="5" w:color="444444"/>
        </w:tblBorders>
      </w:tblPr>
      <w:tblGrid>
        <w:gridCol w:w="9468"/>
      </w:tblGrid>
      <w:tr>
        <w:tc>
          <w:tcPr>
            <w:tcW w:type="dxa" w:w="9468"/>
            <w:vAlign w:val="center"/>
            <w:tcMar>
              <w:top w:w="130" w:type="dxa"/>
              <w:left w:w="130" w:type="dxa"/>
              <w:bottom w:w="130" w:type="dxa"/>
              <w:right w:w="130" w:type="dxa"/>
            </w:tcMar>
          </w:tcPr>
          <w:p>
            <w:pPr>
              <w:widowControl/>
              <w:spacing w:before="0" w:after="0" w:line="40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"/>
              </w:rPr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五、项目经费使用情况</w:t>
            </w:r>
          </w:p>
          <w:p>
            <w:pPr>
              <w:keepNext w:val="0"/>
              <w:widowControl/>
              <w:spacing w:before="0" w:after="16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申请预算5000元；已报销经费：____________元。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999999"/>
                <w:left w:val="single" w:sz="4" w:color="999999"/>
                <w:bottom w:val="single" w:sz="4" w:color="999999"/>
                <w:right w:val="single" w:sz="4" w:color="999999"/>
                <w:insideH w:val="single" w:sz="4" w:color="999999"/>
                <w:insideV w:val="single" w:sz="4" w:color="999999"/>
              </w:tblBorders>
            </w:tblPr>
            <w:tblGrid>
              <w:gridCol w:w="3572"/>
              <w:gridCol w:w="1247"/>
              <w:gridCol w:w="1814"/>
              <w:gridCol w:w="2154"/>
            </w:tblGrid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申请预算科目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预算（元）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实际报销（元）</w:t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  <w:shd w:fill="EEF2F4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b/>
                      <w:color w:val="000000"/>
                      <w:sz w:val="20"/>
                    </w:rPr>
                    <w:t>凭证/日期</w:t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文献检索与资料费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遥感数据获取及处理费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数据存储与打印耗材费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实地考察与调研费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1200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成果整理及论文发表辅助费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  <w:tr>
              <w:trPr>
                <w:trHeight w:hRule="atLeast" w:val="425"/>
              </w:trPr>
              <w:tc>
                <w:tcPr>
                  <w:tcW w:type="dxa" w:w="3572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合计</w:t>
                  </w:r>
                </w:p>
              </w:tc>
              <w:tc>
                <w:tcPr>
                  <w:tcW w:type="dxa" w:w="1247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5000</w:t>
                  </w:r>
                </w:p>
              </w:tc>
              <w:tc>
                <w:tcPr>
                  <w:tcW w:type="dxa" w:w="181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  <w:tc>
                <w:tcPr>
                  <w:tcW w:type="dxa" w:w="2154"/>
                  <w:tcMar>
                    <w:top w:w="85" w:type="dxa"/>
                    <w:left w:w="85" w:type="dxa"/>
                    <w:bottom w:w="85" w:type="dxa"/>
                    <w:right w:w="85" w:type="dxa"/>
                  </w:tcMar>
                  <w:vAlign w:val="center"/>
                </w:tcPr>
                <w:p>
                  <w:pPr>
                    <w:widowControl/>
                    <w:spacing w:before="0" w:after="40" w:line="290" w:lineRule="exact"/>
                    <w:ind w:left="0" w:right="0" w:firstLine="0"/>
                    <w:snapToGrid w:val="false"/>
                    <w:jc w:val="center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</w:r>
                </w:p>
              </w:tc>
            </w:tr>
          </w:tbl>
          <w:p/>
          <w:p>
            <w:pPr>
              <w:keepNext w:val="0"/>
              <w:widowControl/>
              <w:spacing w:before="0" w:after="120" w:line="275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注：预算据立项申请书，不代表核定经费或已发生支出；实际使用清单请依财务凭证核对。</w:t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六、指导教师意见</w:t>
            </w:r>
          </w:p>
          <w:p>
            <w:pPr>
              <w:keepNext w:val="0"/>
              <w:widowControl/>
              <w:spacing w:before="0" w:after="100" w:line="304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1"/>
              </w:rPr>
              <w:t>（从研究内容和进展、阶段性成果、存在问题和建议等加以评价）</w:t>
            </w:r>
          </w:p>
          <w:p>
            <w:pPr>
              <w:keepNext w:val="0"/>
              <w:widowControl/>
              <w:spacing w:before="0" w:after="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【请指导教师本人填写意见并签名】</w:t>
            </w:r>
          </w:p>
          <w:p>
            <w:pPr>
              <w:keepNext w:val="0"/>
              <w:widowControl/>
              <w:spacing w:before="0" w:after="70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</w:p>
          <w:p>
            <w:pPr>
              <w:keepNext w:val="0"/>
              <w:widowControl/>
              <w:spacing w:before="0" w:after="360" w:line="319" w:lineRule="exact"/>
              <w:ind w:left="0" w:right="0" w:firstLine="0"/>
              <w:snapToGrid w:val="false"/>
              <w:jc w:val="righ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签名：________________        年    月    日</w:t>
            </w:r>
          </w:p>
          <w:p>
            <w:pPr>
              <w:keepNext/>
              <w:widowControl/>
              <w:spacing w:before="40" w:after="160" w:line="362" w:lineRule="exact"/>
              <w:ind w:left="0" w:right="0" w:firstLine="0"/>
              <w:snapToGrid w:val="false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5"/>
              </w:rPr>
              <w:t>七、专家组意见</w:t>
            </w:r>
          </w:p>
          <w:p>
            <w:pPr>
              <w:keepNext w:val="0"/>
              <w:widowControl/>
              <w:spacing w:before="0" w:after="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【请专家组填写意见并签名】</w:t>
            </w:r>
          </w:p>
          <w:p>
            <w:pPr>
              <w:keepNext w:val="0"/>
              <w:widowControl/>
              <w:spacing w:before="0" w:after="700" w:line="319" w:lineRule="exact"/>
              <w:ind w:left="0" w:right="0" w:firstLine="0"/>
              <w:snapToGrid w:val="false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</w:p>
          <w:p>
            <w:pPr>
              <w:keepNext w:val="0"/>
              <w:widowControl/>
              <w:spacing w:before="0" w:after="240" w:line="319" w:lineRule="exact"/>
              <w:ind w:left="0" w:right="0" w:firstLine="0"/>
              <w:snapToGrid w:val="false"/>
              <w:jc w:val="righ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专家组成员签名：________________</w:t>
            </w:r>
          </w:p>
          <w:p>
            <w:pPr>
              <w:keepNext w:val="0"/>
              <w:widowControl/>
              <w:spacing w:before="0" w:after="100" w:line="319" w:lineRule="exact"/>
              <w:ind w:left="0" w:right="0" w:firstLine="0"/>
              <w:snapToGrid w:val="false"/>
              <w:jc w:val="right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年    月    日</w:t>
            </w:r>
          </w:p>
        </w:tc>
      </w:tr>
    </w:tbl>
    <w:p>
      <w:r>
        <w:br w:type="page"/>
      </w:r>
    </w:p>
    <w:p>
      <w:pPr>
        <w:keepNext/>
        <w:widowControl/>
        <w:spacing w:before="0" w:after="240" w:line="406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8"/>
        </w:rPr>
        <w:t>附件1  四年冠层覆盖度校准过程</w:t>
      </w:r>
    </w:p>
    <w:p>
      <w:pPr>
        <w:keepNext/>
        <w:widowControl/>
        <w:spacing w:before="0" w:after="120" w:line="240" w:lineRule="auto"/>
        <w:ind w:left="0" w:right="0" w:firstLine="0"/>
        <w:snapToGrid w:val="false"/>
        <w:jc w:val="center"/>
      </w:pPr>
      <w:r>
        <w:drawing>
          <wp:inline xmlns:a="http://schemas.openxmlformats.org/drawingml/2006/main">
            <wp:extent cx="5940000" cy="5249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term_CC_four_yea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4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2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图1  实线为模型逐日输出，空心点为用于校准的田间LAI换算CC。各面板采用相同坐标范围；2019蓝、2020橙、2021绿、2022紫。R²及RMSE据全部校准配对复算。</w:t>
      </w:r>
    </w:p>
    <w:p>
      <w:pPr>
        <w:keepNext w:val="0"/>
        <w:widowControl/>
        <w:spacing w:before="0" w:after="2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证据口径：2019—2021使用已核验的原始均值点输出，2022使用本轮原模型冻结均值点回放；本图属于校准拟合评价，不是独立验证。</w:t>
      </w:r>
    </w:p>
    <w:p>
      <w:pPr>
        <w:keepNext/>
        <w:widowControl/>
        <w:spacing w:before="40" w:after="160" w:line="319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来源与检查</w:t>
      </w:r>
    </w:p>
    <w:p>
      <w:pPr>
        <w:keepNext w:val="0"/>
        <w:widowControl/>
        <w:spacing w:before="0" w:after="100" w:line="319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48个CC配对均与各年逐日输出对应日期一致。2022资料完整性和原模型预审已通过；四年图均包含真实年度数据，不采用插值补位。源表位于随附evidence/four_year_source_data目录。</w:t>
      </w:r>
    </w:p>
    <w:p>
      <w:r>
        <w:br w:type="page"/>
      </w:r>
    </w:p>
    <w:p>
      <w:pPr>
        <w:keepNext/>
        <w:widowControl/>
        <w:spacing w:before="0" w:after="240" w:line="406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8"/>
        </w:rPr>
        <w:t>附件2  四年地上干生物量校准过程</w:t>
      </w:r>
    </w:p>
    <w:p>
      <w:pPr>
        <w:keepNext/>
        <w:widowControl/>
        <w:spacing w:before="0" w:after="120" w:line="240" w:lineRule="auto"/>
        <w:ind w:left="0" w:right="0" w:firstLine="0"/>
        <w:snapToGrid w:val="false"/>
        <w:jc w:val="center"/>
      </w:pPr>
      <w:r>
        <w:drawing>
          <wp:inline xmlns:a="http://schemas.openxmlformats.org/drawingml/2006/main">
            <wp:extent cx="5940000" cy="5249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dterm_biomass_four_ye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4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2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图2  实线为模型逐日输出，空心点为校准生物量资料；单位为t/ha。各面板坐标范围统一，不删去不利于拟合的观测点。颜色与附件1一致。</w:t>
      </w:r>
    </w:p>
    <w:p>
      <w:pPr>
        <w:keepNext w:val="0"/>
        <w:widowControl/>
        <w:spacing w:before="0" w:after="200" w:line="304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证据口径：2019—2021使用已核验的原始均值点输出，2022使用本轮原模型冻结均值点回放；本图属于校准拟合评价，不是独立验证。</w:t>
      </w:r>
    </w:p>
    <w:p>
      <w:pPr>
        <w:keepNext/>
        <w:widowControl/>
        <w:spacing w:before="40" w:after="160" w:line="319" w:lineRule="exact"/>
        <w:ind w:left="0" w:right="0" w:firstLine="0"/>
        <w:snapToGrid w:val="false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本阶段结果的适用边界</w:t>
      </w:r>
    </w:p>
    <w:p>
      <w:pPr>
        <w:keepNext w:val="0"/>
        <w:widowControl/>
        <w:spacing w:before="0" w:after="100" w:line="319" w:lineRule="exact"/>
        <w:ind w:left="0" w:right="0" w:firstLine="0"/>
        <w:snapToGrid w:val="false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四年共37个生物量配对。现有拟合支持过程描述与数值复现，不能据此提前给出正式Sobol参数排名、优化节水率、未知年份的普适灌溉制度或独立田间验证结论。下一阶段将完成真实模型敏感性与优化实验，再补充相应图表。</w:t>
      </w:r>
    </w:p>
    <w:sectPr>
      <w:footerReference w:type="default" r:id="rId3"/>
      <w:footerReference w:type="first" r:id="rId4"/>
      <w:type w:val="nextPage"/>
      <w:pgSz w:w="11906" w:h="16838"/>
      <w:pgMar w:left="1219" w:right="1219" w:gutter="0" w:header="454" w:top="1191" w:footer="510" w:bottom="1134"/>
      <w:pgNumType w:start="0" w:fmt="decimal"/>
      <w:formProt w:val="false"/>
      <w:titlePg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华文中宋"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widowControl/>
      <w:spacing w:before="0" w:after="0" w:line="261" w:lineRule="exact"/>
      <w:ind w:left="0" w:right="0" w:firstLine="0"/>
      <w:snapToGrid w:val="false"/>
      <w:jc w:val="center"/>
    </w:pPr>
    <w:r/>
    <w:fldSimple w:instr="PAGE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widowControl/>
      <w:spacing w:before="0" w:after="0" w:line="261" w:lineRule="exact"/>
      <w:ind w:left="0" w:right="0" w:firstLine="0"/>
      <w:snapToGrid w:val="false"/>
      <w:jc w:val="right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>中国农业大学 制表</w:t>
    </w:r>
  </w:p>
</w:ftr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="324" w:lineRule="auto"/>
      <w:jc w:val="both"/>
    </w:pPr>
    <w:rPr>
      <w:rFonts w:ascii="Noto Serif CJK SC" w:hAnsi="Noto Serif CJK SC" w:eastAsia="Noto Serif CJK SC" w:cs="Times New Roman"/>
      <w:color w:val="auto"/>
      <w:kern w:val="2"/>
      <w:sz w:val="22"/>
      <w:szCs w:val="24"/>
      <w:lang w:bidi="ar-SA" w:val="en-US" w:eastAsia="zh-CN"/>
    </w:rPr>
  </w:style>
  <w:style w:type="character" w:styleId="WW8Num2z0">
    <w:name w:val="WW8Num2z0"/>
    <w:qFormat/>
    <w:rPr>
      <w:rFonts w:hint="eastAsia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>
      <w:rFonts w:hint="eastAsi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Char">
    <w:name w:val="页眉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odyTextIndent">
    <w:name w:val="Body Text Indent"/>
    <w:basedOn w:val="Normal"/>
    <w:pPr>
      <w:spacing w:lineRule="atLeast" w:line="340"/>
      <w:ind w:hanging="0" w:start="360" w:end="0"/>
    </w:pPr>
    <w:rPr>
      <w:rFonts w:ascii="宋体;SimSun" w:hAnsi="宋体;SimSun" w:cs="宋体;SimSun" w:hint="eastAsia"/>
      <w:spacing w:val="14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>
      <w:b/>
      <w:bCs/>
      <w:spacing w:val="20"/>
      <w:sz w:val="24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2011-09-06T09:21:00Z</dcterms:created>
  <dc:creator>吴雨臻、李承昊、段璞</dc:creator>
  <dc:description/>
  <cp:keywords>中期报告;滴灌玉米;AquaCrop;MCMC;Sobol;NSGA-III</cp:keywords>
  <dc:language>en-US</dc:language>
  <cp:lastModifiedBy>Microsoft</cp:lastModifiedBy>
  <cp:lastPrinted>2007-07-23T10:04:00Z</cp:lastPrinted>
  <dcterms:modified xsi:type="dcterms:W3CDTF">2020-02-26T01:57:00Z</dcterms:modified>
  <cp:revision>61</cp:revision>
  <dc:subject>2019—2022年滴灌玉米；截至2026-10-19的已核验成果</dc:subject>
  <dc:title>创新训练项目中期报告书（URP研究内容已填写稿）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-1032565596</vt:r8>
  </property>
  <property fmtid="{D5CDD505-2E9C-101B-9397-08002B2CF9AE}" pid="3" name="_AuthorEmail">
    <vt:lpwstr>xq@mail.cau.edu.cn</vt:lpwstr>
  </property>
  <property fmtid="{D5CDD505-2E9C-101B-9397-08002B2CF9AE}" pid="4" name="_AuthorEmailDisplayName">
    <vt:lpwstr>席清</vt:lpwstr>
  </property>
  <property fmtid="{D5CDD505-2E9C-101B-9397-08002B2CF9AE}" pid="5" name="_EmailSubject">
    <vt:lpwstr>下发文件</vt:lpwstr>
  </property>
  <property fmtid="{D5CDD505-2E9C-101B-9397-08002B2CF9AE}" pid="6" name="_ReviewingToolsShownOnce">
    <vt:lpwstr/>
  </property>
</Properties>
</file>