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年新增配对证据与论文增补"/>
    <w:p>
      <w:pPr>
        <w:pStyle w:val="Heading1"/>
      </w:pPr>
      <w:r>
        <w:t xml:space="preserve">2022年新增配对证据与论文增补</w:t>
      </w:r>
    </w:p>
    <w:p>
      <w:pPr>
        <w:pStyle w:val="FirstParagraph"/>
      </w:pPr>
      <w:r>
        <w:t xml:space="preserve">版本：2026-10-18。模型源代码已核验，原始运行data未齐；本稿基于上传的既有模型输出复算，真实模型、Sobol和优化本轮未重跑。</w:t>
      </w:r>
    </w:p>
    <w:bookmarkStart w:id="23" w:name="可写入校准结果的新增证据"/>
    <w:p>
      <w:pPr>
        <w:pStyle w:val="Heading2"/>
      </w:pPr>
      <w:r>
        <w:t xml:space="preserve">1 可写入校准结果的新增证据</w:t>
      </w:r>
    </w:p>
    <w:p>
      <w:pPr>
        <w:pStyle w:val="FirstParagraph"/>
      </w:pPr>
      <w:r>
        <w:t xml:space="preserve">2022年冠层覆盖度含12条观测—模拟配对，生物量含10条配对。按R²=1−SSE/SST复算，冠层R²为0.930617、RMSE为0.059574；生物量R²为0.996650、RMSE为0.556159 t/ha。模拟配对值与148天日生长输出的对应日期一致。这些为样本内校准评价，不是独立验证或新模型运行。</w:t>
      </w:r>
      <w:r>
        <w:t xml:space="preserve"> </w:t>
      </w:r>
      <w:r>
        <w:t xml:space="preserve">冠层的Pearson相关平方为0.959224，生物量为0.997228，与1−SSE/SST意义不同。每年仅一组年产量配对，单年产量R²不计算。</w:t>
      </w:r>
    </w:p>
    <w:p>
      <w:pPr>
        <w:pStyle w:val="CaptionedFigure"/>
      </w:pPr>
      <w:r>
        <w:drawing>
          <wp:inline>
            <wp:extent cx="5334000" cy="3552905"/>
            <wp:effectExtent b="0" l="0" r="0" t="0"/>
            <wp:docPr descr="2022年冠层、生物量时序与配对图" title="" id="21" name="Picture"/>
            <a:graphic>
              <a:graphicData uri="http://schemas.openxmlformats.org/drawingml/2006/picture">
                <pic:pic>
                  <pic:nvPicPr>
                    <pic:cNvPr descr="figures/F16_2022_paired_calibrat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2022年冠层、生物量时序与配对图</w:t>
      </w:r>
    </w:p>
    <w:p>
      <w:pPr>
        <w:pStyle w:val="BodyText"/>
      </w:pPr>
      <w:r>
        <w:t xml:space="preserve">图注：曲线和散点源于新提交工作包04_phase2_review中的既有输出与校准观测；本轮重新计算指标并作图。2022年冠层早期存在明显低估，应在讨论中保留。</w:t>
      </w:r>
    </w:p>
    <w:bookmarkEnd w:id="23"/>
    <w:bookmarkStart w:id="27" w:name="四年结果表的更新"/>
    <w:p>
      <w:pPr>
        <w:pStyle w:val="Heading2"/>
      </w:pPr>
      <w:r>
        <w:t xml:space="preserve">2 四年结果表的更新</w:t>
      </w:r>
    </w:p>
    <w:p>
      <w:pPr>
        <w:pStyle w:val="FirstParagraph"/>
      </w:pPr>
      <w:r>
        <w:t xml:space="preserve">2019—2021沿用此前核验指标；2022从文档汇总精度升级为本轮配对复算，生物量样本数补为10。该更新修正10月17日论文中“2022仍缺配对表”的证据状态，不表示本轮重新执行四年作物模型。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  <w:tblBorders>
          <w:top w:val="single" w:sz="4" w:color="C6D1D9"/>
          <w:left w:val="single" w:sz="4" w:color="C6D1D9"/>
          <w:bottom w:val="single" w:sz="4" w:color="C6D1D9"/>
          <w:right w:val="single" w:sz="4" w:color="C6D1D9"/>
          <w:insideH w:val="single" w:sz="4" w:color="C6D1D9"/>
          <w:insideV w:val="single" w:sz="4" w:color="C6D1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年份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CC_R2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CC_RMSE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生物量_R2</w:t>
            </w:r>
          </w:p>
        </w:tc>
        <w:tc>
          <w:tcPr>
            <w:shd w:fill="DDE8EE"/>
          </w:tcPr>
          <w:p>
            <w:pPr>
              <w:pStyle w:val="Compact"/>
              <w:jc w:val="left"/>
            </w:pPr>
            <w:r>
              <w:rPr>
                <w:sz w:val="16"/>
              </w:rPr>
              <w:t xml:space="preserve">生物量_RMSE_t_ha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0.993240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0.031621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0.992644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1.049752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0.979361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0.048203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0.976564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1.139319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0.990154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0.037038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0.968529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1.252034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0.930617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0.059574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0.996650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6"/>
              </w:rPr>
              <w:t xml:space="preserve">0.556159</w:t>
            </w:r>
          </w:p>
        </w:tc>
      </w:tr>
    </w:tbl>
    <w:p>
      <w:pPr>
        <w:pStyle w:val="CaptionedFigure"/>
      </w:pPr>
      <w:r>
        <w:drawing>
          <wp:inline>
            <wp:extent cx="5334000" cy="3716648"/>
            <wp:effectExtent b="0" l="0" r="0" t="0"/>
            <wp:docPr descr="四年校准指标，包含2022" title="" id="25" name="Picture"/>
            <a:graphic>
              <a:graphicData uri="http://schemas.openxmlformats.org/drawingml/2006/picture">
                <pic:pic>
                  <pic:nvPicPr>
                    <pic:cNvPr descr="figures/F17_four_year_calibration_update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16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四年校准指标，包含2022</w:t>
      </w:r>
    </w:p>
    <w:p>
      <w:pPr>
        <w:pStyle w:val="BodyText"/>
      </w:pPr>
      <w:r>
        <w:t xml:space="preserve">图注：四年R²按同一定义报告；RMSE保留相应单位。不能用较高生物量拟合优度推断灌溉优化结果已成立。</w:t>
      </w:r>
    </w:p>
    <w:bookmarkEnd w:id="27"/>
    <w:bookmarkStart w:id="28" w:name="原模型复现与后续计算的当前状态"/>
    <w:p>
      <w:pPr>
        <w:pStyle w:val="Heading2"/>
      </w:pPr>
      <w:r>
        <w:t xml:space="preserve">3 原模型复现与后续计算的当前状态</w:t>
      </w:r>
    </w:p>
    <w:p>
      <w:pPr>
        <w:pStyle w:val="FirstParagraph"/>
      </w:pPr>
      <w:r>
        <w:t xml:space="preserve">2022原始脚本SHA256为31dc424301d544ca55cbdaf3f68a9b7c265feef2b66f3380f67121232fe954d5，与阶段二科学合同一致。新ZIP漏装其data目录，12份原件中4份已由旧包按哈希恢复，仍缺8份；原模型输入加载首先在B组ETo文件处停止。原清单和原运行合同保留，未生成替代驱动、READY证据或初始参考值。</w:t>
      </w:r>
      <w:r>
        <w:t xml:space="preserve"> </w:t>
      </w:r>
      <w:r>
        <w:t xml:space="preserve">因此尚不能报告新的真实模型Sobol指数、Pareto前沿、推荐灌水日程或节水率。MCMC保持冻结；四年年度对比表和图均纳入2022。待原始data补齐且基准复现通过，再执行已声明范围的Sobol与固定年度中心的双目标优化及条件扰动核验。</w:t>
      </w:r>
    </w:p>
    <w:bookmarkEnd w:id="28"/>
    <w:bookmarkEnd w:id="29"/>
    <w:sectPr>
      <w:footerReference w:type="default" r:id="rId9"/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URP  |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/>
    </w:pPr>
    <w:rPr>
      <w:rFonts w:ascii="Calibri" w:hAnsi="Calibri" w:eastAsia="宋体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 w:line="300" w:lineRule="auto"/>
    </w:pPr>
    <w:rPr>
      <w:rFonts w:ascii="Calibri" w:hAnsi="Calibri" w:eastAsia="宋体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00" w:lineRule="auto"/>
    </w:pPr>
    <w:rPr>
      <w:rFonts w:ascii="Calibri" w:hAnsi="Calibri" w:eastAsia="宋体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eastAsia="宋体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eastAsia="宋体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eastAsia="宋体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eastAsia="宋体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eastAsia="宋体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 w:eastAsia="宋体"/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eastAsia="宋体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eastAsia="宋体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eastAsia="宋体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eastAsia="宋体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eastAsia="宋体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eastAsia="宋体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eastAsia="宋体"/>
    </w:rPr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  <w:rPr>
      <w:rFonts w:ascii="Calibri" w:hAnsi="Calibri" w:eastAsia="宋体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eastAsia="宋体"/>
      <w:b/>
    </w:rPr>
  </w:style>
  <w:style w:customStyle="1" w:styleId="Definition" w:type="paragraph">
    <w:name w:val="Definition"/>
    <w:basedOn w:val="Normal"/>
    <w:rPr>
      <w:rFonts w:ascii="Calibri" w:hAnsi="Calibri" w:eastAsia="宋体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eastAsia="宋体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eastAsia="宋体"/>
    </w:rPr>
  </w:style>
  <w:style w:customStyle="1" w:styleId="ImageCaption" w:type="paragraph">
    <w:name w:val="Image Caption"/>
    <w:basedOn w:val="Caption"/>
    <w:rPr>
      <w:rFonts w:ascii="Calibri" w:hAnsi="Calibri" w:eastAsia="宋体"/>
    </w:rPr>
  </w:style>
  <w:style w:customStyle="1" w:styleId="Figure" w:type="paragraph">
    <w:name w:val="Figure"/>
    <w:basedOn w:val="Normal"/>
    <w:rPr>
      <w:rFonts w:ascii="Calibri" w:hAnsi="Calibri" w:eastAsia="宋体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eastAsia="宋体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eastAsia="宋体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eastAsia="宋体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4" Type="http://schemas.openxmlformats.org/officeDocument/2006/relationships/image" Target="media/rId24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2026-10-18T12:39:46Z</dcterms:created>
  <dcterms:modified xsi:type="dcterms:W3CDTF">2026-10-18T12:39:46Z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