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/>
          <w:sz w:val="32"/>
        </w:rPr>
        <w:t>URP统一更新说明（2026年10月23日）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1 更新范围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中文和英文正文采用同一五期结果，均为15张英文图、10张三线表。同步更新摘要、决策变量、算法统计、主候选、五期总量、逐次日程、水量解释、讨论与结论；原始资料和既有链按原计算版本保留。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2 五期与逐次灌水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苗期、拔节期、抽穗期、灌浆期、成熟期每期最多3个可选事件，联合优化15水量及15整数日期。全部阶段均开放，零量取消、同日合并；阶段合计与逐次量、模型总量一致。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3 科学口径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四年主模型继续使用原参数均值、气象及初值，fMulch=0、Zmax=2.30 m。2021根深1 m和不同fMulch条件拟合、原四窗口单目标算法保持各自实验设定，未混成五期的新算法验证。原链R̂、ESS及均值稳定性分别表述。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4 当前结果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四年代表方案209.83、306.50、264.50、257.47 mm；2021减灌368.97 mm中储水差356.85 mm、ET差11.46 mm。所有主文表格与逐图解析使用同一来源，单次水量和实施条件另表列明。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5 中期与归档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项目编号、成员及导师沿用正式材料。报告按主要计算已完成填写，实际报销及导师/专家签字留空。当前文件以本版索引为入口，旧稿和旧四窗口阶段包放入history，保存完整研究过程。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Noto Serif CJK SC"/>
        <w:b w:val="0"/>
        <w:sz w:val="16"/>
      </w:rPr>
      <w:t>膜下滴灌玉米参数校准与灌溉制度优化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00" w:lineRule="auto"/>
    </w:pPr>
    <w:rPr>
      <w:rFonts w:ascii="Times New Roman" w:hAnsi="Times New Roman" w:eastAsia="Noto Serif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URP统一更新说明</dc:title>
  <dc:subject>2019–2022 DI maize; source-linked manuscript revision, 2026-10-22</dc:subject>
  <dc:creator>吴雨臻；李承昊；段璞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