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before="0" w:after="160" w:line="240" w:lineRule="auto"/>
        <w:ind w:end="1466" w:left="0" w:right="0" w:firstLine="0"/>
        <w:jc w:val="left"/>
        <w:rPr>
          <w:rFonts w:ascii="宋体" w:hAnsi="宋体" w:hint="eastAsia"/>
          <w:b/>
          <w:sz w:val="28"/>
          <w:szCs w:val="28"/>
        </w:rPr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  <w:szCs w:val="28"/>
        </w:rPr>
        <w:drawing>
          <wp:inline distT="0" distB="0" distL="0" distR="0">
            <wp:extent cx="2287905" cy="546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29" r="-7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54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Noto Serif CJK SC" w:hAnsi="Noto Serif CJK SC" w:eastAsia="Noto Serif CJK SC" w:cs="Noto Serif CJK SC"/>
          <w:b w:val="0"/>
          <w:color w:val="000000"/>
          <w:sz w:val="22"/>
          <w:szCs w:val="28"/>
        </w:rPr>
        <w:t xml:space="preserve">      </w:t>
      </w:r>
      <w:r>
        <w:rPr>
          <w:rFonts w:ascii="Noto Serif CJK SC" w:hAnsi="Noto Serif CJK SC" w:hint="eastAsia" w:eastAsia="Noto Serif CJK SC" w:cs="Noto Serif CJK SC"/>
          <w:b w:val="0"/>
          <w:color w:val="000000"/>
          <w:sz w:val="22"/>
          <w:szCs w:val="28"/>
        </w:rPr>
        <w:t>项目编号：X2026100190937</w:t>
      </w:r>
    </w:p>
    <w:p>
      <w:pPr>
        <w:pStyle w:val="Normal"/>
        <w:widowControl/>
        <w:spacing w:lineRule="exact" w:line="96" w:before="0" w:after="180"/>
        <w:ind w:start="0" w:end="0" w:left="0" w:right="0" w:firstLine="0"/>
        <w:rPr>
          <w:rFonts w:ascii="宋体" w:hAnsi="宋体" w:hint="eastAsia"/>
          <w:b/>
          <w:sz w:val="28"/>
          <w:szCs w:val="28"/>
        </w:rPr>
        <w:snapToGrid w:val="false"/>
      </w:pPr>
      <w:r>
        <w:rPr>
          <w:rFonts w:hint="eastAsia" w:ascii="Noto Serif CJK SC" w:hAnsi="Noto Serif CJK SC" w:eastAsia="Noto Serif CJK SC" w:cs="Noto Serif CJK SC"/>
          <w:b w:val="0"/>
          <w:color w:val="000000"/>
          <w:sz w:val="8"/>
          <w:szCs w:val="28"/>
        </w:rPr>
      </w:r>
    </w:p>
    <w:p>
      <w:pPr>
        <w:pStyle w:val="Normal"/>
        <w:widowControl/>
        <w:snapToGrid w:val="false"/>
        <w:spacing w:lineRule="exact" w:line="696" w:before="80" w:after="120"/>
        <w:ind w:left="0" w:right="0" w:firstLine="0"/>
        <w:jc w:val="center"/>
        <w:rPr>
          <w:rFonts w:ascii="华文中宋" w:hAnsi="华文中宋" w:eastAsia="华文中宋" w:cs="华文中宋" w:hint="eastAsia"/>
          <w:b/>
          <w:color w:val="000000"/>
          <w:w w:val="80"/>
          <w:sz w:val="52"/>
          <w:szCs w:val="52"/>
        </w:rPr>
      </w:pPr>
      <w:r>
        <w:rPr>
          <w:rFonts w:ascii="Noto Sans CJK SC" w:hAnsi="Noto Sans CJK SC" w:cs="Noto Sans CJK SC" w:hint="eastAsia" w:eastAsia="Noto Sans CJK SC"/>
          <w:b/>
          <w:color w:val="000000"/>
          <w:sz w:val="48"/>
          <w:szCs w:val="52"/>
        </w:rPr>
        <w:t>创新训练项目</w:t>
      </w:r>
    </w:p>
    <w:p>
      <w:pPr>
        <w:pStyle w:val="Normal"/>
        <w:widowControl/>
        <w:snapToGrid w:val="false"/>
        <w:spacing w:lineRule="exact" w:line="696" w:before="80" w:after="120"/>
        <w:ind w:left="0" w:right="0" w:firstLine="0"/>
        <w:jc w:val="center"/>
        <w:rPr>
          <w:rFonts w:ascii="华文中宋" w:hAnsi="华文中宋" w:eastAsia="华文中宋" w:cs="华文中宋"/>
          <w:b/>
          <w:color w:val="000000"/>
          <w:w w:val="80"/>
          <w:sz w:val="52"/>
          <w:szCs w:val="52"/>
        </w:rPr>
      </w:pPr>
      <w:r>
        <w:rPr>
          <w:rFonts w:ascii="Noto Sans CJK SC" w:hAnsi="Noto Sans CJK SC" w:cs="Noto Sans CJK SC" w:hint="eastAsia" w:eastAsia="Noto Sans CJK SC"/>
          <w:b/>
          <w:color w:val="000000"/>
          <w:sz w:val="48"/>
          <w:szCs w:val="52"/>
        </w:rPr>
        <w:t>中期报告书</w:t>
      </w:r>
    </w:p>
    <w:p>
      <w:pPr>
        <w:pStyle w:val="Normal"/>
        <w:widowControl/>
        <w:spacing w:before="0" w:after="100" w:line="96" w:lineRule="exact"/>
        <w:ind w:end="26" w:left="0" w:right="0" w:firstLine="0"/>
        <w:jc w:val="center"/>
        <w:rPr>
          <w:rFonts w:ascii="宋体" w:hAnsi="宋体" w:eastAsia="华文中宋" w:cs="华文中宋"/>
          <w:b/>
          <w:color w:val="000000"/>
          <w:w w:val="80"/>
          <w:sz w:val="44"/>
          <w:szCs w:val="52"/>
        </w:rPr>
        <w:snapToGrid w:val="false"/>
      </w:pPr>
      <w:r>
        <w:rPr>
          <w:rFonts w:eastAsia="Noto Serif CJK SC" w:cs="Noto Serif CJK SC" w:ascii="Noto Serif CJK SC" w:hAnsi="Noto Serif CJK SC"/>
          <w:b w:val="0"/>
          <w:color w:val="000000"/>
          <w:sz w:val="8"/>
          <w:szCs w:val="52"/>
        </w:rPr>
      </w:r>
    </w:p>
    <w:tbl>
      <w:tblPr>
        <w:tblW w:w="8362" w:type="dxa"/>
        <w:jc w:val="start"/>
        <w:tblInd w:w="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1156"/>
        <w:gridCol w:w="865"/>
        <w:gridCol w:w="2040"/>
        <w:gridCol w:w="438"/>
        <w:gridCol w:w="982"/>
        <w:gridCol w:w="1504"/>
        <w:gridCol w:w="2483"/>
      </w:tblGrid>
      <w:tr>
        <w:trPr>
          <w:trHeight w:val="935" w:hRule="atLeast"/>
        </w:trPr>
        <w:tc>
          <w:tcPr>
            <w:tcW w:w="20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项目名称</w:t>
            </w:r>
          </w:p>
        </w:tc>
        <w:tc>
          <w:tcPr>
            <w:tcW w:w="744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基于马尔科夫链的不同灌溉方式灌溉制度优化</w:t>
            </w:r>
          </w:p>
        </w:tc>
      </w:tr>
      <w:tr>
        <w:trPr>
          <w:trHeight w:val="510" w:hRule="atLeast"/>
        </w:trPr>
        <w:tc>
          <w:tcPr>
            <w:tcW w:w="20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项目执行时间</w:t>
            </w:r>
          </w:p>
        </w:tc>
        <w:tc>
          <w:tcPr>
            <w:tcW w:w="24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2026年</w:t>
            </w:r>
          </w:p>
        </w:tc>
        <w:tc>
          <w:tcPr>
            <w:tcW w:w="24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项目团队人数</w:t>
            </w:r>
          </w:p>
        </w:tc>
        <w:tc>
          <w:tcPr>
            <w:tcW w:w="2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3人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负责人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吴雨臻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学号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2024321010307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7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8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院系班级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土地科学与技术学院243班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手机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17624057163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电子邮箱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yuzhenAva@163.com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成员</w:t>
            </w:r>
            <w:r>
              <w:rPr>
                <w:rFonts w:eastAsia="Noto Serif CJK SC" w:cs="Noto Serif CJK SC" w:hint="eastAsia" w:ascii="Noto Serif CJK SC" w:hAnsi="Noto Serif CJK SC"/>
                <w:b w:val="0"/>
                <w:color w:val="000000"/>
                <w:sz w:val="21"/>
                <w:szCs w:val="28"/>
              </w:rPr>
              <w:t>1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李承昊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学号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2024321010302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7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8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院系班级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土地科学与技术学院243班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成员</w:t>
            </w:r>
            <w:r>
              <w:rPr>
                <w:rFonts w:eastAsia="Noto Serif CJK SC" w:cs="Noto Serif CJK SC" w:hint="eastAsia" w:ascii="Noto Serif CJK SC" w:hAnsi="Noto Serif CJK SC"/>
                <w:b w:val="0"/>
                <w:color w:val="000000"/>
                <w:sz w:val="21"/>
                <w:szCs w:val="28"/>
              </w:rPr>
              <w:t>2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段璞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学号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2024321010208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7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8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院系班级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土地科学与技术学院242班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导师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情况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廖人宽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职务职称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教授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电话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18600795649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电子邮箱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renkuanliao@163.com</w:t>
            </w:r>
          </w:p>
        </w:tc>
      </w:tr>
      <w:tr>
        <w:trPr>
          <w:trHeight w:val="454" w:hRule="atLeast"/>
        </w:trPr>
        <w:tc>
          <w:tcPr>
            <w:tcW w:w="20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填表日期</w:t>
            </w:r>
          </w:p>
        </w:tc>
        <w:tc>
          <w:tcPr>
            <w:tcW w:w="744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2026年10月23日（请按实际提交日核定）</w:t>
            </w:r>
          </w:p>
        </w:tc>
      </w:tr>
      <w:tr>
        <w:trPr>
          <w:trHeight w:val="454" w:hRule="atLeast"/>
        </w:trPr>
        <w:tc>
          <w:tcPr>
            <w:tcW w:w="946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  <w:r>
              <w:rPr>
                <w:rFonts w:ascii="Noto Serif CJK SC" w:hAnsi="Noto Serif CJK SC" w:cs="Noto Serif CJK SC" w:eastAsia="Noto Serif CJK SC"/>
                <w:b w:val="0"/>
                <w:color w:val="000000"/>
                <w:sz w:val="21"/>
                <w:szCs w:val="28"/>
              </w:rPr>
              <w:t>简介</w:t>
            </w: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（</w:t>
            </w:r>
            <w:r>
              <w:rPr>
                <w:rFonts w:eastAsia="Noto Serif CJK SC" w:cs="Noto Serif CJK SC" w:hint="eastAsia" w:ascii="Noto Serif CJK SC" w:hAnsi="Noto Serif CJK SC"/>
                <w:b w:val="0"/>
                <w:color w:val="000000"/>
                <w:sz w:val="21"/>
                <w:szCs w:val="28"/>
              </w:rPr>
              <w:t>100</w:t>
            </w: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字</w:t>
            </w:r>
            <w:r>
              <w:rPr>
                <w:rFonts w:ascii="Noto Serif CJK SC" w:hAnsi="Noto Serif CJK SC" w:cs="Noto Serif CJK SC" w:eastAsia="Noto Serif CJK SC"/>
                <w:b w:val="0"/>
                <w:color w:val="000000"/>
                <w:sz w:val="21"/>
                <w:szCs w:val="28"/>
              </w:rPr>
              <w:t>以内）</w:t>
            </w:r>
          </w:p>
        </w:tc>
      </w:tr>
      <w:tr>
        <w:trPr>
          <w:trHeight w:val="1276" w:hRule="atLeast"/>
        </w:trPr>
        <w:tc>
          <w:tcPr>
            <w:tcW w:w="946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面向玉米节水灌溉，融合田间与遥感资料，利用AquaCrop模型和MCMC开展参数校准及不确定性分析，结合敏感性与多情景模拟优化灌溉制度，为提高农业用水效率、保障作物产量提供依据。</w:t>
            </w:r>
          </w:p>
        </w:tc>
      </w:tr>
    </w:tbl>
    <w:p>
      <w:pPr>
        <w:keepNext w:val="0"/>
        <w:widowControl/>
        <w:spacing w:before="0" w:after="0" w:line="275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基本信息据立项材料；项目编号与成员分工据项目组补充说明。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1757"/>
              <w:gridCol w:w="2324"/>
              <w:gridCol w:w="4706"/>
            </w:tblGrid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项目组成员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具体分工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个人完成情况及对项目的贡献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吴雨臻（组长）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统筹、核心模型与结果解释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统筹四年研究路线，组织MCMC复核、敏感性与五生育期逐次灌水优化，归纳储水机制与实施条件，完成核心论证及成果整合。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李承昊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数据处理、评价与图表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整理气象、遥感、CC和生物量配对，协助逐日水量及逐次日程核对，制作英文图表和数据工作簿，支持论文及报告完善。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段璞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文献、归档与校对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核对文献、试验生育期及土壤资料，整理科研阶段索引、原始代码与结果记录，参与中英文稿、报告和归档校对。</w:t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20" w:line="275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成员围绕模型分析、数据可视化和资料整理协作推进，下述为项目整体进展。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一、项目研究进展情况（研究内容、方法、进度等）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1. 资料与模型基础。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围绕立项灌溉制度优化目标，聚焦甘肃武威2019—2022年膜下滴灌玉米，贯通气象、审计ETo、遥感辅助CC、LAI换算CC、初始水、灌水、生物量及产量资料，四年模型均可调用并复现基准。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2. 分阶段校准及原链诊断。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完成四年两阶段MCMC成果接入与复核，阶段一为5个冠层/耗水参数，阶段二为3个生产参数。原每组32 walkers、2000步，共16组阶段一和4组阶段二；已检查时间结构、边界邻近集中和中心稳定性，另保存2021短时续链及根深/覆膜条件试验。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3. 真实模型Sobol分析。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完成八参数六输出、三个随机化序列及N128—N512递增分析，N512主结果61440次模型评估，完成年度排序与数值区间检查。产量主要敏感参数为晚期WP、HI0、早期WP及Kcb。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4. 五生育期逐次灌水优化。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依据文献划分苗期、拔节期、抽穗期、灌浆期、成熟期，各期最多3个可选事件，同时优化15个水量与15个日期。四年NSGA-III/II正式及全范围补充搜索均已完成，保存457596条目标查询、455505次搜索内实际模型调用、每代种群和逐次日程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5. 机制分析与成果整合。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完成根深、覆膜、降水替换、储水与水量审计及原控制空间单目标求解器验证。现已统一五期论文、图表与中期报告，中英文稿各15图、10张三线表，转入导师审阅、实施条件细化与结题表达。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二、项目研究已取得阶段性成果和收获（须提供相关证明材料）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1. 形成四年可追溯校准结果。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48个CC和37个生物量配对可追溯。CC的R²cal为0.9306—0.9932，生物量为0.9685—0.9966；年度产量偏差−4.18%至+0.92%。原链诊断与参数中心分别归档，明确模型过程拟合和分布采样精度的评价口径。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2. 获得年度敏感性规律。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共同独立范围下，产量ST四年均值为晚期WP 0.396、HI0 0.206、早期WP 0.164、Kcb 0.145；年度平均排序稳定，保留逐年幅度与数值区间。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3. 获得五期候选及逐次日程。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95%观测产量门槛下，四年主候选为209.83、306.50、264.50、257.47 mm，对应产量15.725、16.427、15.068、13.390 t/ha，减灌36.40%—58.25%。每期合计、每次日期与水量均已导出，两种遗传算法最低水量差0.03—1.47 mm。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4. 明确水量组成并完成整合。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ET下降1.89%—5.98%，季末储水差解释81.09%—96.72%的减灌量。2021年少灌368.97 mm中ET仅少11.46 mm，储水差356.85 mm。完整方程回放及全部查询检查通过，形成中英文论文、英文图件、逐次日程、工作簿及分阶段科研包。</w:t>
            </w:r>
          </w:p>
          <w:p>
            <w:pPr>
              <w:keepNext/>
              <w:widowControl/>
              <w:spacing w:before="40" w:after="160" w:line="319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2"/>
              </w:rPr>
              <w:t>表1  四年校准拟合指标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737"/>
              <w:gridCol w:w="1020"/>
              <w:gridCol w:w="1134"/>
              <w:gridCol w:w="1191"/>
              <w:gridCol w:w="1191"/>
              <w:gridCol w:w="1417"/>
              <w:gridCol w:w="1191"/>
            </w:tblGrid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年份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配对数</w:t>
                    <w:br/>
                    <w:t>CC/B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CC</w:t>
                    <w:br/>
                    <w:t>R²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CC</w:t>
                    <w:br/>
                    <w:t>RMSE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生物量</w:t>
                    <w:br/>
                    <w:t>R²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生物量</w:t>
                    <w:br/>
                    <w:t>RMSE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产量</w:t>
                    <w:br/>
                    <w:t>误差%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2019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12/9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0.9932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0.0316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0.9926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1.0498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+0.92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2020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13/10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0.9794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0.0482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0.9766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1.1393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-2.81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2021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11/8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0.9902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0.0370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0.9685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1.2520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-4.18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2022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12/10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0.9306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0.0596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0.9966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0.5562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-0.02</w:t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40" w:line="275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注：B为地上干生物量；CC为比例，生物量RMSE单位为t/ha。R²=1−SSE/SST；产量统一为13%含水率，误差=(模拟−观测)/观测×100%。单年仅一个产量配对，不计算单年产量R²。</w:t>
            </w:r>
          </w:p>
          <w:p>
            <w:pPr>
              <w:keepNext/>
              <w:widowControl/>
              <w:spacing w:before="40" w:after="160" w:line="319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2"/>
              </w:rPr>
              <w:t>证明材料对应关系</w:t>
            </w:r>
          </w:p>
          <w:p>
            <w:pPr>
              <w:keepNext w:val="0"/>
              <w:widowControl/>
              <w:spacing w:before="0" w:after="100" w:line="304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附件1—6展示四年CC、生物量、Sobol、五期前沿、逐次灌水及水量来源。论文图表、逐代种群、逐次查询、日程与日水量账均在本版分阶段归档及统一索引中提供。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三、项目研究存在的主要问题及应对思路与措施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1. 参数分布采样精度。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原阶段一最差R̂约1.122—1.181，最小组bulk ESS约17.79—25.34，中心对截取较稳定。现阶段按原保留均值开展确定性计算；后续结合可辨识性、独立初始化和误差尺度补强分布精度。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2. 季末储水与设备条件。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本轮目标中未额外加入季末储水底线、设备单次能力、最小事件水量与间隔。2022候选最大单次181.31 mm，高于原85.85 mm；已单列核对，后续依据田间设备与水分资料细化实施方案。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3. 资料与结构依据。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保留土壤实测1 m与模拟2.4 m剖面的区别；补充原始站点日雨量、分层水分与蒸散分量证据，联合评估初值、覆膜与根系设定。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4. 成果范围与后续表达。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当前成果集中于DI玉米的模型校准、敏感性、优化与诊断。与导师核定结题范围，完善论文审阅、数据引用及阶段报告；已完成计算与论文发表、田间试验等成果类型分别统计。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四、项目研究下阶段主要任务及时间进程安排</w:t>
            </w:r>
          </w:p>
          <w:p>
            <w:pPr>
              <w:keepNext w:val="0"/>
              <w:widowControl/>
              <w:spacing w:before="0" w:after="120" w:line="304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主要计算模块已完成，以下安排侧重证据补强、导师审阅、实施条件细化及结题表达，按学校节点核定。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1247"/>
              <w:gridCol w:w="4252"/>
              <w:gridCol w:w="3288"/>
            </w:tblGrid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相对进程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主要任务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交付与检查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10月下旬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完成五期结果、图表、引文与阶段归档交叉核对，提交导师审阅。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统一版本的中英文稿、中期报告和数据索引。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11月上中旬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结合分层水分与设备信息讨论季末储水、单次能力和间隔约束。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实施条件核对表及必要补充分析方案。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11月下旬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完善采样精度和误差解释，按导师意见修订正文及补充资料。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修订稿、逐图解析和方法说明。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12月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按学校节点完成结题、答辩和科研材料交接。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结题文稿、展示图表及完整归档。</w:t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00" w:line="29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四年真实模型、敏感性及五期优化均已完成；后续以设备能力、墒情与季末储水要求细化实施方案。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五、项目经费使用情况</w:t>
            </w:r>
          </w:p>
          <w:p>
            <w:pPr>
              <w:keepNext w:val="0"/>
              <w:widowControl/>
              <w:spacing w:before="0" w:after="16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申请预算5000元；已报销经费：____________元。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3572"/>
              <w:gridCol w:w="1247"/>
              <w:gridCol w:w="1814"/>
              <w:gridCol w:w="2154"/>
            </w:tblGrid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申请预算科目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预算（元）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实际报销（元）</w:t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凭证/日期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文献检索与资料费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遥感数据获取及处理费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数据存储与打印耗材费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实地考察与调研费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成果整理及论文发表辅助费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合计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20" w:line="275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注：预算据立项申请书，不代表核定经费或已发生支出；实际使用清单请依财务凭证核对。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六、指导教师意见</w:t>
            </w:r>
          </w:p>
          <w:p>
            <w:pPr>
              <w:keepNext w:val="0"/>
              <w:widowControl/>
              <w:spacing w:before="0" w:after="100" w:line="304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（从研究内容和进展、阶段性成果、存在问题和建议等加以评价）</w:t>
            </w:r>
          </w:p>
          <w:p>
            <w:pPr>
              <w:keepNext w:val="0"/>
              <w:widowControl/>
              <w:spacing w:before="0" w:after="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【请指导教师本人填写意见并签名】</w:t>
            </w:r>
          </w:p>
          <w:p>
            <w:pPr>
              <w:keepNext w:val="0"/>
              <w:widowControl/>
              <w:spacing w:before="0" w:after="70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</w:p>
          <w:p>
            <w:pPr>
              <w:keepNext w:val="0"/>
              <w:widowControl/>
              <w:spacing w:before="0" w:after="360" w:line="319" w:lineRule="exact"/>
              <w:ind w:left="0" w:right="0" w:firstLine="0"/>
              <w:snapToGrid w:val="false"/>
              <w:jc w:val="righ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签名：________________        年    月    日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七、专家组意见</w:t>
            </w:r>
          </w:p>
          <w:p>
            <w:pPr>
              <w:keepNext w:val="0"/>
              <w:widowControl/>
              <w:spacing w:before="0" w:after="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【请专家组填写意见并签名】</w:t>
            </w:r>
          </w:p>
          <w:p>
            <w:pPr>
              <w:keepNext w:val="0"/>
              <w:widowControl/>
              <w:spacing w:before="0" w:after="70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</w:p>
          <w:p>
            <w:pPr>
              <w:keepNext w:val="0"/>
              <w:widowControl/>
              <w:spacing w:before="0" w:after="240" w:line="319" w:lineRule="exact"/>
              <w:ind w:left="0" w:right="0" w:firstLine="0"/>
              <w:snapToGrid w:val="false"/>
              <w:jc w:val="righ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专家组成员签名：________________</w:t>
            </w:r>
          </w:p>
          <w:p>
            <w:pPr>
              <w:keepNext w:val="0"/>
              <w:widowControl/>
              <w:spacing w:before="0" w:after="100" w:line="319" w:lineRule="exact"/>
              <w:ind w:left="0" w:right="0" w:firstLine="0"/>
              <w:snapToGrid w:val="false"/>
              <w:jc w:val="righ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年    月    日</w:t>
            </w:r>
          </w:p>
        </w:tc>
      </w:tr>
    </w:tbl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附件1  四年冠层覆盖度校准过程</w:t>
      </w:r>
    </w:p>
    <w:p>
      <w:pPr>
        <w:keepNext/>
        <w:widowControl/>
        <w:spacing w:before="0" w:after="12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3768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term_CC_four_ye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图1  实线为模型逐日输出，空心点为用于校准的田间LAI换算CC。各面板采用相同坐标范围；2019蓝、2020橙、2021绿、2022紫。R²及RMSE据全部校准配对复算。</w:t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证据口径：四年原模型中心与源数据均已核对，本图报告校准配对及均值轨迹；采样精度由独立诊断另行量化。</w:t>
      </w:r>
    </w:p>
    <w:p>
      <w:pPr>
        <w:keepNext/>
        <w:widowControl/>
        <w:spacing w:before="40" w:after="160" w:line="319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来源与检查</w:t>
      </w:r>
    </w:p>
    <w:p>
      <w:pPr>
        <w:keepNext w:val="0"/>
        <w:widowControl/>
        <w:spacing w:before="0" w:after="100" w:line="319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四年48个CC配对均有对应日期的模型输出，图件含全部年度。数据来源与数值见本版工作簿及年度模型档案。</w:t>
      </w:r>
    </w:p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附件2  四年地上干生物量校准过程</w:t>
      </w:r>
    </w:p>
    <w:p>
      <w:pPr>
        <w:keepNext/>
        <w:widowControl/>
        <w:spacing w:before="0" w:after="12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3885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term_biomass_four_ye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5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图2  四年观测与模拟生物量散点，虚线为1:1关系；单位为t/ha，R²cal与RMSE按全部37个配对计算。</w:t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证据口径：四年原模型中心与源数据均已核对，本图报告校准配对及均值轨迹；采样精度由独立诊断另行量化。</w:t>
      </w:r>
    </w:p>
    <w:p>
      <w:pPr>
        <w:keepNext/>
        <w:widowControl/>
        <w:spacing w:before="40" w:after="160" w:line="319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生物量评价与后续分析</w:t>
      </w:r>
    </w:p>
    <w:p>
      <w:pPr>
        <w:keepNext w:val="0"/>
        <w:widowControl/>
        <w:spacing w:before="0" w:after="100" w:line="319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四年37个生物量配对描述主要生长过程。正式Sobol、五期逐次日程优化与水量核算均已完成，结果见后附英文图及中英文稿。</w:t>
      </w:r>
    </w:p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附件3  四年Sobol敏感性</w:t>
      </w:r>
    </w:p>
    <w:p>
      <w:pPr>
        <w:keepNext/>
        <w:widowControl/>
        <w:spacing w:before="0" w:after="12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38901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Sobol_four_outputs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图3  三序列N512均值；四年使用共同独立参数范围，比较输出主导参数及年度稳定性。</w:t>
      </w:r>
    </w:p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附件4  五生育期帕累托前沿</w:t>
      </w:r>
    </w:p>
    <w:p>
      <w:pPr>
        <w:keepNext/>
        <w:widowControl/>
        <w:spacing w:before="0" w:after="12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3931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Five_stage_Pareto_fronts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图4  五期各最多3个可选事件；括号为五期实际水量合计，空心圈为正式95%观测产量候选。</w:t>
      </w:r>
    </w:p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附件5  优化后的每次灌水日期及水量</w:t>
      </w:r>
    </w:p>
    <w:p>
      <w:pPr>
        <w:keepNext/>
        <w:widowControl/>
        <w:spacing w:before="0" w:after="12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36881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Optimized_event_calendar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图5  四年每次正水量事件；微量正数在源表保留。完整日程、五期合计及≥0.1 mm事件数见随附工作簿和逐次日程Word。</w:t>
      </w:r>
    </w:p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附件6  减灌水量来源</w:t>
      </w:r>
    </w:p>
    <w:p>
      <w:pPr>
        <w:keepNext/>
        <w:widowControl/>
        <w:spacing w:before="0" w:after="12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27420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Irrigation_reduction_components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2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图6  减灌分解为ET、季末储水及其他损失差；2021年368.97 mm减灌中，356.85 mm为季末储水差，ET仅少11.46 mm。</w:t>
      </w:r>
    </w:p>
    <w:sectPr>
      <w:footerReference w:type="default" r:id="rId3"/>
      <w:footerReference w:type="first" r:id="rId4"/>
      <w:type w:val="nextPage"/>
      <w:pgSz w:w="11906" w:h="16838"/>
      <w:pgMar w:left="1219" w:right="1219" w:gutter="0" w:header="454" w:top="1191" w:footer="510" w:bottom="1134"/>
      <w:pgNumType w:start="0"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华文中宋">
    <w:charset w:val="86"/>
    <w:family w:val="auto"/>
    <w:pitch w:val="default"/>
  </w:font>
  <w:font w:name="Noto Serif CJK SC">
    <w:altName w:val="宋体"/>
    <w:charset w:val="86"/>
    <w:family w:val="auto"/>
    <w:pitch w:val="default"/>
  </w:font>
  <w:font w:name="黑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widowControl/>
      <w:spacing w:before="0" w:after="0" w:line="261" w:lineRule="exact"/>
      <w:ind w:left="0" w:right="0" w:firstLine="0"/>
      <w:snapToGrid w:val="false"/>
      <w:jc w:val="center"/>
    </w:pPr>
    <w:r/>
    <w:fldSimple w:instr="PAGE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widowControl/>
      <w:spacing w:before="0" w:after="0" w:line="261" w:lineRule="exact"/>
      <w:ind w:left="0" w:right="0" w:firstLine="0"/>
      <w:snapToGrid w:val="false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>中国农业大学 制表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="324" w:lineRule="auto"/>
      <w:jc w:val="both"/>
    </w:pPr>
    <w:rPr>
      <w:rFonts w:ascii="Noto Serif CJK SC" w:hAnsi="Noto Serif CJK SC" w:eastAsia="Noto Serif CJK SC" w:cs="Times New Roman"/>
      <w:color w:val="auto"/>
      <w:kern w:val="2"/>
      <w:sz w:val="22"/>
      <w:szCs w:val="24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odyTextIndent">
    <w:name w:val="Body Text Indent"/>
    <w:basedOn w:val="Normal"/>
    <w:pPr>
      <w:spacing w:lineRule="atLeast" w:line="340"/>
      <w:ind w:hanging="0" w:start="360" w:end="0"/>
    </w:pPr>
    <w:rPr>
      <w:rFonts w:ascii="宋体" w:hAnsi="宋体" w:cs="宋体" w:hint="eastAsia"/>
      <w:spacing w:val="14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>
      <w:b/>
      <w:bCs/>
      <w:spacing w:val="20"/>
      <w:sz w:val="24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2011-09-06T09:21:00Z</dcterms:created>
  <dc:creator>吴雨臻、李承昊、段璞</dc:creator>
  <dc:description/>
  <dc:language>en-US</dc:language>
  <cp:lastModifiedBy>Ava</cp:lastModifiedBy>
  <cp:lastPrinted>2007-07-23T10:04:00Z</cp:lastPrinted>
  <dcterms:modified xsi:type="dcterms:W3CDTF">2026-10-19T01:39:06Z</dcterms:modified>
  <cp:revision>61</cp:revision>
  <dc:subject>截至2026-10-23；四年五期逐次日程、真实链诊断与当前论文统一；报销及审核签名留空</dc:subject>
  <dc:title>创新训练项目中期报告书（URP研究内容已填写稿）</dc:title>
  <cp:keywords>中期报告;滴灌玉米;AquaCrop;MCMC;Sobol;NSGA-III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6024744923F44D01A96FB0A3679AA658_12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eyJoZGlkIjoiYTViOGJhZWQ4NGZmY2Q5MDNlMDIzNWYzY2Q4MmJjZGYiLCJ1c2VySWQiOiIxNDMxMDQ4MzQ2In0=</vt:lpwstr>
  </property>
  <property fmtid="{D5CDD505-2E9C-101B-9397-08002B2CF9AE}" pid="5" name="_AdHocReviewCycleID">
    <vt:r8>-1032565596</vt:r8>
  </property>
  <property fmtid="{D5CDD505-2E9C-101B-9397-08002B2CF9AE}" pid="6" name="_AuthorEmail">
    <vt:lpwstr>xq@mail.cau.edu.cn</vt:lpwstr>
  </property>
  <property fmtid="{D5CDD505-2E9C-101B-9397-08002B2CF9AE}" pid="7" name="_AuthorEmailDisplayName">
    <vt:lpwstr>席清</vt:lpwstr>
  </property>
  <property fmtid="{D5CDD505-2E9C-101B-9397-08002B2CF9AE}" pid="8" name="_EmailSubject">
    <vt:lpwstr>下发文件</vt:lpwstr>
  </property>
  <property fmtid="{D5CDD505-2E9C-101B-9397-08002B2CF9AE}" pid="9" name="_ReviewingToolsShownOnce">
    <vt:lpwstr/>
  </property>
</Properties>
</file>