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32"/>
        </w:rPr>
        <w:t>补充资料 / Supplementary methods, diagnostics and event schedules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本补充资料与2026年10月23日中英文稿对应。参数校准与Sobol沿用已核验来源；优化主体采用2026年10月22日完成的五期30维搜索。来源版本、旧控制空间及条件结构试验分别记录。</w:t>
      </w:r>
    </w:p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21"/>
        </w:rPr>
        <w:t>This supplement accompanies both updated manuscripts. Calibration and Sobol data retain their verified sources. Main optimization uses the five-stage, 30-dimensional searches completed on 22 October 2026. Earlier control spaces and conditional structural experiments are recorded separately.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S1 数据来源与执行日历 / Input provenance and model calendar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S1. Newly supplied data compared with frozen model inputs.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Weather rows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Max weather difference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RS rows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RS label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BI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365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not supplied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The two supplied 2021 remote-sensing files are byte-identical. Remote-sensing inputs remain auxiliary; calibration uses DI LAI-derived CC and digitized biomass.</w:t>
      </w:r>
    </w:p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21"/>
        </w:rPr>
        <w:t>Water totals use actual executed daily dates. The annual scripts retain their end-boundary conventions; phenological date eligibility is the intersection listed in Table S4. Raw reference weather and model-used audited ETo are separately retained.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S2 校准先验 / Calibration priors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S2. Recorded annual phase-specific priors.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Phase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Parameter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Family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Support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Center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Scale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0.07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10–40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Uniform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CCx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0.6–0.99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0.988869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CGC_CD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0.08–0.16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0.104272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CDC_CD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0.03–0.12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0.0688532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SenescenceCD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115–145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133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Kcb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1.05–1.6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1.42159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WP_early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10–22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16.0015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WP_late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20–38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29.5521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HI0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Truncated normal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0.35–0.5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The common independent Sobol support is a separate experiment from these annual MCMC priors.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S3 原链诊断 / Original-chain diagnostics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S3. Time-preserving diagnostics and retained-mean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Phase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Independent ensembles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Worst R̂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Min group bulk ESS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Max τ</w:t>
            </w:r>
          </w:p>
        </w:tc>
        <w:tc>
          <w:tcPr>
            <w:tcW w:type="dxa" w:w="1393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Burn-in shift (SD)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1.1806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17.79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78.81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0.0327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34.45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0.0305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1.1739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19.18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73.77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0.0168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52.34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0.0246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1.1239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24.94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69.37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0.0362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47.76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0.0176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1.1222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25.34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63.40</w:t>
            </w:r>
          </w:p>
        </w:tc>
        <w:tc>
          <w:tcPr>
            <w:tcW w:type="dxa" w:w="1393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0.0395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32.58</w:t>
            </w:r>
          </w:p>
        </w:tc>
        <w:tc>
          <w:tcPr>
            <w:tcW w:type="dxa" w:w="1393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0.0314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Stage-1 extrema summarize matched walker-index comparisons across four independently initialized ensembles while preserving time. Dependent groups are not added to form a pooled ESS. Stage 2 has one independent ensemble per year.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四年阶段一保留均值对截取方式较稳定，分布采样精度由R̂、ESS和τ另行量化。2021年短时续链记录独立归档：公共链长2532步时最差R̂为1.0888、最小组bulk ESS为33.64。该补充计算未替换主分析参数中心。</w:t>
      </w:r>
    </w:p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21"/>
        </w:rPr>
        <w:t>Retained means and distributional precision are evaluated separately. A separately archived 2021 continuation has a common length of 2532 steps, worst R̂=1.0888 and minimum matched-group bulk ESS=33.64; it does not replace the four-year parameter centers used here.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S4 五期日期界限 / Five-stage date bounds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S4. Eligible dates for all five stages in all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Stage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First 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Last 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Max events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2019-04-18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2019-05-31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2019-06-01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2019-07-10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2019-08-04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2019-08-05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2019-08-31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2019-09-01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2019-09-15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2020-04-20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2020-06-06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2020-06-07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2020-07-13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2020-07-14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2020-08-20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2020-08-21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2020-09-18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2021-04-27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2021-06-11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2021-06-12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2021-07-12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2021-07-13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2021-07-28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2021-07-29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2021-08-20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2021-08-21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2021-09-21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2022-04-17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2022-06-01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2022-06-02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2022-07-04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2022-07-05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2022-08-12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2022-08-13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2022-09-11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 xml:space="preserve">Note. Dates follow Wang </w:t>
      </w:r>
      <w:r>
        <w:rPr>
          <w:rFonts w:ascii="Times New Roman" w:hAnsi="Times New Roman" w:eastAsia="Noto Serif CJK SC"/>
          <w:b w:val="0"/>
          <w:sz w:val="15"/>
          <w:vertAlign w:val="superscript"/>
        </w:rPr>
        <w:t>[1]</w:t>
      </w:r>
      <w:r>
        <w:rPr>
          <w:rFonts w:ascii="Times New Roman" w:hAnsi="Times New Roman" w:eastAsia="Noto Serif CJK SC"/>
          <w:b w:val="0"/>
          <w:sz w:val="17"/>
        </w:rPr>
        <w:t>, Table 2-3, intersected with the executed model calendar. Every stage is eligible even where the recorded schedule has no event.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S5 2019年逐次日程 / Individual events in 2019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S5. Every positive-depth event in the selected 2019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Stage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Model day (1-based)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Actual depth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Reading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2019-05-06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81.720754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2019-05-07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3.447512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2019-06-13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0.220281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2019-06-14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4.224564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2019-06-20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0.200626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2019-07-18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117.028543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2019-07-26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2.723275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2019-08-05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0.054565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2019-08-07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0.173138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2019-08-24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0.013362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2019-09-01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0.024961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2019-09-03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1.16e-09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Model day 1 is the planting date; calendar dates are explicit. Numerical traces are retained without changing the evaluated controls. Zero slots are available in the complete source table.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S6 2020年逐次日程 / Individual events in 2020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S6. Every positive-depth event in the selected 2020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Stage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Model day (1-based)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Actual depth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Reading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2020-04-20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108.287640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2020-06-10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0.174299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2020-06-21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93.930726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73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0.599161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2020-07-16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2.160578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0.092987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0.001515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87.916543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2020-07-29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0.790977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2020-08-17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0.003147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2020-08-23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12.465925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2020-09-02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0.034240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2020-09-09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143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0.041215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Model day 1 is the planting date; calendar dates are explicit. Numerical traces are retained without changing the evaluated controls. Zero slots are available in the complete source table.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S7 2021年逐次日程 / Individual events in 2021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S7. Every positive-depth event in the selected 2021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Stage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Model day (1-based)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Actual depth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Reading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2021-04-27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0.000663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2021-05-23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0.002344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2021-06-15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92.959220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2021-06-28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85.822216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74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0.000563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2021-07-20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0.053827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2021-07-29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94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85.634129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2021-08-21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117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0.008609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2021-08-26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0.018403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Model day 1 is the planting date; calendar dates are explicit. Numerical traces are retained without changing the evaluated controls. Zero slots are available in the complete source table.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S8 2022年逐次日程 / Individual events in 2022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S8. Every positive-depth event in the selected 2022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Stage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Date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Model day (1-based)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Actual depth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Reading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Seedling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2022-04-17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0.035146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2022-06-02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47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0.109382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Jointing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2022-06-11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181.310872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2022-07-08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2.460366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Heading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2022-07-18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0.474977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2022-07-21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71.524972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Grain filling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2022-07-22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97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1.505109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≥0.1 mm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Maturity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2022-08-13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119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0.044430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Trace &lt;0.1 mm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Model day 1 is the planting date; calendar dates are explicit. Numerical traces are retained without changing the evaluated controls. Zero slots are available in the complete source table.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S9 单次量与实施条件 / Event magnitude and implementation conditions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S9. Maximum event depths and spacing.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Year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Recorded max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Selected max (mm)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Events ≥0.1 mm</w:t>
            </w:r>
          </w:p>
        </w:tc>
        <w:tc>
          <w:tcPr>
            <w:tcW w:type="dxa" w:w="1950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Min positive-event gap (d)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67.71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117.03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84.78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108.29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2021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114.80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92.96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</w:t>
            </w:r>
          </w:p>
        </w:tc>
        <w:tc>
          <w:tcPr>
            <w:tcW w:type="dxa" w:w="1950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85.85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181.31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6</w:t>
            </w:r>
          </w:p>
        </w:tc>
        <w:tc>
          <w:tcPr>
            <w:tcW w:type="dxa" w:w="1950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No additional equipment cap, minimum-event-depth constraint, spacing constraint or terminal-water floor is imposed. Gaps include exact trace events.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S10 原控制空间补充试验 / Earlier control-space diagnostics</w:t>
      </w:r>
    </w:p>
    <w:p>
      <w:pPr>
        <w:keepNext w:val="0"/>
        <w:widowControl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前期四窗口单目标求解、2021年1 m根深与不同fMulch条件重校准，以及降水替换试验均保持原始结果。相应试验分别回答固定日期空间的算法重复性、条件结构改变及降水来源敏感性，主文五期日程采用本轮新搜索。完整源码、响应和图件见归档05—10及15—16阶段。</w:t>
      </w:r>
    </w:p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21"/>
        </w:rPr>
        <w:t>Earlier scalar comparisons retain four fixed-date windows. The 2021 1 m root-depth/mulch conditional refits and rainfall substitutions retain their own settings. Their results answer distinct control-space, structural and forcing questions; current five-stage calendars use the new searches. Complete source code and results are indexed by research stage.</w:t>
      </w:r>
    </w:p>
    <w:p>
      <w:pPr>
        <w:keepNext/>
        <w:widowControl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S10. Earlier scalar-search archive minima in the corresponding fixed-date spaces.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Case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Method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I min (mm)</w:t>
            </w:r>
          </w:p>
        </w:tc>
        <w:tc>
          <w:tcPr>
            <w:tcW w:type="dxa" w:w="2438"/>
            <w:tcBorders>
              <w:bottom w:val="single" w:sz="5"/>
            </w:tcBorders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8"/>
              </w:rPr>
              <w:t>Yield (t ha⁻¹)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old_2019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217.95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15.723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old_2020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313.01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16.430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old_2021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GA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268.61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15.067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old_2022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261.46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13.377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new_fm050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GA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316.48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15.070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new_fm075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GSA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280.15</w:t>
            </w:r>
          </w:p>
        </w:tc>
        <w:tc>
          <w:tcPr>
            <w:tcW w:type="dxa" w:w="243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15.067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new_fm085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NSGA2_1obj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286.86</w:t>
            </w:r>
          </w:p>
        </w:tc>
        <w:tc>
          <w:tcPr>
            <w:tcW w:type="dxa" w:w="243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15.072</w:t>
            </w:r>
          </w:p>
        </w:tc>
      </w:tr>
    </w:tbl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17"/>
        </w:rPr>
        <w:t>Note. These are earlier control-space diagnostics; the present 30D comparison is in main Table 10. Historical NSGA-III reference budgets differ from the scalar-query budgets.</w:t>
      </w:r>
    </w:p>
    <w:p>
      <w:pPr>
        <w:pStyle w:val="Heading1"/>
      </w:pPr>
      <w:r>
        <w:rPr>
          <w:rFonts w:ascii="Times New Roman" w:hAnsi="Times New Roman" w:eastAsia="Noto Serif CJK SC"/>
          <w:b/>
          <w:sz w:val="26"/>
        </w:rPr>
        <w:t>S11 数值复现 / Numerical reproduction</w:t>
      </w:r>
    </w:p>
    <w:p>
      <w:pPr>
        <w:keepNext w:val="0"/>
        <w:widowControl/>
        <w:ind w:firstLine="0"/>
        <w:jc w:val="both"/>
      </w:pPr>
      <w:r>
        <w:rPr>
          <w:rFonts w:ascii="Times New Roman" w:hAnsi="Times New Roman" w:eastAsia="Noto Serif CJK SC"/>
          <w:b w:val="0"/>
          <w:sz w:val="21"/>
        </w:rPr>
        <w:t>The search source is pinned to Git commit 20f1616556f5aeb79329b7ead22faa28f9fcda6a. All 457,596 query rows, date bounds, per-stage limits and seasonal budgets were checked. Full-model selected-point replays and 12 fresh unaccelerated original-equation replays agree within 1.14×10⁻¹³. Source JSON records separately count exact cache hits, setup, preflight and postprocessing calls. Four first seeds retain 9,999 queries after duplicate initialization; no synthetic rows were added. This manuscript update performs no new MCMC, Sobol or optimization runs.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Noto Serif CJK SC"/>
        <w:b w:val="0"/>
        <w:sz w:val="16"/>
      </w:rPr>
      <w:t>URP | 2019–2022 DI maize | Five-stage individual-event scheduling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methods, diagnostics and irrigation event schedules</dc:title>
  <dc:subject>2019–2022 DI maize; source-linked manuscript revision, 2026-10-22</dc:subject>
  <dc:creator>吴雨臻；李承昊；段璞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