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URP：Figure 1 与 Figure 10 修订说明</w:t>
      </w:r>
    </w:p>
    <w:p>
      <w:r>
        <w:t>第一部分 · 2026年10月20日 · 四年数据结构、分析流程与气象条件</w:t>
      </w:r>
    </w:p>
    <w:p>
      <w:pPr>
        <w:pStyle w:val="Heading1"/>
      </w:pPr>
      <w:r>
        <w:t>1. Figure 1重构建议</w:t>
      </w:r>
    </w:p>
    <w:p>
      <w:r>
        <w:t>推荐三列结构：数据输入 → 模型与分阶段校准 → 分析与候选核验。第三列保留Sobol和优化两条不同输入的支路；两个阶段的冻结中心用于优化，分阶段样本用于条件扰动核验。</w:t>
      </w:r>
    </w:p>
    <w:p>
      <w:r>
        <w:t>树状布局作为备选：原模型之下分出Sobol支路和MCMC—优化支路，最后汇入综合解释。两种布局择一用于正文。</w:t>
      </w:r>
    </w:p>
    <w:p>
      <w:r>
        <w:t>Pattern只用于标题或模块边缘窄色带：浅斜线、稀疏点纹、稀疏交叉线。正文区域留白，阶段色使用浅中性色，保留蓝/橙/绿/紫作为四年的固定颜色。</w:t>
      </w:r>
    </w:p>
    <w:p>
      <w:r>
        <w:t>以183mm通栏宽度审阅：流程图正文约8.1–9.5pt；图内保留关系和变量，完整采样与优化预算放入方法。Sobol与优化之间不画“筛选后降维”的箭头。</w:t>
      </w:r>
    </w:p>
    <w:p>
      <w:pPr>
        <w:pStyle w:val="Heading1"/>
      </w:pPr>
      <w:r>
        <w:t>2. Figure 10英文标签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r>
              <w:t>中文</w:t>
            </w:r>
          </w:p>
        </w:tc>
        <w:tc>
          <w:tcPr>
            <w:tcW w:type="dxa" w:w="4876"/>
          </w:tcPr>
          <w:p>
            <w:r>
              <w:t>推荐英文</w:t>
            </w:r>
          </w:p>
        </w:tc>
      </w:tr>
      <w:tr>
        <w:tc>
          <w:tcPr>
            <w:tcW w:type="dxa" w:w="4876"/>
          </w:tcPr>
          <w:p>
            <w:r>
              <w:t>四年实际使用的气象驱动</w:t>
            </w:r>
          </w:p>
        </w:tc>
        <w:tc>
          <w:tcPr>
            <w:tcW w:type="dxa" w:w="4876"/>
          </w:tcPr>
          <w:p>
            <w:r>
              <w:t>Meteorological forcing used in the four annual simulations</w:t>
            </w:r>
          </w:p>
        </w:tc>
      </w:tr>
      <w:tr>
        <w:tc>
          <w:tcPr>
            <w:tcW w:type="dxa" w:w="4876"/>
          </w:tcPr>
          <w:p>
            <w:r>
              <w:t>环境条件（本图建议具体写成气象条件）</w:t>
            </w:r>
          </w:p>
        </w:tc>
        <w:tc>
          <w:tcPr>
            <w:tcW w:type="dxa" w:w="4876"/>
          </w:tcPr>
          <w:p>
            <w:r>
              <w:t>Meteorological conditions during the simulation periods (2019–2022)</w:t>
            </w:r>
          </w:p>
        </w:tc>
      </w:tr>
      <w:tr>
        <w:tc>
          <w:tcPr>
            <w:tcW w:type="dxa" w:w="4876"/>
          </w:tcPr>
          <w:p>
            <w:r>
              <w:t>参考蒸散 ETo（mm/d）</w:t>
            </w:r>
          </w:p>
        </w:tc>
        <w:tc>
          <w:tcPr>
            <w:tcW w:type="dxa" w:w="4876"/>
          </w:tcPr>
          <w:p>
            <w:r>
              <w:t>Reference evapotranspiration, ET₀ (mm d⁻¹)</w:t>
            </w:r>
          </w:p>
        </w:tc>
      </w:tr>
      <w:tr>
        <w:tc>
          <w:tcPr>
            <w:tcW w:type="dxa" w:w="4876"/>
          </w:tcPr>
          <w:p>
            <w:r>
              <w:t>降水（mm）</w:t>
            </w:r>
          </w:p>
        </w:tc>
        <w:tc>
          <w:tcPr>
            <w:tcW w:type="dxa" w:w="4876"/>
          </w:tcPr>
          <w:p>
            <w:r>
              <w:t>Precipitation (mm)</w:t>
            </w:r>
          </w:p>
        </w:tc>
      </w:tr>
      <w:tr>
        <w:tc>
          <w:tcPr>
            <w:tcW w:type="dxa" w:w="4876"/>
          </w:tcPr>
          <w:p>
            <w:r>
              <w:t>日期</w:t>
            </w:r>
          </w:p>
        </w:tc>
        <w:tc>
          <w:tcPr>
            <w:tcW w:type="dxa" w:w="4876"/>
          </w:tcPr>
          <w:p>
            <w:r>
              <w:t>Date (MM–DD)</w:t>
            </w:r>
          </w:p>
        </w:tc>
      </w:tr>
    </w:tbl>
    <w:p>
      <w:pPr>
        <w:pStyle w:val="Heading1"/>
      </w:pPr>
      <w:r>
        <w:t>3. 推荐英文图注</w:t>
      </w:r>
    </w:p>
    <w:p>
      <w:r>
        <w:t>Figure 10. Daily reference evapotranspiration (ET₀) and precipitation during the simulation periods in (a) 2019, (b) 2020, (c) 2021, and (d) 2022. Colored lines show ET₀ (left axis), and gray bars show daily precipitation totals (right axis). Each panel covers the original calendar window used by the corresponding annual model. The ET₀ series are taken from the audited meteorological inputs used in the simulations.</w:t>
      </w:r>
    </w:p>
    <w:p>
      <w:pPr>
        <w:pStyle w:val="Heading1"/>
      </w:pPr>
      <w:r>
        <w:t>4. 正文衔接示例</w:t>
      </w:r>
    </w:p>
    <w:p>
      <w:r>
        <w:t>Daily reference evapotranspiration and precipitation used to drive the annual crop models are presented in Figure 10. The records retain their original daily resolution and year-specific simulation windows, providing the meteorological context for comparisons among years. Reference evapotranspiration characterizes atmospheric evaporative demand; actual crop water use and soil water availability are evaluated separately from the simulated water balances.</w:t>
      </w:r>
    </w:p>
    <w:p>
      <w:pPr>
        <w:pStyle w:val="Heading1"/>
      </w:pPr>
      <w:r>
        <w:t>5. 数据处理说明</w:t>
      </w:r>
    </w:p>
    <w:p>
      <w:r>
        <w:t>Figure 10直接保留原日历内的四年逐日ET₀和降水，共599行。未平滑、缩放或替换序列。跨年坐标范围一致。ET₀表征大气蒸发需求，实际耗水和胁迫需结合模型水量平衡解释。当前任务无需补充数据。</w:t>
      </w:r>
    </w:p>
    <w:p>
      <w:r>
        <w:br w:type="page"/>
      </w:r>
    </w:p>
    <w:p>
      <w:pPr>
        <w:pStyle w:val="Heading1"/>
      </w:pPr>
      <w:r>
        <w:t>Figure 1：三列推荐方案</w:t>
      </w:r>
    </w:p>
    <w:p>
      <w:r>
        <w:drawing>
          <wp:inline xmlns:a="http://schemas.openxmlformats.org/drawingml/2006/main" xmlns:pic="http://schemas.openxmlformats.org/drawingml/2006/picture">
            <wp:extent cx="6156000" cy="4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hree_column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Workflow linking two-stage MCMC calibration, global sensitivity analysis, and irrigation optimization for maize during 2019–2022. Sobol analysis uses eight independently distributed parameters within common uniform ranges, whereas NSGA-III searches for irrigation schedules at frozen year-specific parameter centers. NSGA-II provides a same-budget benchmark. Candidate schedules are assessed using stage-specific conditional perturbations and seasonal water balances, including terminal soil water storage. Dashed arrows indicate the transfer of frozen parameter centers or stage-specific samples; solid arrows indicate model or data flow. Stage-specific inference and sampling-diagnostic limitations are retained.</w:t>
      </w:r>
    </w:p>
    <w:p>
      <w:r>
        <w:br w:type="page"/>
      </w:r>
    </w:p>
    <w:p>
      <w:pPr>
        <w:pStyle w:val="Heading1"/>
      </w:pPr>
      <w:r>
        <w:t>Figure 1：树状备选方案</w:t>
      </w:r>
    </w:p>
    <w:p>
      <w:r>
        <w:drawing>
          <wp:inline xmlns:a="http://schemas.openxmlformats.org/drawingml/2006/main" xmlns:pic="http://schemas.openxmlformats.org/drawingml/2006/picture">
            <wp:extent cx="6156000" cy="504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re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50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Alternative layout using two analysis branches. Use one Figure 1 layout in the manuscript.</w:t>
      </w:r>
    </w:p>
    <w:p>
      <w:r>
        <w:br w:type="page"/>
      </w:r>
    </w:p>
    <w:p>
      <w:pPr>
        <w:pStyle w:val="Heading1"/>
      </w:pPr>
      <w:r>
        <w:t>Figure 10：英文版</w:t>
      </w:r>
    </w:p>
    <w:p>
      <w:r>
        <w:drawing>
          <wp:inline xmlns:a="http://schemas.openxmlformats.org/drawingml/2006/main" xmlns:pic="http://schemas.openxmlformats.org/drawingml/2006/picture">
            <wp:extent cx="6156000" cy="423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0_environment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10. Daily reference evapotranspiration (ET₀) and precipitation during the simulation periods in (a) 2019, (b) 2020, (c) 2021, and (d) 2022. Colored lines show ET₀ (left axis), and gray bars show daily precipitation totals (right axis). Each panel covers the original calendar window used by the corresponding annual model. The ET₀ series are taken from the audited meteorological inputs used in the simulations.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