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urp六包更新与2022第二阶段核验报告"/>
    <w:p>
      <w:pPr>
        <w:pStyle w:val="Heading1"/>
      </w:pPr>
      <w:r>
        <w:t xml:space="preserve">URP六包更新与2022第二阶段核验报告</w:t>
      </w:r>
    </w:p>
    <w:p>
      <w:pPr>
        <w:pStyle w:val="FirstParagraph"/>
      </w:pPr>
      <w:r>
        <w:t xml:space="preserve">版本：2026-10-17。新增原件：DI_2022_Phase2.zip。更新对象：此前六个GitHub交付压缩包及对应代码、论文、图表。</w:t>
      </w:r>
    </w:p>
    <w:bookmarkStart w:id="20" w:name="本轮结论与范围"/>
    <w:p>
      <w:pPr>
        <w:pStyle w:val="Heading2"/>
      </w:pPr>
      <w:r>
        <w:t xml:space="preserve">1 本轮结论与范围</w:t>
      </w:r>
    </w:p>
    <w:p>
      <w:pPr>
        <w:pStyle w:val="FirstParagraph"/>
      </w:pPr>
      <w:r>
        <w:t xml:space="preserve">2022第二阶段真实检查点已补齐并通过数组、状态、元数据与摘要交叉核验。四年现在有16组阶段一和4组阶段二原链记录；当前统一保留样本文件从7个数组扩为8个。原有7个数组逐值不变，新加入p2_2022为58784×3。</w:t>
      </w:r>
      <w:r>
        <w:t xml:space="preserve"> </w:t>
      </w:r>
      <w:r>
        <w:t xml:space="preserve">32个年度中心参数均可追溯到原链保留均值，2022三个阶段二中心值与上版文档值一致，因此确定性中心点没有改动；新增的是可核验的分布、相关结构和精确模型汇总。</w:t>
      </w:r>
      <w:r>
        <w:t xml:space="preserve"> </w:t>
      </w:r>
      <w:r>
        <w:t xml:space="preserve">没有重新运行MCMC，也没有执行正式真实模型Sobol或NSGA-III。新包内的9KB一键脚本明确依赖外部DI_2022_MCMC_ONE_CLICK.py与原data目录；这些原实现仍未交付。本轮不把衔接脚本误当完整模型。</w:t>
      </w:r>
    </w:p>
    <w:bookmarkEnd w:id="20"/>
    <w:bookmarkStart w:id="24" w:name="正式链核验"/>
    <w:p>
      <w:pPr>
        <w:pStyle w:val="Heading2"/>
      </w:pPr>
      <w:r>
        <w:t xml:space="preserve">2 正式链核验</w:t>
      </w:r>
    </w:p>
    <w:p>
      <w:pPr>
        <w:pStyle w:val="FirstParagraph"/>
      </w:pPr>
      <w:r>
        <w:t xml:space="preserve">仅使用phase2_conditional_results/checkpoints/biomass_yield/ensemble_1.npz。phase2_smoke中的2步检查点排除出统计；上传原ZIP原样保留，方便审计。</w:t>
      </w:r>
      <w:r>
        <w:t xml:space="preserve"> </w:t>
      </w:r>
      <w:r>
        <w:t xml:space="preserve">形状2000×32×3，history与logs均为有限值，position/logp与链末状态一致。accepted数组的平均接受率为0.647625。四份阶段一检查点的哈希引用与既有核验表一致，固定点与阶段一保留均值逐值相同，包装脚本哈希与contract.wrapper_sha256相符。</w:t>
      </w:r>
      <w:r>
        <w:t xml:space="preserve"> </w:t>
      </w:r>
      <w:r>
        <w:t xml:space="preserve">积分自相关时间依次为30.394338、31.461506、32.580007；统一burn=ceil(5×maxτ)=163。每walker保留1837步，32×1837=58784行相关样本。2000/maxτ约61.387，满足包内50τ长度参考，但不等于独立多链收敛认证。</w:t>
      </w:r>
      <w:r>
        <w:t xml:space="preserve"> </w:t>
      </w:r>
      <w:r>
        <w:t xml:space="preserve">| Parameter | N | Mean | SD | P025 | Median | P975 |</w:t>
      </w:r>
      <w:r>
        <w:t xml:space="preserve"> </w:t>
      </w:r>
      <w:r>
        <w:t xml:space="preserve">| — | — | — | — | — | — | — |</w:t>
      </w:r>
      <w:r>
        <w:t xml:space="preserve"> </w:t>
      </w:r>
      <w:r>
        <w:t xml:space="preserve">| WP_early | 58784 | 13.8601 | 1.0702 | 11.7168 | 13.8606 | 15.9396 |</w:t>
      </w:r>
      <w:r>
        <w:t xml:space="preserve"> </w:t>
      </w:r>
      <w:r>
        <w:t xml:space="preserve">| WP_late | 58784 | 31.4977 | 2.0933 | 27.4009 | 31.4964 | 35.6407 |</w:t>
      </w:r>
      <w:r>
        <w:t xml:space="preserve"> </w:t>
      </w:r>
      <w:r>
        <w:t xml:space="preserve">| HI0 | 58784 | 0.4013 | 0.0212 | 0.3618 | 0.4006 | 0.4440 |</w:t>
      </w:r>
    </w:p>
    <w:p>
      <w:pPr>
        <w:pStyle w:val="BodyText"/>
      </w:pPr>
      <w:r>
        <w:t xml:space="preserve">均值、样本标准差及2.5%/50%/97.5%分位均与新增JSON在数值容差内一致，所有保留参数在各自声明支持内。单ensemble不计算把32个耦合walker当独立链的Rhat；源状态仍为SAMPLING_COMPLETE_REVIEW_REQUIRED，Inference_validated=false。</w:t>
      </w:r>
    </w:p>
    <w:p>
      <w:pPr>
        <w:pStyle w:val="CaptionedFigure"/>
      </w:pPr>
      <w:r>
        <w:drawing>
          <wp:inline>
            <wp:extent cx="5334000" cy="4237247"/>
            <wp:effectExtent b="0" l="0" r="0" t="0"/>
            <wp:docPr descr="2022正式第二阶段链：预热段163步，保留1,837步/每walker" title="" id="22" name="Picture"/>
            <a:graphic>
              <a:graphicData uri="http://schemas.openxmlformats.org/drawingml/2006/picture">
                <pic:pic>
                  <pic:nvPicPr>
                    <pic:cNvPr descr="figures/F15_2022_phase2_chai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37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2022正式第二阶段链：预热段163步，保留1,837步/每walker</w:t>
      </w:r>
    </w:p>
    <w:p>
      <w:pPr>
        <w:pStyle w:val="BodyText"/>
      </w:pPr>
      <w:r>
        <w:t xml:space="preserve">图注：仅使用正式2000步检查点，2步smoke排除。5τ截断与τ长度参考不是独立多链收敛认证；未把32个walker当作32条独立链计算Rhat。</w:t>
      </w:r>
    </w:p>
    <w:bookmarkEnd w:id="24"/>
    <w:bookmarkStart w:id="25" w:name="模型汇总与水量核算"/>
    <w:p>
      <w:pPr>
        <w:pStyle w:val="Heading2"/>
      </w:pPr>
      <w:r>
        <w:t xml:space="preserve">3 模型汇总与水量核算</w:t>
      </w:r>
    </w:p>
    <w:p>
      <w:pPr>
        <w:pStyle w:val="FirstParagraph"/>
      </w:pPr>
      <w:r>
        <w:t xml:space="preserve">新增conditional_mean_model.json给出均值参数点的DI和零灌溉输出，不是后验预测均值。本轮重新核对Y_dry=0.87Y13、ET=Tr+Es、完整土壤/地表储水与通量账，未重跑原模拟器。</w:t>
      </w:r>
      <w:r>
        <w:t xml:space="preserve"> </w:t>
      </w:r>
      <w:r>
        <w:t xml:space="preserve">DI产量为14.0777828181 t/ha，相对文献14.08的误差约−0.01575%；灌水404.84mm，Tr=529.939343mm，Es=66.845293mm，ET=596.784636mm，储水消耗40.582409mm。IWP=100Y/I=3.477370 kg/m³。</w:t>
      </w:r>
      <w:r>
        <w:t xml:space="preserve"> </w:t>
      </w:r>
      <w:r>
        <w:t xml:space="preserve">零灌溉产量为5.8495800962 t/ha，相对DI损失58.4481%，仍是未经同地实测验证的反事实。季节量账重算残差均约10^-12mm。</w:t>
      </w:r>
      <w:r>
        <w:t xml:space="preserve"> </w:t>
      </w:r>
      <w:r>
        <w:t xml:space="preserve">2022 CC_RMSE=0.0595741682、生物量RMSE=0.5561588827来自本次JSON；缺少对应逐日及配对表，因此R²=0.931/0.997仍按先前Word报告值标注，不升级为本轮配对复算。</w:t>
      </w:r>
      <w:r>
        <w:t xml:space="preserve"> </w:t>
      </w:r>
      <w:r>
        <w:t xml:space="preserve">| 年份 | 灌溉_mm | 降水_mm | Tr_mm | Es_mm | ET_mm | 储水增加_mm |</w:t>
      </w:r>
      <w:r>
        <w:t xml:space="preserve"> </w:t>
      </w:r>
      <w:r>
        <w:t xml:space="preserve">| — | — | — | — | — | — | — |</w:t>
      </w:r>
      <w:r>
        <w:t xml:space="preserve"> </w:t>
      </w:r>
      <w:r>
        <w:t xml:space="preserve">| 2019 | 445.2700 | 177.8688 | 540.7645 | 97.2337 | 637.9982 | -19.2272 |</w:t>
      </w:r>
      <w:r>
        <w:t xml:space="preserve"> </w:t>
      </w:r>
      <w:r>
        <w:t xml:space="preserve">| 2020 | 559.7600 | 113.4648 | 526.7431 | 83.2188 | 609.9619 | 61.9190 |</w:t>
      </w:r>
      <w:r>
        <w:t xml:space="preserve"> </w:t>
      </w:r>
      <w:r>
        <w:t xml:space="preserve">| 2021 | 633.4700 | 143.3228 | 533.2378 | 71.9055 | 605.1434 | 169.9674 |</w:t>
      </w:r>
      <w:r>
        <w:t xml:space="preserve"> </w:t>
      </w:r>
      <w:r>
        <w:t xml:space="preserve">| 2022 | 404.8400 | 151.3838 | 529.9393 | 66.8453 | 596.7846 | -40.5824 |</w:t>
      </w:r>
    </w:p>
    <w:bookmarkEnd w:id="25"/>
    <w:bookmarkStart w:id="26" w:name="六个包同步更新内容"/>
    <w:p>
      <w:pPr>
        <w:pStyle w:val="Heading2"/>
      </w:pPr>
      <w:r>
        <w:t xml:space="preserve">4 六个包同步更新内容</w:t>
      </w:r>
    </w:p>
    <w:p>
      <w:pPr>
        <w:pStyle w:val="FirstParagraph"/>
      </w:pPr>
      <w:r>
        <w:t xml:space="preserve">完整报告包：四年参数统计、20组检查点清单、更新论文/审查报告/工作簿/图册、当前工程和原始补件。</w:t>
      </w:r>
      <w:r>
        <w:t xml:space="preserve"> </w:t>
      </w:r>
      <w:r>
        <w:t xml:space="preserve">运行结果包：新增真实阶段二保留样本、核验日志/表、相关图与当前状态。上版36组Sobol和9次优化仍标为2026-10-15历史代理探索，没有冒充新运行。</w:t>
      </w:r>
      <w:r>
        <w:t xml:space="preserve"> </w:t>
      </w:r>
      <w:r>
        <w:t xml:space="preserve">图件包：补齐四年区间、阶段二相关、水量与门槛，新增2022轨迹/分布图；历史代理图均有显式历史标题。</w:t>
      </w:r>
      <w:r>
        <w:t xml:space="preserve"> </w:t>
      </w:r>
      <w:r>
        <w:t xml:space="preserve">新增材料复核包：32个中心值均核验、8组参数组均可追溯；论文/采样表不再写2022原链缺失。</w:t>
      </w:r>
      <w:r>
        <w:t xml:space="preserve"> </w:t>
      </w:r>
      <w:r>
        <w:t xml:space="preserve">计算准备包：2022基准从四舍五入报告值改为精确JSON，四年全局公共范围设计重新生成并绑定新配置哈希。</w:t>
      </w:r>
      <w:r>
        <w:t xml:space="preserve"> </w:t>
      </w:r>
      <w:r>
        <w:t xml:space="preserve">Sobol与优化工程包：统一样本新增p2_2022，local95和128组阶段二条件扰动已可读取，新增回归测试；主分析继续遵照三份指导文件，不改为年度链范围默认采样。</w:t>
      </w:r>
    </w:p>
    <w:bookmarkEnd w:id="26"/>
    <w:bookmarkStart w:id="27" w:name="当前研究方案与保留边界"/>
    <w:p>
      <w:pPr>
        <w:pStyle w:val="Heading2"/>
      </w:pPr>
      <w:r>
        <w:t xml:space="preserve">5 当前研究方案与保留边界</w:t>
      </w:r>
    </w:p>
    <w:p>
      <w:pPr>
        <w:pStyle w:val="FirstParagraph"/>
      </w:pPr>
      <w:r>
        <w:t xml:space="preserve">MCMC保持冻结的分阶段条件推断。主Sobol为预声明公共物理范围内独立均匀输入，N128×3个scramble、不算二阶，必要时升N512，报告六输出的S1/ST/区间/均值/方差/单位。local95是可选邻域响应，不叫后验Sobol，不计算CAI。</w:t>
      </w:r>
      <w:r>
        <w:t xml:space="preserve"> </w:t>
      </w:r>
      <w:r>
        <w:t xml:space="preserve">主优化固定年度中心点，min(-Y13,I)，I≤年度DI基准且Y13≥0.95×文献观测。优先真实SMT1—4；否则4—5阶段水量和明确日期窗口。100方向/种群、100代、5种子，默认同预算NSGA-II对照；候选以ε约束选解，回代并分别用两个参数组至少128行扰动核验。</w:t>
      </w:r>
      <w:r>
        <w:t xml:space="preserve"> </w:t>
      </w:r>
      <w:r>
        <w:t xml:space="preserve">| 年份 | 文献观测 | 模型基准 | 95%绝对门槛 | 可减产余量_pct |</w:t>
      </w:r>
      <w:r>
        <w:t xml:space="preserve"> </w:t>
      </w:r>
      <w:r>
        <w:t xml:space="preserve">| — | — | — | — | — |</w:t>
      </w:r>
      <w:r>
        <w:t xml:space="preserve"> </w:t>
      </w:r>
      <w:r>
        <w:t xml:space="preserve">| 2019 | 16.5500 | 16.7017 | 15.7225 | 5.8628 |</w:t>
      </w:r>
      <w:r>
        <w:t xml:space="preserve"> </w:t>
      </w:r>
      <w:r>
        <w:t xml:space="preserve">| 2020 | 17.2900 | 16.8040 | 16.4255 | 2.2527 |</w:t>
      </w:r>
      <w:r>
        <w:t xml:space="preserve"> </w:t>
      </w:r>
      <w:r>
        <w:t xml:space="preserve">| 2021 | 15.8600 | 15.1971 | 15.0670 | 0.8563 |</w:t>
      </w:r>
      <w:r>
        <w:t xml:space="preserve"> </w:t>
      </w:r>
      <w:r>
        <w:t xml:space="preserve">| 2022 | 14.0800 | 14.0778 | 13.3760 | 4.9850 |</w:t>
      </w:r>
    </w:p>
    <w:p>
      <w:pPr>
        <w:pStyle w:val="BodyText"/>
      </w:pPr>
      <w:r>
        <w:t xml:space="preserve">2021产量余量仍仅0.8563%，2022约4.9850%，这些不是节水率。真实模型前沿、最终节水与可执行日程仍没有新计算证据，不能恢复旧2021约38%结论。</w:t>
      </w:r>
      <w:r>
        <w:t xml:space="preserve"> </w:t>
      </w:r>
      <w:r>
        <w:t xml:space="preserve">旧代理图和CSV只保留历史审计用途；真实2022链补齐不会把原代理的1500个人造输入、旧阈值或旧结果追溯性地变成真实模型分析。</w:t>
      </w:r>
    </w:p>
    <w:bookmarkEnd w:id="27"/>
    <w:bookmarkStart w:id="28" w:name="历史问题的当前状态"/>
    <w:p>
      <w:pPr>
        <w:pStyle w:val="Heading2"/>
      </w:pPr>
      <w:r>
        <w:t xml:space="preserve">6 历史问题的当前状态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Borders>
          <w:top w:val="single" w:sz="4" w:color="C6D1D9"/>
          <w:left w:val="single" w:sz="4" w:color="C6D1D9"/>
          <w:bottom w:val="single" w:sz="4" w:color="C6D1D9"/>
          <w:right w:val="single" w:sz="4" w:color="C6D1D9"/>
          <w:insideH w:val="single" w:sz="4" w:color="C6D1D9"/>
          <w:insideV w:val="single" w:sz="4" w:color="C6D1D9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DDE8EE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ID</w:t>
            </w:r>
          </w:p>
        </w:tc>
        <w:tc>
          <w:tcPr>
            <w:shd w:fill="DDE8EE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Finding</w:t>
            </w:r>
          </w:p>
        </w:tc>
        <w:tc>
          <w:tcPr>
            <w:shd w:fill="DDE8EE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Current_status</w:t>
            </w:r>
          </w:p>
        </w:tc>
        <w:tc>
          <w:tcPr>
            <w:shd w:fill="DDE8EE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历史原代理使用2022构造样本；当前真链已补齐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已补齐当前真链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本轮接入真实2000×32×3检查点，旧1500行构造值仅保留在历史代理记录，不能混入当前数据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后续分析使用自写代理而非原改进模型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历史诊断仍适用，正式结果需真实模型核验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补含两阶段 WP 与蒸发结构修改的原模型；统一接口核验基准点和随机管理点，再复算候选方案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独立冠层验证存在数据复用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历史诊断仍适用，正式结果需真实模型核验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改称样本内校准；独立年份、处理或地块留出，任何校准都不能看测试资料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第一阶段尚未满足收敛标准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诊断限制保留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MCMC作为冻结输入；严格诊断置于补充说明，不作为确定性主流程新增门槛，不声称认证收敛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两阶段条件分布不能拼成联合后验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主线按指导已调整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年度均值用于确定性分析；两个参数组分别扰动，未构造八维联合后验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95% 保产基准用错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历史诊断仍适用，正式结果需真实模型核验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统一观测与同模型同样本基准；重算门槛：原选方案相对观测减产 5.73%/7.75%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水生产率单位高 10 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历史诊断仍适用，正式结果需真实模型核验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统一所有 WP_ET、WP_Irr、基准表与真实模型适配器；节水百分比不受此单位错误影响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均值约束不足以提供保产概率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改为候选后核验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主优化固定中心点；候选分组条件核验概率、低分位和MC误差，不以均值冒充可靠性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 个固定参数样本不足以稳定估计风险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代码已调整，真实运行待接入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候选每个可用参数组至少128整行样本，2022两个组现均可读取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后验 Sobol 的命名与概率空间不符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正式定义已修正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公共全局独立均匀范围；local95仅为可选邻域响应，不称后验Sobol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CAI 不是识别性或信息吸收的证明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当前代码已移除CAI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保留S1、ST、区间、均值、方差与单位，不推断信息吸收率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代理的水量和土壤过程未验证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历史诊断仍适用，正式结果需真实模型核验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显式记录储水、深渗、径流及缺水限制，先过逐日水量账，再评价制度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基准灌溉安排含构造记录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历史诊断仍适用，正式结果需真实模型核验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补真实分次记录；保持假设标签，不能将构造表称为实测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原优化只跑一次且无轨迹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代码已调整，真实运行待接入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100种群/方向、100代、5种子，与同预算NSGA-II比较，每代保存X/F/G/CV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通用方案选择与评分复用年份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历史诊断仍适用，正式结果需真实模型核验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嵌套留一年法，选择与评估分开；用同水量/保产约束比较，区别气候迁移和参数迁移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曲线可视化强制单调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历史诊断仍适用，正式结果需真实模型核验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展示真实散点或确实可行的二维非支配包络；不得把累计最大值当作新可行解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观测多为数字化重建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历史诊断仍适用，正式结果需真实模型核验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追溯原始论文和原表、补测量/数字化误差；不得将假设 sigma 写成实测 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自检不等于科学有效性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历史诊断仍适用，正式结果需真实模型核验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改为数据形状、单位、守恒和估计器基准测试；结果排序应是待检验发现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膝点与三代算法表述不准确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当前代码已修正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ε门槛内最低水量及两个邻近备选；无可行解时不输出推荐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按样本数混合年份不等于共同后验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当前数据按年分组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统一文件有8个年度/阶段数组；新增2022真链，不跨年按样本数混成共同后验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代理对齐目标被误称实测，且并非全部精确对齐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历史诊断仍适用，正式结果需真实模型核验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分别保存实测、数字化目标、原模型输出与代理输出；校正验证报告中全部精确复现的说法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阶段A元数据残留错误配置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历史诊断仍适用，正式结果需真实模型核验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从原审计统一生成唯一配置，停止手填多套目标；重新生成元数据并显式版本化</w:t>
            </w:r>
          </w:p>
        </w:tc>
      </w:tr>
    </w:tbl>
    <w:bookmarkEnd w:id="28"/>
    <w:bookmarkStart w:id="29" w:name="版本与复现"/>
    <w:p>
      <w:pPr>
        <w:pStyle w:val="Heading2"/>
      </w:pPr>
      <w:r>
        <w:t xml:space="preserve">7 版本与复现</w:t>
      </w:r>
    </w:p>
    <w:p>
      <w:pPr>
        <w:pStyle w:val="FirstParagraph"/>
      </w:pPr>
      <w:r>
        <w:t xml:space="preserve">原补件ZIP和正式检查点的SHA256、tau、截断、源哈希衔接、旧数组逐值不变性见PHASE2_2022_VALIDATION.json；六个ZIP各自重新计算完整性与文件清单。原分支历史保留旧版，主分支不变。</w:t>
      </w:r>
      <w:r>
        <w:t xml:space="preserve"> </w:t>
      </w:r>
      <w:r>
        <w:t xml:space="preserve">原模型版本来自检查点contract；本轮分析环境另记ANALYSIS_ENVIRONMENT.json，不能把当前分析环境说成已经精确恢复了原采样环境。各类检查点、软件测试、模型运行和外部验证状态分别记录。</w:t>
      </w:r>
    </w:p>
    <w:bookmarkEnd w:id="29"/>
    <w:bookmarkEnd w:id="30"/>
    <w:sectPr>
      <w:footerReference w:type="default" r:id="rId9"/>
      <w:pgSz w:w="11906" w:h="16838"/>
      <w:pgMar w:top="1020" w:bottom="1020" w:left="1020" w:right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URP  | 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00" w:lineRule="auto"/>
    </w:pPr>
    <w:rPr>
      <w:rFonts w:ascii="Calibri" w:hAnsi="Calibri" w:eastAsia="宋体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 w:line="300" w:lineRule="auto"/>
    </w:pPr>
    <w:rPr>
      <w:rFonts w:ascii="Calibri" w:hAnsi="Calibri" w:eastAsia="宋体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line="300" w:lineRule="auto"/>
    </w:pPr>
    <w:rPr>
      <w:rFonts w:ascii="Calibri" w:hAnsi="Calibri" w:eastAsia="宋体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eastAsia="宋体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 w:eastAsia="宋体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 w:eastAsia="宋体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hAnsi="Calibri" w:eastAsia="宋体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Calibri" w:hAnsi="Calibri" w:eastAsia="宋体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Calibri" w:hAnsi="Calibri" w:eastAsia="宋体"/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Calibri" w:hAnsi="Calibri" w:eastAsia="宋体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Calibri" w:hAnsi="Calibri" w:eastAsia="宋体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Calibri" w:hAnsi="Calibri" w:eastAsia="宋体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Calibri" w:hAnsi="Calibri" w:eastAsia="宋体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Calibri" w:hAnsi="Calibri" w:eastAsia="宋体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Calibri" w:hAnsi="Calibri" w:eastAsia="宋体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Calibri" w:hAnsi="Calibri" w:eastAsia="宋体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Calibri" w:hAnsi="Calibri" w:eastAsia="宋体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Calibri" w:hAnsi="Calibri" w:eastAsia="宋体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Calibri" w:hAnsi="Calibri" w:eastAsia="宋体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Calibri" w:hAnsi="Calibri" w:eastAsia="宋体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 w:eastAsia="宋体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Calibri" w:hAnsi="Calibri" w:eastAsia="宋体"/>
    </w:rPr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  <w:rPr>
      <w:rFonts w:ascii="Calibri" w:hAnsi="Calibri" w:eastAsia="宋体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Calibri" w:hAnsi="Calibri" w:eastAsia="宋体"/>
      <w:b/>
    </w:rPr>
  </w:style>
  <w:style w:customStyle="1" w:styleId="Definition" w:type="paragraph">
    <w:name w:val="Definition"/>
    <w:basedOn w:val="Normal"/>
    <w:rPr>
      <w:rFonts w:ascii="Calibri" w:hAnsi="Calibri" w:eastAsia="宋体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Calibri" w:hAnsi="Calibri" w:eastAsia="宋体"/>
      <w:i/>
    </w:rPr>
  </w:style>
  <w:style w:customStyle="1" w:styleId="TableCaption" w:type="paragraph">
    <w:name w:val="Table Caption"/>
    <w:basedOn w:val="Caption"/>
    <w:pPr>
      <w:keepNext/>
    </w:pPr>
    <w:rPr>
      <w:rFonts w:ascii="Calibri" w:hAnsi="Calibri" w:eastAsia="宋体"/>
    </w:rPr>
  </w:style>
  <w:style w:customStyle="1" w:styleId="ImageCaption" w:type="paragraph">
    <w:name w:val="Image Caption"/>
    <w:basedOn w:val="Caption"/>
    <w:rPr>
      <w:rFonts w:ascii="Calibri" w:hAnsi="Calibri" w:eastAsia="宋体"/>
    </w:rPr>
  </w:style>
  <w:style w:customStyle="1" w:styleId="Figure" w:type="paragraph">
    <w:name w:val="Figure"/>
    <w:basedOn w:val="Normal"/>
    <w:rPr>
      <w:rFonts w:ascii="Calibri" w:hAnsi="Calibri" w:eastAsia="宋体"/>
    </w:rPr>
  </w:style>
  <w:style w:customStyle="1" w:styleId="CaptionedFigure" w:type="paragraph">
    <w:name w:val="Captioned Figure"/>
    <w:basedOn w:val="Figure"/>
    <w:pPr>
      <w:keepNext/>
    </w:pPr>
    <w:rPr>
      <w:rFonts w:ascii="Calibri" w:hAnsi="Calibri" w:eastAsia="宋体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Calibri" w:hAnsi="Calibri" w:eastAsia="宋体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alibri" w:hAnsi="Calibri" w:eastAsia="宋体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1" Type="http://schemas.openxmlformats.org/officeDocument/2006/relationships/image" Target="media/rId21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2026-10-17T13:03:19Z</dcterms:created>
  <dcterms:modified xsi:type="dcterms:W3CDTF">2026-10-17T13:03:19Z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