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滴灌玉米改进aquacrop的分阶段校准全局范围敏感性与确定性灌溉优化"/>
    <w:p>
      <w:pPr>
        <w:pStyle w:val="Heading1"/>
      </w:pPr>
      <w:r>
        <w:t xml:space="preserve">滴灌玉米改进AquaCrop的分阶段校准、全局范围敏感性与确定性灌溉优化</w:t>
      </w:r>
    </w:p>
    <w:bookmarkStart w:id="20" w:name="论文框架与数据插图更新稿2026-10-17"/>
    <w:p>
      <w:pPr>
        <w:pStyle w:val="Heading2"/>
      </w:pPr>
      <w:r>
        <w:t xml:space="preserve">论文框架与数据插图更新稿（2026-10-17）</w:t>
      </w:r>
    </w:p>
    <w:p>
      <w:pPr>
        <w:pStyle w:val="FirstParagraph"/>
      </w:pPr>
      <w:r>
        <w:t xml:space="preserve">本稿已纳入2022真实第二阶段链及精确均值点输出。MCMC作为冻结输入；正式真实模型Sobol、NSGA-III及最终田间管理结论仍待原模型执行，不提前填写指数或节水幅度。</w:t>
      </w:r>
    </w:p>
    <w:bookmarkEnd w:id="20"/>
    <w:bookmarkStart w:id="21" w:name="摘要草稿"/>
    <w:p>
      <w:pPr>
        <w:pStyle w:val="Heading2"/>
      </w:pPr>
      <w:r>
        <w:t xml:space="preserve">摘要草稿</w:t>
      </w:r>
    </w:p>
    <w:p>
      <w:pPr>
        <w:pStyle w:val="FirstParagraph"/>
      </w:pPr>
      <w:r>
        <w:t xml:space="preserve">本研究整理2019—2022年DI玉米气象、冠层、生物量、产量与土壤初始水资料，采用分组分阶段校准，并以年度参数中心点构建独立范围敏感性与确定性灌溉决策框架。现有配对资料支持2019—2021样本内校准评价；2022新补真实条件链包含2000步、32个walker，按5τ统一截断后保留58784行三参数样本，所报告均值和分位可由原始数组重建。四年32个中心值均已交叉核验，季节水量账内部闭合。后续拟在冻结Modified DI模型中开展公共独立均匀范围Sobol和受约束双目标NSGA-III，再单列候选的组内条件扰动。当前证据支持校准重现与数值一致性，正式敏感性排序、节水潜力与推广性须由真实模型新运行检验。</w:t>
      </w:r>
      <w:r>
        <w:t xml:space="preserve"> </w:t>
      </w:r>
      <w:r>
        <w:t xml:space="preserve">关键词：亏缺灌溉玉米；改进AquaCrop；分阶段条件校准；Sobol；NSGA-III。</w:t>
      </w:r>
    </w:p>
    <w:bookmarkEnd w:id="21"/>
    <w:bookmarkStart w:id="25" w:name="引言与研究问题"/>
    <w:p>
      <w:pPr>
        <w:pStyle w:val="Heading2"/>
      </w:pPr>
      <w:r>
        <w:t xml:space="preserve">1 引言与研究问题</w:t>
      </w:r>
    </w:p>
    <w:p>
      <w:pPr>
        <w:pStyle w:val="FirstParagraph"/>
      </w:pPr>
      <w:r>
        <w:t xml:space="preserve">研究问题是如何把可解释的作物水分过程校准用于受供水和产量限制的灌溉决策。工具组合本身不构成创新；需要明确新的过程认识或可执行决策依据。</w:t>
      </w:r>
      <w:r>
        <w:t xml:space="preserve"> </w:t>
      </w:r>
      <w:r>
        <w:t xml:space="preserve">RQ1：既有资料支持哪些样本内过程重现与参数补偿结论？RQ2：在预声明独立物理范围中，哪些参数贡献输出方差？RQ3：固定年度中心点时，满足水量和观测产量门槛的非支配制度是什么？补充问题是这些候选对分组条件参数扰动是否稳定。</w:t>
      </w:r>
      <w:r>
        <w:t xml:space="preserve"> </w:t>
      </w:r>
      <w:r>
        <w:t xml:space="preserve">研究区坐标、原始田间设计、重复数及测量误差应从原资料补齐，不凭结果图推断试验细节。</w:t>
      </w:r>
    </w:p>
    <w:p>
      <w:pPr>
        <w:pStyle w:val="CaptionedFigure"/>
      </w:pPr>
      <w:r>
        <w:drawing>
          <wp:inline>
            <wp:extent cx="5334000" cy="2955755"/>
            <wp:effectExtent b="0" l="0" r="0" t="0"/>
            <wp:docPr descr="更新后的确定性主线与资料状态" title="" id="23" name="Picture"/>
            <a:graphic>
              <a:graphicData uri="http://schemas.openxmlformats.org/drawingml/2006/picture">
                <pic:pic>
                  <pic:nvPicPr>
                    <pic:cNvPr descr="figures/U05_revised_workflow.png" id="24" name="Picture"/>
                    <pic:cNvPicPr>
                      <a:picLocks noChangeArrowheads="1" noChangeAspect="1"/>
                    </pic:cNvPicPr>
                  </pic:nvPicPr>
                  <pic:blipFill>
                    <a:blip r:embed="rId22"/>
                    <a:stretch>
                      <a:fillRect/>
                    </a:stretch>
                  </pic:blipFill>
                  <pic:spPr bwMode="auto">
                    <a:xfrm>
                      <a:off x="0" y="0"/>
                      <a:ext cx="5334000" cy="2955755"/>
                    </a:xfrm>
                    <a:prstGeom prst="rect">
                      <a:avLst/>
                    </a:prstGeom>
                    <a:noFill/>
                    <a:ln w="9525">
                      <a:noFill/>
                      <a:headEnd/>
                      <a:tailEnd/>
                    </a:ln>
                  </pic:spPr>
                </pic:pic>
              </a:graphicData>
            </a:graphic>
          </wp:inline>
        </w:drawing>
      </w:r>
    </w:p>
    <w:p>
      <w:pPr>
        <w:pStyle w:val="ImageCaption"/>
      </w:pPr>
      <w:r>
        <w:t xml:space="preserve">更新后的确定性主线与资料状态</w:t>
      </w:r>
    </w:p>
    <w:p>
      <w:pPr>
        <w:pStyle w:val="BodyText"/>
      </w:pPr>
      <w:r>
        <w:t xml:space="preserve">图注：2022正式阶段二链已补齐；真实模型原实现仍缺，未运行正式Sobol/NSGA-III。</w:t>
      </w:r>
    </w:p>
    <w:bookmarkEnd w:id="25"/>
    <w:bookmarkStart w:id="29" w:name="数据来源与证据角色"/>
    <w:p>
      <w:pPr>
        <w:pStyle w:val="Heading2"/>
      </w:pPr>
      <w:r>
        <w:t xml:space="preserve">2 数据、来源与证据角色</w:t>
      </w:r>
    </w:p>
    <w:tbl>
      <w:tblPr>
        <w:tblStyle w:val="Table"/>
        <w:tblW w:type="pct" w:w="5000"/>
        <w:jc w:val="left"/>
        <w:tblLayout w:type="fixed"/>
        <w:tblLook w:firstRow="1" w:lastRow="0" w:firstColumn="0" w:lastColumn="0" w:noHBand="0" w:noVBand="0" w:val="0020"/>
        <w:tblBorders>
          <w:top w:val="single" w:sz="4" w:color="C6D1D9"/>
          <w:left w:val="single" w:sz="4" w:color="C6D1D9"/>
          <w:bottom w:val="single" w:sz="4" w:color="C6D1D9"/>
          <w:right w:val="single" w:sz="4" w:color="C6D1D9"/>
          <w:insideH w:val="single" w:sz="4" w:color="C6D1D9"/>
          <w:insideV w:val="single" w:sz="4" w:color="C6D1D9"/>
        </w:tblBorders>
      </w:tblPr>
      <w:tblGrid>
        <w:gridCol w:w="2640"/>
        <w:gridCol w:w="2640"/>
        <w:gridCol w:w="2640"/>
      </w:tblGrid>
      <w:tr>
        <w:trPr>
          <w:tblHeader w:val="on"/>
        </w:trPr>
        <w:tc>
          <w:tcPr>
            <w:shd w:fill="DDE8EE"/>
          </w:tcPr>
          <w:p>
            <w:pPr>
              <w:pStyle w:val="Compact"/>
              <w:jc w:val="left"/>
            </w:pPr>
            <w:r>
              <w:rPr>
                <w:sz w:val="16"/>
              </w:rPr>
              <w:t xml:space="preserve">数据</w:t>
            </w:r>
          </w:p>
        </w:tc>
        <w:tc>
          <w:tcPr>
            <w:shd w:fill="DDE8EE"/>
          </w:tcPr>
          <w:p>
            <w:pPr>
              <w:pStyle w:val="Compact"/>
              <w:jc w:val="left"/>
            </w:pPr>
            <w:r>
              <w:rPr>
                <w:sz w:val="16"/>
              </w:rPr>
              <w:t xml:space="preserve">用途</w:t>
            </w:r>
          </w:p>
        </w:tc>
        <w:tc>
          <w:tcPr>
            <w:shd w:fill="DDE8EE"/>
          </w:tcPr>
          <w:p>
            <w:pPr>
              <w:pStyle w:val="Compact"/>
              <w:jc w:val="left"/>
            </w:pPr>
            <w:r>
              <w:rPr>
                <w:sz w:val="16"/>
              </w:rPr>
              <w:t xml:space="preserve">范围与限定</w:t>
            </w:r>
          </w:p>
        </w:tc>
      </w:tr>
      <w:tr>
        <w:tc>
          <w:tcPr/>
          <w:p>
            <w:pPr>
              <w:pStyle w:val="Compact"/>
              <w:jc w:val="left"/>
            </w:pPr>
            <w:r>
              <w:rPr>
                <w:sz w:val="16"/>
              </w:rPr>
              <w:t xml:space="preserve">Field LAI-derived CC</w:t>
            </w:r>
          </w:p>
        </w:tc>
        <w:tc>
          <w:tcPr/>
          <w:p>
            <w:pPr>
              <w:pStyle w:val="Compact"/>
              <w:jc w:val="left"/>
            </w:pPr>
            <w:r>
              <w:rPr>
                <w:sz w:val="16"/>
              </w:rPr>
              <w:t xml:space="preserve">阶段一校准</w:t>
            </w:r>
          </w:p>
        </w:tc>
        <w:tc>
          <w:tcPr/>
          <w:p>
            <w:pPr>
              <w:pStyle w:val="Compact"/>
              <w:jc w:val="left"/>
            </w:pPr>
            <w:r>
              <w:rPr>
                <w:sz w:val="16"/>
              </w:rPr>
              <w:t xml:space="preserve">论文数字化LAI再转换，非本次新增田间观测</w:t>
            </w:r>
          </w:p>
        </w:tc>
      </w:tr>
      <w:tr>
        <w:tc>
          <w:tcPr/>
          <w:p>
            <w:pPr>
              <w:pStyle w:val="Compact"/>
              <w:jc w:val="left"/>
            </w:pPr>
            <w:r>
              <w:rPr>
                <w:sz w:val="16"/>
              </w:rPr>
              <w:t xml:space="preserve">RS CCquad</w:t>
            </w:r>
          </w:p>
        </w:tc>
        <w:tc>
          <w:tcPr/>
          <w:p>
            <w:pPr>
              <w:pStyle w:val="Compact"/>
              <w:jc w:val="left"/>
            </w:pPr>
            <w:r>
              <w:rPr>
                <w:sz w:val="16"/>
              </w:rPr>
              <w:t xml:space="preserve">未进入似然的辅助时序</w:t>
            </w:r>
          </w:p>
        </w:tc>
        <w:tc>
          <w:tcPr/>
          <w:p>
            <w:pPr>
              <w:pStyle w:val="Compact"/>
              <w:jc w:val="left"/>
            </w:pPr>
            <w:r>
              <w:rPr>
                <w:sz w:val="16"/>
              </w:rPr>
              <w:t xml:space="preserve">2019—2021为BI、2022处理标签缺失，不称DI外部验证</w:t>
            </w:r>
          </w:p>
        </w:tc>
      </w:tr>
      <w:tr>
        <w:tc>
          <w:tcPr/>
          <w:p>
            <w:pPr>
              <w:pStyle w:val="Compact"/>
              <w:jc w:val="left"/>
            </w:pPr>
            <w:r>
              <w:rPr>
                <w:sz w:val="16"/>
              </w:rPr>
              <w:t xml:space="preserve">Tr与Es</w:t>
            </w:r>
          </w:p>
        </w:tc>
        <w:tc>
          <w:tcPr/>
          <w:p>
            <w:pPr>
              <w:pStyle w:val="Compact"/>
              <w:jc w:val="left"/>
            </w:pPr>
            <w:r>
              <w:rPr>
                <w:sz w:val="16"/>
              </w:rPr>
              <w:t xml:space="preserve">阶段一过程约束</w:t>
            </w:r>
          </w:p>
        </w:tc>
        <w:tc>
          <w:tcPr/>
          <w:p>
            <w:pPr>
              <w:pStyle w:val="Compact"/>
              <w:jc w:val="left"/>
            </w:pPr>
            <w:r>
              <w:rPr>
                <w:sz w:val="16"/>
              </w:rPr>
              <w:t xml:space="preserve">保留Es近似目标和数字化误差限定</w:t>
            </w:r>
          </w:p>
        </w:tc>
      </w:tr>
      <w:tr>
        <w:tc>
          <w:tcPr/>
          <w:p>
            <w:pPr>
              <w:pStyle w:val="Compact"/>
              <w:jc w:val="left"/>
            </w:pPr>
            <w:r>
              <w:rPr>
                <w:sz w:val="16"/>
              </w:rPr>
              <w:t xml:space="preserve">Biomass与年Yield</w:t>
            </w:r>
          </w:p>
        </w:tc>
        <w:tc>
          <w:tcPr/>
          <w:p>
            <w:pPr>
              <w:pStyle w:val="Compact"/>
              <w:jc w:val="left"/>
            </w:pPr>
            <w:r>
              <w:rPr>
                <w:sz w:val="16"/>
              </w:rPr>
              <w:t xml:space="preserve">阶段二条件校准</w:t>
            </w:r>
          </w:p>
        </w:tc>
        <w:tc>
          <w:tcPr/>
          <w:p>
            <w:pPr>
              <w:pStyle w:val="Compact"/>
              <w:jc w:val="left"/>
            </w:pPr>
            <w:r>
              <w:rPr>
                <w:sz w:val="16"/>
              </w:rPr>
              <w:t xml:space="preserve">生物量与产量不是独立验证；产量为13%含水率</w:t>
            </w:r>
          </w:p>
        </w:tc>
      </w:tr>
      <w:tr>
        <w:tc>
          <w:tcPr/>
          <w:p>
            <w:pPr>
              <w:pStyle w:val="Compact"/>
              <w:jc w:val="left"/>
            </w:pPr>
            <w:r>
              <w:rPr>
                <w:sz w:val="16"/>
              </w:rPr>
              <w:t xml:space="preserve">ET</w:t>
            </w:r>
          </w:p>
        </w:tc>
        <w:tc>
          <w:tcPr/>
          <w:p>
            <w:pPr>
              <w:pStyle w:val="Compact"/>
              <w:jc w:val="left"/>
            </w:pPr>
            <w:r>
              <w:rPr>
                <w:sz w:val="16"/>
              </w:rPr>
              <w:t xml:space="preserve">Tr+Es的派生核对</w:t>
            </w:r>
          </w:p>
        </w:tc>
        <w:tc>
          <w:tcPr/>
          <w:p>
            <w:pPr>
              <w:pStyle w:val="Compact"/>
              <w:jc w:val="left"/>
            </w:pPr>
            <w:r>
              <w:rPr>
                <w:sz w:val="16"/>
              </w:rPr>
              <w:t xml:space="preserve">不重复作为独立似然信息计权</w:t>
            </w:r>
          </w:p>
        </w:tc>
      </w:tr>
      <w:tr>
        <w:tc>
          <w:tcPr/>
          <w:p>
            <w:pPr>
              <w:pStyle w:val="Compact"/>
              <w:jc w:val="left"/>
            </w:pPr>
            <w:r>
              <w:rPr>
                <w:sz w:val="16"/>
              </w:rPr>
              <w:t xml:space="preserve">气象、土壤与灌溉</w:t>
            </w:r>
          </w:p>
        </w:tc>
        <w:tc>
          <w:tcPr/>
          <w:p>
            <w:pPr>
              <w:pStyle w:val="Compact"/>
              <w:jc w:val="left"/>
            </w:pPr>
            <w:r>
              <w:rPr>
                <w:sz w:val="16"/>
              </w:rPr>
              <w:t xml:space="preserve">模型驱动/管理基准</w:t>
            </w:r>
          </w:p>
        </w:tc>
        <w:tc>
          <w:tcPr/>
          <w:p>
            <w:pPr>
              <w:pStyle w:val="Compact"/>
              <w:jc w:val="left"/>
            </w:pPr>
            <w:r>
              <w:rPr>
                <w:sz w:val="16"/>
              </w:rPr>
              <w:t xml:space="preserve">纠偏、分层初始水和部分假定分次日程均须追溯</w:t>
            </w:r>
          </w:p>
        </w:tc>
      </w:tr>
    </w:tbl>
    <w:p>
      <w:pPr>
        <w:pStyle w:val="CaptionedFigure"/>
      </w:pPr>
      <w:r>
        <w:drawing>
          <wp:inline>
            <wp:extent cx="5334000" cy="3581151"/>
            <wp:effectExtent b="0" l="0" r="0" t="0"/>
            <wp:docPr descr="CC证据角色未改变：校准资料与RS辅助时序" title="" id="27" name="Picture"/>
            <a:graphic>
              <a:graphicData uri="http://schemas.openxmlformats.org/drawingml/2006/picture">
                <pic:pic>
                  <pic:nvPicPr>
                    <pic:cNvPr descr="figures/U03_CC_evidence.png" id="28" name="Picture"/>
                    <pic:cNvPicPr>
                      <a:picLocks noChangeArrowheads="1" noChangeAspect="1"/>
                    </pic:cNvPicPr>
                  </pic:nvPicPr>
                  <pic:blipFill>
                    <a:blip r:embed="rId26"/>
                    <a:stretch>
                      <a:fillRect/>
                    </a:stretch>
                  </pic:blipFill>
                  <pic:spPr bwMode="auto">
                    <a:xfrm>
                      <a:off x="0" y="0"/>
                      <a:ext cx="5334000" cy="3581151"/>
                    </a:xfrm>
                    <a:prstGeom prst="rect">
                      <a:avLst/>
                    </a:prstGeom>
                    <a:noFill/>
                    <a:ln w="9525">
                      <a:noFill/>
                      <a:headEnd/>
                      <a:tailEnd/>
                    </a:ln>
                  </pic:spPr>
                </pic:pic>
              </a:graphicData>
            </a:graphic>
          </wp:inline>
        </w:drawing>
      </w:r>
    </w:p>
    <w:p>
      <w:pPr>
        <w:pStyle w:val="ImageCaption"/>
      </w:pPr>
      <w:r>
        <w:t xml:space="preserve">CC证据角色未改变：校准资料与RS辅助时序</w:t>
      </w:r>
    </w:p>
    <w:p>
      <w:pPr>
        <w:pStyle w:val="BodyText"/>
      </w:pPr>
      <w:r>
        <w:t xml:space="preserve">图注：RS不进入似然，但处理不同/未知，不是DI外部独立验证。2022补阶段二不会改变这项数据边界。</w:t>
      </w:r>
    </w:p>
    <w:bookmarkEnd w:id="29"/>
    <w:bookmarkStart w:id="33" w:name="冻结模型与年度中心点"/>
    <w:p>
      <w:pPr>
        <w:pStyle w:val="Heading2"/>
      </w:pPr>
      <w:r>
        <w:t xml:space="preserve">3 冻结模型与年度中心点</w:t>
      </w:r>
    </w:p>
    <w:p>
      <w:pPr>
        <w:pStyle w:val="FirstParagraph"/>
      </w:pPr>
      <w:r>
        <w:t xml:space="preserve">真实Modified DI保留actual CC蒸发、真实MulchPct、两阶段WP和年度HI0。原实现在当前材料中仍缺；新的一键脚本通过外部原项目加载模型，不能独立替代原源码。先对齐原基准点和随机管理点，再开展正式敏感性及优化。</w:t>
      </w:r>
      <w:r>
        <w:t xml:space="preserve"> </w:t>
      </w:r>
      <w:r>
        <w:t xml:space="preserve">阶段一θ1=(CCx,CGC_CD,CDC_CD,SenescenceCD,Kcb)，阶段二θ2=(WP_early,WP_late,HI0)条件于阶段一均值。两组均值拼接是确定性中心输入，不是八维联合后验样本。</w:t>
      </w:r>
      <w:r>
        <w:t xml:space="preserve"> </w:t>
      </w:r>
      <w:r>
        <w:t xml:space="preserve">| Year | CCx | CGC_CD | CDC_CD | SenescenceCD | Kcb | WP_early | WP_late | HI0 |</w:t>
      </w:r>
      <w:r>
        <w:t xml:space="preserve"> </w:t>
      </w:r>
      <w:r>
        <w:t xml:space="preserve">| — | — | — | — | — | — | — | — | — |</w:t>
      </w:r>
      <w:r>
        <w:t xml:space="preserve"> </w:t>
      </w:r>
      <w:r>
        <w:t xml:space="preserve">| 2019 | 0.9771 | 0.0988 | 0.0603 | 137.3804 | 1.4866 | 18.2042 | 30.5848 | 0.4124 |</w:t>
      </w:r>
      <w:r>
        <w:t xml:space="preserve"> </w:t>
      </w:r>
      <w:r>
        <w:t xml:space="preserve">| 2020 | 0.9773 | 0.0956 | 0.0607 | 137.8440 | 1.4352 | 11.2550 | 25.8493 | 0.5738 |</w:t>
      </w:r>
      <w:r>
        <w:t xml:space="preserve"> </w:t>
      </w:r>
      <w:r>
        <w:t xml:space="preserve">| 2021 | 0.9594 | 0.1154 | 0.0663 | 134.8456 | 1.4161 | 10.8767 | 21.9376 | 0.5800 |</w:t>
      </w:r>
      <w:r>
        <w:t xml:space="preserve"> </w:t>
      </w:r>
      <w:r>
        <w:t xml:space="preserve">| 2022 | 0.9374 | 0.1318 | 0.0642 | 134.9539 | 1.3775 | 13.8601 | 31.4977 | 0.4013 |</w:t>
      </w:r>
    </w:p>
    <w:p>
      <w:pPr>
        <w:pStyle w:val="CaptionedFigure"/>
      </w:pPr>
      <w:r>
        <w:drawing>
          <wp:inline>
            <wp:extent cx="5334000" cy="2911495"/>
            <wp:effectExtent b="0" l="0" r="0" t="0"/>
            <wp:docPr descr="32个年度中心值：两阶段保留均值均已交叉核验" title="" id="31" name="Picture"/>
            <a:graphic>
              <a:graphicData uri="http://schemas.openxmlformats.org/drawingml/2006/picture">
                <pic:pic>
                  <pic:nvPicPr>
                    <pic:cNvPr descr="figures/U01_central_parameters.png" id="32" name="Picture"/>
                    <pic:cNvPicPr>
                      <a:picLocks noChangeArrowheads="1" noChangeAspect="1"/>
                    </pic:cNvPicPr>
                  </pic:nvPicPr>
                  <pic:blipFill>
                    <a:blip r:embed="rId30"/>
                    <a:stretch>
                      <a:fillRect/>
                    </a:stretch>
                  </pic:blipFill>
                  <pic:spPr bwMode="auto">
                    <a:xfrm>
                      <a:off x="0" y="0"/>
                      <a:ext cx="5334000" cy="2911495"/>
                    </a:xfrm>
                    <a:prstGeom prst="rect">
                      <a:avLst/>
                    </a:prstGeom>
                    <a:noFill/>
                    <a:ln w="9525">
                      <a:noFill/>
                      <a:headEnd/>
                      <a:tailEnd/>
                    </a:ln>
                  </pic:spPr>
                </pic:pic>
              </a:graphicData>
            </a:graphic>
          </wp:inline>
        </w:drawing>
      </w:r>
    </w:p>
    <w:p>
      <w:pPr>
        <w:pStyle w:val="ImageCaption"/>
      </w:pPr>
      <w:r>
        <w:t xml:space="preserve">32个年度中心值：两阶段保留均值均已交叉核验</w:t>
      </w:r>
    </w:p>
    <w:p>
      <w:pPr>
        <w:pStyle w:val="BodyText"/>
      </w:pPr>
      <w:r>
        <w:t xml:space="preserve">图注：中心点数值未因本次补件改变。2022三个阶段二参数从“文档报告值”升级为“原检查点已核验”；连线只作年度比较。</w:t>
      </w:r>
    </w:p>
    <w:p>
      <w:pPr>
        <w:pStyle w:val="BodyText"/>
      </w:pPr>
      <w:r>
        <w:t xml:space="preserve">四年第一阶段各4独立ensemble，阶段二各1个。每组32 walkers、2000步，burn=ceil(5×整组最大τ)，同组参数共用整数截断。</w:t>
      </w:r>
      <w:r>
        <w:t xml:space="preserve"> </w:t>
      </w:r>
      <w:r>
        <w:t xml:space="preserve">| 年份 | 阶段 | burn-in | 每walker保留步数 | 相关样本行数 |</w:t>
      </w:r>
      <w:r>
        <w:t xml:space="preserve"> </w:t>
      </w:r>
      <w:r>
        <w:t xml:space="preserve">| — | — | — | — | — |</w:t>
      </w:r>
      <w:r>
        <w:t xml:space="preserve"> </w:t>
      </w:r>
      <w:r>
        <w:t xml:space="preserve">| 2019 | 1 | 395 | 1605 | 205440 |</w:t>
      </w:r>
      <w:r>
        <w:t xml:space="preserve"> </w:t>
      </w:r>
      <w:r>
        <w:t xml:space="preserve">| 2019 | 2 | 173 | 1827 | 58464 |</w:t>
      </w:r>
      <w:r>
        <w:t xml:space="preserve"> </w:t>
      </w:r>
      <w:r>
        <w:t xml:space="preserve">| 2020 | 1 | 369 | 1631 | 208768 |</w:t>
      </w:r>
      <w:r>
        <w:t xml:space="preserve"> </w:t>
      </w:r>
      <w:r>
        <w:t xml:space="preserve">| 2020 | 2 | 262 | 1738 | 55616 |</w:t>
      </w:r>
      <w:r>
        <w:t xml:space="preserve"> </w:t>
      </w:r>
      <w:r>
        <w:t xml:space="preserve">| 2021 | 1 | 347 | 1653 | 211584 |</w:t>
      </w:r>
      <w:r>
        <w:t xml:space="preserve"> </w:t>
      </w:r>
      <w:r>
        <w:t xml:space="preserve">| 2021 | 2 | 239 | 1761 | 56352 |</w:t>
      </w:r>
      <w:r>
        <w:t xml:space="preserve"> </w:t>
      </w:r>
      <w:r>
        <w:t xml:space="preserve">| 2022 | 1 | 317 | 1683 | 215424 |</w:t>
      </w:r>
      <w:r>
        <w:t xml:space="preserve"> </w:t>
      </w:r>
      <w:r>
        <w:t xml:space="preserve">| 2022 | 2 | 163 | 1837 | 58784 |</w:t>
      </w:r>
    </w:p>
    <w:p>
      <w:pPr>
        <w:pStyle w:val="BodyText"/>
      </w:pPr>
      <w:r>
        <w:t xml:space="preserve">2022阶段二均值及区间现已由正式原链核验。源状态为SAMPLING_COMPLETE_REVIEW_REQUIRED；操作性完成不等于已认证严格收敛。原严格Rhat/ESS限制保留为补充诊断，不把耦合walker当独立链，也不为确定性下游流程新增联合后验要求。</w:t>
      </w:r>
    </w:p>
    <w:bookmarkEnd w:id="33"/>
    <w:bookmarkStart w:id="34" w:name="sobol公共全局范围的真实模型响应实验"/>
    <w:p>
      <w:pPr>
        <w:pStyle w:val="Heading2"/>
      </w:pPr>
      <w:r>
        <w:t xml:space="preserve">4 Sobol：公共全局范围的真实模型响应实验</w:t>
      </w:r>
    </w:p>
    <w:p>
      <w:pPr>
        <w:pStyle w:val="FirstParagraph"/>
      </w:pPr>
      <w:r>
        <w:t xml:space="preserve">主分析采用公共预声明物理范围内相互独立的均匀分布。该设计回答指定范围下的方差贡献，既不是原MCMC先验密度，也不是条件后验传播；不同年度链支持只作参数结果解释，不自动替换主分析空间。</w:t>
      </w:r>
      <w:r>
        <w:t xml:space="preserve"> </w:t>
      </w:r>
      <w:r>
        <w:t xml:space="preserve">| 参数 | 全局公共范围 | 说明 |</w:t>
      </w:r>
      <w:r>
        <w:t xml:space="preserve"> </w:t>
      </w:r>
      <w:r>
        <w:t xml:space="preserve">| — | — | — |</w:t>
      </w:r>
      <w:r>
        <w:t xml:space="preserve"> </w:t>
      </w:r>
      <w:r>
        <w:t xml:space="preserve">| CCx | 0.60—0.99 | 冠层上限 |</w:t>
      </w:r>
      <w:r>
        <w:t xml:space="preserve"> </w:t>
      </w:r>
      <w:r>
        <w:t xml:space="preserve">| CGC_CD | 0.08—0.16 | 日历日增长参数 |</w:t>
      </w:r>
      <w:r>
        <w:t xml:space="preserve"> </w:t>
      </w:r>
      <w:r>
        <w:t xml:space="preserve">| CDC_CD | 0.03—0.12 | 日历日衰减参数 |</w:t>
      </w:r>
      <w:r>
        <w:t xml:space="preserve"> </w:t>
      </w:r>
      <w:r>
        <w:t xml:space="preserve">| SenescenceCD | 115—145 | 衰老时序 |</w:t>
      </w:r>
      <w:r>
        <w:t xml:space="preserve"> </w:t>
      </w:r>
      <w:r>
        <w:t xml:space="preserve">| Kcb | 1.05—1.60 | 基础作物系数 |</w:t>
      </w:r>
      <w:r>
        <w:t xml:space="preserve"> </w:t>
      </w:r>
      <w:r>
        <w:t xml:space="preserve">| WP_early | 10—40 | 模型定义的前期归一化水分生产力 |</w:t>
      </w:r>
      <w:r>
        <w:t xml:space="preserve"> </w:t>
      </w:r>
      <w:r>
        <w:t xml:space="preserve">| WP_late | 10—40 | 模型定义的后期归一化水分生产力 |</w:t>
      </w:r>
      <w:r>
        <w:t xml:space="preserve"> </w:t>
      </w:r>
      <w:r>
        <w:t xml:space="preserve">| HI0 | 0.35—0.60 | 参考收获指数 |</w:t>
      </w:r>
      <w:r>
        <w:t xml:space="preserve"> </w:t>
      </w:r>
      <w:r>
        <w:t xml:space="preserve">范围沿用指导文件及既有工程的公共物理范围，投稿时仍需补农艺/文献依据。local95采用各年度真实保留样本的2.5%—97.5%边际范围，现2022也可读取，但仅叫邻域响应，不叫后验Sobol，不计算CAI。</w:t>
      </w:r>
      <w:r>
        <w:t xml:space="preserve"> </w:t>
      </w:r>
      <w:r>
        <w:t xml:space="preserve">先N=128、种子101/202/303，不算二阶时每年每种子N(D+2)=1280次；四年共15360次。若排名或区间不稳则升N=512，共61440次完整设计调用。六输出为Y13、Biomass、Tr、Es、ET、MaxCC。</w:t>
      </w:r>
      <w:r>
        <w:t xml:space="preserve"> </w:t>
      </w:r>
      <w:r>
        <w:t xml:space="preserve">主报告ST，同时报告S1、ST−S1、bootstrap区间、均值、方差、单位及Var(Y)×ST。不裁剪估计、不强制Kcb第一；常量输出标为归一化指数未定义。逐年比较，只有方向和区间足以支持时才称跨年稳健关键参数。</w:t>
      </w:r>
      <w:r>
        <w:t xml:space="preserve"> </w:t>
      </w:r>
      <w:r>
        <w:t xml:space="preserve">保存输入空间、哈希、种子、矩阵、每点响应、失败与状态；失败点不能删行或填零。</w:t>
      </w:r>
      <w:r>
        <w:rPr>
          <w:b/>
          <w:bCs/>
        </w:rPr>
        <w:t xml:space="preserve">正式真实模型的指数及排名尚未计算，不从历史代理图填入。</w:t>
      </w:r>
    </w:p>
    <w:bookmarkEnd w:id="34"/>
    <w:bookmarkStart w:id="38" w:name="确定性双目标优化与候选条件核验"/>
    <w:p>
      <w:pPr>
        <w:pStyle w:val="Heading2"/>
      </w:pPr>
      <w:r>
        <w:t xml:space="preserve">5 确定性双目标优化与候选条件核验</w:t>
      </w:r>
    </w:p>
    <w:p>
      <w:pPr>
        <w:pStyle w:val="FirstParagraph"/>
      </w:pPr>
      <w:r>
        <w:t xml:space="preserve">固定年度中心参数，min(-Y13,I)。优先真实模块的SMT1—SMT4、0—100%，核对百分比定义、根区、触发方向和窗口；不支持时采用4—5阶段水量与明确日期，两种体系不混合解释。</w:t>
      </w:r>
      <w:r>
        <w:t xml:space="preserve"> </w:t>
      </w:r>
      <w:r>
        <w:t xml:space="preserve">硬约束为I≤年度DI基准、Y13≥0.95×文献观测产量；同步报告相对同模型基准变化，检查非负水量、事件日期和完整水量账。IWP=100Y[t/ha]/I[mm]，单位kg/m³。</w:t>
      </w:r>
      <w:r>
        <w:t xml:space="preserve"> </w:t>
      </w:r>
      <w:r>
        <w:t xml:space="preserve">| 年份 | 文献观测 | 模型基准 | 95%绝对门槛 | 可减产余量_pct |</w:t>
      </w:r>
      <w:r>
        <w:t xml:space="preserve"> </w:t>
      </w:r>
      <w:r>
        <w:t xml:space="preserve">| — | — | — | — | — |</w:t>
      </w:r>
      <w:r>
        <w:t xml:space="preserve"> </w:t>
      </w:r>
      <w:r>
        <w:t xml:space="preserve">| 2019 | 16.5500 | 16.7017 | 15.7225 | 5.8628 |</w:t>
      </w:r>
      <w:r>
        <w:t xml:space="preserve"> </w:t>
      </w:r>
      <w:r>
        <w:t xml:space="preserve">| 2020 | 17.2900 | 16.8040 | 16.4255 | 2.2527 |</w:t>
      </w:r>
      <w:r>
        <w:t xml:space="preserve"> </w:t>
      </w:r>
      <w:r>
        <w:t xml:space="preserve">| 2021 | 15.8600 | 15.1971 | 15.0670 | 0.8563 |</w:t>
      </w:r>
      <w:r>
        <w:t xml:space="preserve"> </w:t>
      </w:r>
      <w:r>
        <w:t xml:space="preserve">| 2022 | 14.0800 | 14.0778 | 13.3760 | 4.9850 |</w:t>
      </w:r>
    </w:p>
    <w:p>
      <w:pPr>
        <w:pStyle w:val="CaptionedFigure"/>
      </w:pPr>
      <w:r>
        <w:drawing>
          <wp:inline>
            <wp:extent cx="5334000" cy="2517543"/>
            <wp:effectExtent b="0" l="0" r="0" t="0"/>
            <wp:docPr descr="四年保产门槛余量：2022基准现已可核算" title="" id="36" name="Picture"/>
            <a:graphic>
              <a:graphicData uri="http://schemas.openxmlformats.org/drawingml/2006/picture">
                <pic:pic>
                  <pic:nvPicPr>
                    <pic:cNvPr descr="figures/E02_yield_gate_headroom.png" id="37" name="Picture"/>
                    <pic:cNvPicPr>
                      <a:picLocks noChangeArrowheads="1" noChangeAspect="1"/>
                    </pic:cNvPicPr>
                  </pic:nvPicPr>
                  <pic:blipFill>
                    <a:blip r:embed="rId35"/>
                    <a:stretch>
                      <a:fillRect/>
                    </a:stretch>
                  </pic:blipFill>
                  <pic:spPr bwMode="auto">
                    <a:xfrm>
                      <a:off x="0" y="0"/>
                      <a:ext cx="5334000" cy="2517543"/>
                    </a:xfrm>
                    <a:prstGeom prst="rect">
                      <a:avLst/>
                    </a:prstGeom>
                    <a:noFill/>
                    <a:ln w="9525">
                      <a:noFill/>
                      <a:headEnd/>
                      <a:tailEnd/>
                    </a:ln>
                  </pic:spPr>
                </pic:pic>
              </a:graphicData>
            </a:graphic>
          </wp:inline>
        </w:drawing>
      </w:r>
    </w:p>
    <w:p>
      <w:pPr>
        <w:pStyle w:val="ImageCaption"/>
      </w:pPr>
      <w:r>
        <w:t xml:space="preserve">四年保产门槛余量：2022基准现已可核算</w:t>
      </w:r>
    </w:p>
    <w:p>
      <w:pPr>
        <w:pStyle w:val="BodyText"/>
      </w:pPr>
      <w:r>
        <w:t xml:space="preserve">图注：2022真实均值点产量14.077783 t/ha；允许减产约4.985%。2021仍仅约0.856%。这些是产量空间余量，不是节水率或置信区间。</w:t>
      </w:r>
    </w:p>
    <w:p>
      <w:pPr>
        <w:pStyle w:val="BodyText"/>
      </w:pPr>
      <w:r>
        <w:t xml:space="preserve">2021的模型基准已低估观测约4.18%，因此继续相对模型基准再容许5%减产会放宽真实门槛。2022新精确基准距门槛余量约4.985%，这不是节水率。</w:t>
      </w:r>
      <w:r>
        <w:t xml:space="preserve"> </w:t>
      </w:r>
      <w:r>
        <w:t xml:space="preserve">NSGA-III采用100个双目标参考方向/种群、100代、5算法种子；默认与同预算NSGA-II比较，按年固定HV参考尺度。保存每代X/F/G/CV、目标、约束和前沿，不因结果不理想而只保留单次运行。</w:t>
      </w:r>
      <w:r>
        <w:t xml:space="preserve"> </w:t>
      </w:r>
      <w:r>
        <w:t xml:space="preserve">推荐为ε门槛内最低灌水量，并列两个相邻可行备选；无可行解则明确无推荐，不回退最高产量。最终候选必须以同一真实模型回代，不能用绘图插值得到新可行点。</w:t>
      </w:r>
      <w:r>
        <w:t xml:space="preserve"> </w:t>
      </w:r>
      <w:r>
        <w:t xml:space="preserve">候选分别扰动阶段一/固定阶段二中心、扰动阶段二整行样本/固定阶段一中心，每个可用组至少128行，保留组内相关；2022两个组现均有真实样本。报告均值、5%分位、绝对观测门槛概率、MC误差、灌水/通量/守恒。这是声明分布下的条件核验，不是八维联合传播或田间失收概率。</w:t>
      </w:r>
      <w:r>
        <w:t xml:space="preserve"> </w:t>
      </w:r>
      <w:r>
        <w:t xml:space="preserve">年度专用方案可逐年优化；若要声称未知年通用制度，需留一年/嵌套检验，不用同四年同时选解和验证。</w:t>
      </w:r>
      <w:r>
        <w:rPr>
          <w:b/>
          <w:bCs/>
        </w:rPr>
        <w:t xml:space="preserve">真实前沿、节水率和推荐日程尚未生成；旧2021约38%仍撤回。</w:t>
      </w:r>
    </w:p>
    <w:bookmarkEnd w:id="38"/>
    <w:bookmarkStart w:id="56" w:name="现阶段可写入论文的结果"/>
    <w:p>
      <w:pPr>
        <w:pStyle w:val="Heading2"/>
      </w:pPr>
      <w:r>
        <w:t xml:space="preserve">6 现阶段可写入论文的结果</w:t>
      </w:r>
    </w:p>
    <w:bookmarkStart w:id="42" w:name="校准指标与证据分层"/>
    <w:p>
      <w:pPr>
        <w:pStyle w:val="Heading3"/>
      </w:pPr>
      <w:r>
        <w:t xml:space="preserve">6.1 校准指标与证据分层</w:t>
      </w:r>
    </w:p>
    <w:tbl>
      <w:tblPr>
        <w:tblStyle w:val="Table"/>
        <w:tblW w:type="pct" w:w="5000"/>
        <w:jc w:val="left"/>
        <w:tblLayout w:type="fixed"/>
        <w:tblLook w:firstRow="1" w:lastRow="0" w:firstColumn="0" w:lastColumn="0" w:noHBand="0" w:noVBand="0" w:val="0020"/>
        <w:tblBorders>
          <w:top w:val="single" w:sz="4" w:color="C6D1D9"/>
          <w:left w:val="single" w:sz="4" w:color="C6D1D9"/>
          <w:bottom w:val="single" w:sz="4" w:color="C6D1D9"/>
          <w:right w:val="single" w:sz="4" w:color="C6D1D9"/>
          <w:insideH w:val="single" w:sz="4" w:color="C6D1D9"/>
          <w:insideV w:val="single" w:sz="4" w:color="C6D1D9"/>
        </w:tblBorders>
      </w:tblPr>
      <w:tblGrid>
        <w:gridCol w:w="990"/>
        <w:gridCol w:w="990"/>
        <w:gridCol w:w="990"/>
        <w:gridCol w:w="990"/>
        <w:gridCol w:w="990"/>
        <w:gridCol w:w="990"/>
        <w:gridCol w:w="990"/>
        <w:gridCol w:w="990"/>
      </w:tblGrid>
      <w:tr>
        <w:trPr>
          <w:tblHeader w:val="on"/>
        </w:trPr>
        <w:tc>
          <w:tcPr>
            <w:shd w:fill="DDE8EE"/>
          </w:tcPr>
          <w:p>
            <w:pPr>
              <w:pStyle w:val="Compact"/>
              <w:jc w:val="left"/>
            </w:pPr>
            <w:r>
              <w:rPr>
                <w:sz w:val="16"/>
              </w:rPr>
              <w:t xml:space="preserve">年份</w:t>
            </w:r>
          </w:p>
        </w:tc>
        <w:tc>
          <w:tcPr>
            <w:shd w:fill="DDE8EE"/>
          </w:tcPr>
          <w:p>
            <w:pPr>
              <w:pStyle w:val="Compact"/>
              <w:jc w:val="left"/>
            </w:pPr>
            <w:r>
              <w:rPr>
                <w:sz w:val="16"/>
              </w:rPr>
              <w:t xml:space="preserve">CC_R2</w:t>
            </w:r>
          </w:p>
        </w:tc>
        <w:tc>
          <w:tcPr>
            <w:shd w:fill="DDE8EE"/>
          </w:tcPr>
          <w:p>
            <w:pPr>
              <w:pStyle w:val="Compact"/>
              <w:jc w:val="left"/>
            </w:pPr>
            <w:r>
              <w:rPr>
                <w:sz w:val="16"/>
              </w:rPr>
              <w:t xml:space="preserve">CC_RMSE</w:t>
            </w:r>
          </w:p>
        </w:tc>
        <w:tc>
          <w:tcPr>
            <w:shd w:fill="DDE8EE"/>
          </w:tcPr>
          <w:p>
            <w:pPr>
              <w:pStyle w:val="Compact"/>
              <w:jc w:val="left"/>
            </w:pPr>
            <w:r>
              <w:rPr>
                <w:sz w:val="16"/>
              </w:rPr>
              <w:t xml:space="preserve">生物量_R2</w:t>
            </w:r>
          </w:p>
        </w:tc>
        <w:tc>
          <w:tcPr>
            <w:shd w:fill="DDE8EE"/>
          </w:tcPr>
          <w:p>
            <w:pPr>
              <w:pStyle w:val="Compact"/>
              <w:jc w:val="left"/>
            </w:pPr>
            <w:r>
              <w:rPr>
                <w:sz w:val="16"/>
              </w:rPr>
              <w:t xml:space="preserve">生物量_RMSE</w:t>
            </w:r>
          </w:p>
        </w:tc>
        <w:tc>
          <w:tcPr>
            <w:shd w:fill="DDE8EE"/>
          </w:tcPr>
          <w:p>
            <w:pPr>
              <w:pStyle w:val="Compact"/>
              <w:jc w:val="left"/>
            </w:pPr>
            <w:r>
              <w:rPr>
                <w:sz w:val="16"/>
              </w:rPr>
              <w:t xml:space="preserve">观测产量</w:t>
            </w:r>
          </w:p>
        </w:tc>
        <w:tc>
          <w:tcPr>
            <w:shd w:fill="DDE8EE"/>
          </w:tcPr>
          <w:p>
            <w:pPr>
              <w:pStyle w:val="Compact"/>
              <w:jc w:val="left"/>
            </w:pPr>
            <w:r>
              <w:rPr>
                <w:sz w:val="16"/>
              </w:rPr>
              <w:t xml:space="preserve">模拟产量</w:t>
            </w:r>
          </w:p>
        </w:tc>
        <w:tc>
          <w:tcPr>
            <w:shd w:fill="DDE8EE"/>
          </w:tcPr>
          <w:p>
            <w:pPr>
              <w:pStyle w:val="Compact"/>
              <w:jc w:val="left"/>
            </w:pPr>
            <w:r>
              <w:rPr>
                <w:sz w:val="16"/>
              </w:rPr>
              <w:t xml:space="preserve">产量误差_pct</w:t>
            </w:r>
          </w:p>
        </w:tc>
      </w:tr>
      <w:tr>
        <w:tc>
          <w:tcPr/>
          <w:p>
            <w:pPr>
              <w:pStyle w:val="Compact"/>
              <w:jc w:val="left"/>
            </w:pPr>
            <w:r>
              <w:rPr>
                <w:sz w:val="16"/>
              </w:rPr>
              <w:t xml:space="preserve">2019</w:t>
            </w:r>
          </w:p>
        </w:tc>
        <w:tc>
          <w:tcPr/>
          <w:p>
            <w:pPr>
              <w:pStyle w:val="Compact"/>
              <w:jc w:val="left"/>
            </w:pPr>
            <w:r>
              <w:rPr>
                <w:sz w:val="16"/>
              </w:rPr>
              <w:t xml:space="preserve">0.9932</w:t>
            </w:r>
          </w:p>
        </w:tc>
        <w:tc>
          <w:tcPr/>
          <w:p>
            <w:pPr>
              <w:pStyle w:val="Compact"/>
              <w:jc w:val="left"/>
            </w:pPr>
            <w:r>
              <w:rPr>
                <w:sz w:val="16"/>
              </w:rPr>
              <w:t xml:space="preserve">0.0316</w:t>
            </w:r>
          </w:p>
        </w:tc>
        <w:tc>
          <w:tcPr/>
          <w:p>
            <w:pPr>
              <w:pStyle w:val="Compact"/>
              <w:jc w:val="left"/>
            </w:pPr>
            <w:r>
              <w:rPr>
                <w:sz w:val="16"/>
              </w:rPr>
              <w:t xml:space="preserve">0.9926</w:t>
            </w:r>
          </w:p>
        </w:tc>
        <w:tc>
          <w:tcPr/>
          <w:p>
            <w:pPr>
              <w:pStyle w:val="Compact"/>
              <w:jc w:val="left"/>
            </w:pPr>
            <w:r>
              <w:rPr>
                <w:sz w:val="16"/>
              </w:rPr>
              <w:t xml:space="preserve">1.0498</w:t>
            </w:r>
          </w:p>
        </w:tc>
        <w:tc>
          <w:tcPr/>
          <w:p>
            <w:pPr>
              <w:pStyle w:val="Compact"/>
              <w:jc w:val="left"/>
            </w:pPr>
            <w:r>
              <w:rPr>
                <w:sz w:val="16"/>
              </w:rPr>
              <w:t xml:space="preserve">16.5500</w:t>
            </w:r>
          </w:p>
        </w:tc>
        <w:tc>
          <w:tcPr/>
          <w:p>
            <w:pPr>
              <w:pStyle w:val="Compact"/>
              <w:jc w:val="left"/>
            </w:pPr>
            <w:r>
              <w:rPr>
                <w:sz w:val="16"/>
              </w:rPr>
              <w:t xml:space="preserve">16.7017</w:t>
            </w:r>
          </w:p>
        </w:tc>
        <w:tc>
          <w:tcPr/>
          <w:p>
            <w:pPr>
              <w:pStyle w:val="Compact"/>
              <w:jc w:val="left"/>
            </w:pPr>
            <w:r>
              <w:rPr>
                <w:sz w:val="16"/>
              </w:rPr>
              <w:t xml:space="preserve">0.9166</w:t>
            </w:r>
          </w:p>
        </w:tc>
      </w:tr>
      <w:tr>
        <w:tc>
          <w:tcPr/>
          <w:p>
            <w:pPr>
              <w:pStyle w:val="Compact"/>
              <w:jc w:val="left"/>
            </w:pPr>
            <w:r>
              <w:rPr>
                <w:sz w:val="16"/>
              </w:rPr>
              <w:t xml:space="preserve">2020</w:t>
            </w:r>
          </w:p>
        </w:tc>
        <w:tc>
          <w:tcPr/>
          <w:p>
            <w:pPr>
              <w:pStyle w:val="Compact"/>
              <w:jc w:val="left"/>
            </w:pPr>
            <w:r>
              <w:rPr>
                <w:sz w:val="16"/>
              </w:rPr>
              <w:t xml:space="preserve">0.9794</w:t>
            </w:r>
          </w:p>
        </w:tc>
        <w:tc>
          <w:tcPr/>
          <w:p>
            <w:pPr>
              <w:pStyle w:val="Compact"/>
              <w:jc w:val="left"/>
            </w:pPr>
            <w:r>
              <w:rPr>
                <w:sz w:val="16"/>
              </w:rPr>
              <w:t xml:space="preserve">0.0482</w:t>
            </w:r>
          </w:p>
        </w:tc>
        <w:tc>
          <w:tcPr/>
          <w:p>
            <w:pPr>
              <w:pStyle w:val="Compact"/>
              <w:jc w:val="left"/>
            </w:pPr>
            <w:r>
              <w:rPr>
                <w:sz w:val="16"/>
              </w:rPr>
              <w:t xml:space="preserve">0.9766</w:t>
            </w:r>
          </w:p>
        </w:tc>
        <w:tc>
          <w:tcPr/>
          <w:p>
            <w:pPr>
              <w:pStyle w:val="Compact"/>
              <w:jc w:val="left"/>
            </w:pPr>
            <w:r>
              <w:rPr>
                <w:sz w:val="16"/>
              </w:rPr>
              <w:t xml:space="preserve">1.1393</w:t>
            </w:r>
          </w:p>
        </w:tc>
        <w:tc>
          <w:tcPr/>
          <w:p>
            <w:pPr>
              <w:pStyle w:val="Compact"/>
              <w:jc w:val="left"/>
            </w:pPr>
            <w:r>
              <w:rPr>
                <w:sz w:val="16"/>
              </w:rPr>
              <w:t xml:space="preserve">17.2900</w:t>
            </w:r>
          </w:p>
        </w:tc>
        <w:tc>
          <w:tcPr/>
          <w:p>
            <w:pPr>
              <w:pStyle w:val="Compact"/>
              <w:jc w:val="left"/>
            </w:pPr>
            <w:r>
              <w:rPr>
                <w:sz w:val="16"/>
              </w:rPr>
              <w:t xml:space="preserve">16.8040</w:t>
            </w:r>
          </w:p>
        </w:tc>
        <w:tc>
          <w:tcPr/>
          <w:p>
            <w:pPr>
              <w:pStyle w:val="Compact"/>
              <w:jc w:val="left"/>
            </w:pPr>
            <w:r>
              <w:rPr>
                <w:sz w:val="16"/>
              </w:rPr>
              <w:t xml:space="preserve">-2.8107</w:t>
            </w:r>
          </w:p>
        </w:tc>
      </w:tr>
      <w:tr>
        <w:tc>
          <w:tcPr/>
          <w:p>
            <w:pPr>
              <w:pStyle w:val="Compact"/>
              <w:jc w:val="left"/>
            </w:pPr>
            <w:r>
              <w:rPr>
                <w:sz w:val="16"/>
              </w:rPr>
              <w:t xml:space="preserve">2021</w:t>
            </w:r>
          </w:p>
        </w:tc>
        <w:tc>
          <w:tcPr/>
          <w:p>
            <w:pPr>
              <w:pStyle w:val="Compact"/>
              <w:jc w:val="left"/>
            </w:pPr>
            <w:r>
              <w:rPr>
                <w:sz w:val="16"/>
              </w:rPr>
              <w:t xml:space="preserve">0.9902</w:t>
            </w:r>
          </w:p>
        </w:tc>
        <w:tc>
          <w:tcPr/>
          <w:p>
            <w:pPr>
              <w:pStyle w:val="Compact"/>
              <w:jc w:val="left"/>
            </w:pPr>
            <w:r>
              <w:rPr>
                <w:sz w:val="16"/>
              </w:rPr>
              <w:t xml:space="preserve">0.0370</w:t>
            </w:r>
          </w:p>
        </w:tc>
        <w:tc>
          <w:tcPr/>
          <w:p>
            <w:pPr>
              <w:pStyle w:val="Compact"/>
              <w:jc w:val="left"/>
            </w:pPr>
            <w:r>
              <w:rPr>
                <w:sz w:val="16"/>
              </w:rPr>
              <w:t xml:space="preserve">0.9685</w:t>
            </w:r>
          </w:p>
        </w:tc>
        <w:tc>
          <w:tcPr/>
          <w:p>
            <w:pPr>
              <w:pStyle w:val="Compact"/>
              <w:jc w:val="left"/>
            </w:pPr>
            <w:r>
              <w:rPr>
                <w:sz w:val="16"/>
              </w:rPr>
              <w:t xml:space="preserve">1.2520</w:t>
            </w:r>
          </w:p>
        </w:tc>
        <w:tc>
          <w:tcPr/>
          <w:p>
            <w:pPr>
              <w:pStyle w:val="Compact"/>
              <w:jc w:val="left"/>
            </w:pPr>
            <w:r>
              <w:rPr>
                <w:sz w:val="16"/>
              </w:rPr>
              <w:t xml:space="preserve">15.8600</w:t>
            </w:r>
          </w:p>
        </w:tc>
        <w:tc>
          <w:tcPr/>
          <w:p>
            <w:pPr>
              <w:pStyle w:val="Compact"/>
              <w:jc w:val="left"/>
            </w:pPr>
            <w:r>
              <w:rPr>
                <w:sz w:val="16"/>
              </w:rPr>
              <w:t xml:space="preserve">15.1971</w:t>
            </w:r>
          </w:p>
        </w:tc>
        <w:tc>
          <w:tcPr/>
          <w:p>
            <w:pPr>
              <w:pStyle w:val="Compact"/>
              <w:jc w:val="left"/>
            </w:pPr>
            <w:r>
              <w:rPr>
                <w:sz w:val="16"/>
              </w:rPr>
              <w:t xml:space="preserve">-4.1795</w:t>
            </w:r>
          </w:p>
        </w:tc>
      </w:tr>
      <w:tr>
        <w:tc>
          <w:tcPr/>
          <w:p>
            <w:pPr>
              <w:pStyle w:val="Compact"/>
              <w:jc w:val="left"/>
            </w:pPr>
            <w:r>
              <w:rPr>
                <w:sz w:val="16"/>
              </w:rPr>
              <w:t xml:space="preserve">2022</w:t>
            </w:r>
          </w:p>
        </w:tc>
        <w:tc>
          <w:tcPr/>
          <w:p>
            <w:pPr>
              <w:pStyle w:val="Compact"/>
              <w:jc w:val="left"/>
            </w:pPr>
            <w:r>
              <w:rPr>
                <w:sz w:val="16"/>
              </w:rPr>
              <w:t xml:space="preserve">0.9310</w:t>
            </w:r>
          </w:p>
        </w:tc>
        <w:tc>
          <w:tcPr/>
          <w:p>
            <w:pPr>
              <w:pStyle w:val="Compact"/>
              <w:jc w:val="left"/>
            </w:pPr>
            <w:r>
              <w:rPr>
                <w:sz w:val="16"/>
              </w:rPr>
              <w:t xml:space="preserve">0.0596</w:t>
            </w:r>
          </w:p>
        </w:tc>
        <w:tc>
          <w:tcPr/>
          <w:p>
            <w:pPr>
              <w:pStyle w:val="Compact"/>
              <w:jc w:val="left"/>
            </w:pPr>
            <w:r>
              <w:rPr>
                <w:sz w:val="16"/>
              </w:rPr>
              <w:t xml:space="preserve">0.9970</w:t>
            </w:r>
          </w:p>
        </w:tc>
        <w:tc>
          <w:tcPr/>
          <w:p>
            <w:pPr>
              <w:pStyle w:val="Compact"/>
              <w:jc w:val="left"/>
            </w:pPr>
            <w:r>
              <w:rPr>
                <w:sz w:val="16"/>
              </w:rPr>
              <w:t xml:space="preserve">0.5562</w:t>
            </w:r>
          </w:p>
        </w:tc>
        <w:tc>
          <w:tcPr/>
          <w:p>
            <w:pPr>
              <w:pStyle w:val="Compact"/>
              <w:jc w:val="left"/>
            </w:pPr>
            <w:r>
              <w:rPr>
                <w:sz w:val="16"/>
              </w:rPr>
              <w:t xml:space="preserve">14.0800</w:t>
            </w:r>
          </w:p>
        </w:tc>
        <w:tc>
          <w:tcPr/>
          <w:p>
            <w:pPr>
              <w:pStyle w:val="Compact"/>
              <w:jc w:val="left"/>
            </w:pPr>
            <w:r>
              <w:rPr>
                <w:sz w:val="16"/>
              </w:rPr>
              <w:t xml:space="preserve">14.0778</w:t>
            </w:r>
          </w:p>
        </w:tc>
        <w:tc>
          <w:tcPr/>
          <w:p>
            <w:pPr>
              <w:pStyle w:val="Compact"/>
              <w:jc w:val="left"/>
            </w:pPr>
            <w:r>
              <w:rPr>
                <w:sz w:val="16"/>
              </w:rPr>
              <w:t xml:space="preserve">-0.0157</w:t>
            </w:r>
          </w:p>
        </w:tc>
      </w:tr>
    </w:tbl>
    <w:p>
      <w:pPr>
        <w:pStyle w:val="BodyText"/>
      </w:pPr>
      <w:r>
        <w:t xml:space="preserve">2019—2021的配对评价沿用此前独立复算。2022 RMSE和产量现有精确JSON支持；R²=0.931/0.997仍为Word汇总值，缺少配对序列，不能声称本轮逐点重算。年产量每年一对，不计算单年产量相关系数。±5%是项目容许幅度，不是统计置信带。</w:t>
      </w:r>
    </w:p>
    <w:p>
      <w:pPr>
        <w:pStyle w:val="CaptionedFigure"/>
      </w:pPr>
      <w:r>
        <w:drawing>
          <wp:inline>
            <wp:extent cx="5334000" cy="2372440"/>
            <wp:effectExtent b="0" l="0" r="0" t="0"/>
            <wp:docPr descr="原链已补齐，配对序列证据仍需分别标注" title="" id="40" name="Picture"/>
            <a:graphic>
              <a:graphicData uri="http://schemas.openxmlformats.org/drawingml/2006/picture">
                <pic:pic>
                  <pic:nvPicPr>
                    <pic:cNvPr descr="figures/U04_calibration_scope.png" id="41" name="Picture"/>
                    <pic:cNvPicPr>
                      <a:picLocks noChangeArrowheads="1" noChangeAspect="1"/>
                    </pic:cNvPicPr>
                  </pic:nvPicPr>
                  <pic:blipFill>
                    <a:blip r:embed="rId39"/>
                    <a:stretch>
                      <a:fillRect/>
                    </a:stretch>
                  </pic:blipFill>
                  <pic:spPr bwMode="auto">
                    <a:xfrm>
                      <a:off x="0" y="0"/>
                      <a:ext cx="5334000" cy="2372440"/>
                    </a:xfrm>
                    <a:prstGeom prst="rect">
                      <a:avLst/>
                    </a:prstGeom>
                    <a:noFill/>
                    <a:ln w="9525">
                      <a:noFill/>
                      <a:headEnd/>
                      <a:tailEnd/>
                    </a:ln>
                  </pic:spPr>
                </pic:pic>
              </a:graphicData>
            </a:graphic>
          </wp:inline>
        </w:drawing>
      </w:r>
    </w:p>
    <w:p>
      <w:pPr>
        <w:pStyle w:val="ImageCaption"/>
      </w:pPr>
      <w:r>
        <w:t xml:space="preserve">原链已补齐，配对序列证据仍需分别标注</w:t>
      </w:r>
    </w:p>
    <w:p>
      <w:pPr>
        <w:pStyle w:val="BodyText"/>
      </w:pPr>
      <w:r>
        <w:t xml:space="preserve">图注：2022空心R²仍为原Word中的汇总值，未从配对表重算；产量偏差与RMSE已更新为新JSON精确值。±5%为项目容许幅度。</w:t>
      </w:r>
    </w:p>
    <w:bookmarkEnd w:id="42"/>
    <w:bookmarkStart w:id="55" w:name="参数区间与补偿"/>
    <w:p>
      <w:pPr>
        <w:pStyle w:val="Heading3"/>
      </w:pPr>
      <w:r>
        <w:t xml:space="preserve">6.2 参数区间与补偿</w:t>
      </w:r>
    </w:p>
    <w:p>
      <w:pPr>
        <w:pStyle w:val="CaptionedFigure"/>
      </w:pPr>
      <w:r>
        <w:drawing>
          <wp:inline>
            <wp:extent cx="5334000" cy="3078651"/>
            <wp:effectExtent b="0" l="0" r="0" t="0"/>
            <wp:docPr descr="四年八参数区间：2022第二阶段已由真实链补齐" title="" id="44" name="Picture"/>
            <a:graphic>
              <a:graphicData uri="http://schemas.openxmlformats.org/drawingml/2006/picture">
                <pic:pic>
                  <pic:nvPicPr>
                    <pic:cNvPr descr="figures/F04_parameter_intervals.png" id="45" name="Picture"/>
                    <pic:cNvPicPr>
                      <a:picLocks noChangeArrowheads="1" noChangeAspect="1"/>
                    </pic:cNvPicPr>
                  </pic:nvPicPr>
                  <pic:blipFill>
                    <a:blip r:embed="rId43"/>
                    <a:stretch>
                      <a:fillRect/>
                    </a:stretch>
                  </pic:blipFill>
                  <pic:spPr bwMode="auto">
                    <a:xfrm>
                      <a:off x="0" y="0"/>
                      <a:ext cx="5334000" cy="3078651"/>
                    </a:xfrm>
                    <a:prstGeom prst="rect">
                      <a:avLst/>
                    </a:prstGeom>
                    <a:noFill/>
                    <a:ln w="9525">
                      <a:noFill/>
                      <a:headEnd/>
                      <a:tailEnd/>
                    </a:ln>
                  </pic:spPr>
                </pic:pic>
              </a:graphicData>
            </a:graphic>
          </wp:inline>
        </w:drawing>
      </w:r>
    </w:p>
    <w:p>
      <w:pPr>
        <w:pStyle w:val="ImageCaption"/>
      </w:pPr>
      <w:r>
        <w:t xml:space="preserve">四年八参数区间：2022第二阶段已由真实链补齐</w:t>
      </w:r>
    </w:p>
    <w:p>
      <w:pPr>
        <w:pStyle w:val="BodyText"/>
      </w:pPr>
      <w:r>
        <w:t xml:space="preserve">图注：点为中位数，线为2.5%—97.5%相关保留样本分位；灰短线为各年链支持。单组阶段二为条件分布，不是认证收敛或联合后验。</w:t>
      </w:r>
    </w:p>
    <w:p>
      <w:pPr>
        <w:pStyle w:val="CaptionedFigure"/>
      </w:pPr>
      <w:r>
        <w:drawing>
          <wp:inline>
            <wp:extent cx="5334000" cy="4857130"/>
            <wp:effectExtent b="0" l="0" r="0" t="0"/>
            <wp:docPr descr="四年第二阶段：WP_late与HI0的参数补偿" title="" id="47" name="Picture"/>
            <a:graphic>
              <a:graphicData uri="http://schemas.openxmlformats.org/drawingml/2006/picture">
                <pic:pic>
                  <pic:nvPicPr>
                    <pic:cNvPr descr="figures/F05_phase2_compensation.png" id="48" name="Picture"/>
                    <pic:cNvPicPr>
                      <a:picLocks noChangeArrowheads="1" noChangeAspect="1"/>
                    </pic:cNvPicPr>
                  </pic:nvPicPr>
                  <pic:blipFill>
                    <a:blip r:embed="rId46"/>
                    <a:stretch>
                      <a:fillRect/>
                    </a:stretch>
                  </pic:blipFill>
                  <pic:spPr bwMode="auto">
                    <a:xfrm>
                      <a:off x="0" y="0"/>
                      <a:ext cx="5334000" cy="4857130"/>
                    </a:xfrm>
                    <a:prstGeom prst="rect">
                      <a:avLst/>
                    </a:prstGeom>
                    <a:noFill/>
                    <a:ln w="9525">
                      <a:noFill/>
                      <a:headEnd/>
                      <a:tailEnd/>
                    </a:ln>
                  </pic:spPr>
                </pic:pic>
              </a:graphicData>
            </a:graphic>
          </wp:inline>
        </w:drawing>
      </w:r>
    </w:p>
    <w:p>
      <w:pPr>
        <w:pStyle w:val="ImageCaption"/>
      </w:pPr>
      <w:r>
        <w:t xml:space="preserve">四年第二阶段：WP_late与HI0的参数补偿</w:t>
      </w:r>
    </w:p>
    <w:p>
      <w:pPr>
        <w:pStyle w:val="BodyText"/>
      </w:pPr>
      <w:r>
        <w:t xml:space="preserve">图注：各图取同一年度真实阶段二的整行保留样本。2022相关系数约−0.645；阶段内相关已保留，不将不同阶段样本拼成八维联合后验。</w:t>
      </w:r>
    </w:p>
    <w:p>
      <w:pPr>
        <w:pStyle w:val="BodyText"/>
      </w:pPr>
      <w:r>
        <w:t xml:space="preserve">2022的WP_late—HI0相关约−0.645，说明阶段二组内仍有补偿结构。该关系来自同一行真实样本，不应通过边际独立重抽打散；也不能凭较窄区间证明因果识别或完整联合后验收敛。</w:t>
      </w:r>
      <w:r>
        <w:t xml:space="preserve"> </w:t>
      </w:r>
      <w:r>
        <w:t xml:space="preserve">### 6.3 新增真实链及水量账</w:t>
      </w:r>
    </w:p>
    <w:p>
      <w:pPr>
        <w:pStyle w:val="CaptionedFigure"/>
      </w:pPr>
      <w:r>
        <w:drawing>
          <wp:inline>
            <wp:extent cx="5334000" cy="4237247"/>
            <wp:effectExtent b="0" l="0" r="0" t="0"/>
            <wp:docPr descr="2022正式第二阶段链：预热段163步，保留1,837步/每walker" title="" id="50" name="Picture"/>
            <a:graphic>
              <a:graphicData uri="http://schemas.openxmlformats.org/drawingml/2006/picture">
                <pic:pic>
                  <pic:nvPicPr>
                    <pic:cNvPr descr="figures/F15_2022_phase2_chain.png" id="51" name="Picture"/>
                    <pic:cNvPicPr>
                      <a:picLocks noChangeArrowheads="1" noChangeAspect="1"/>
                    </pic:cNvPicPr>
                  </pic:nvPicPr>
                  <pic:blipFill>
                    <a:blip r:embed="rId49"/>
                    <a:stretch>
                      <a:fillRect/>
                    </a:stretch>
                  </pic:blipFill>
                  <pic:spPr bwMode="auto">
                    <a:xfrm>
                      <a:off x="0" y="0"/>
                      <a:ext cx="5334000" cy="4237247"/>
                    </a:xfrm>
                    <a:prstGeom prst="rect">
                      <a:avLst/>
                    </a:prstGeom>
                    <a:noFill/>
                    <a:ln w="9525">
                      <a:noFill/>
                      <a:headEnd/>
                      <a:tailEnd/>
                    </a:ln>
                  </pic:spPr>
                </pic:pic>
              </a:graphicData>
            </a:graphic>
          </wp:inline>
        </w:drawing>
      </w:r>
    </w:p>
    <w:p>
      <w:pPr>
        <w:pStyle w:val="ImageCaption"/>
      </w:pPr>
      <w:r>
        <w:t xml:space="preserve">2022正式第二阶段链：预热段163步，保留1,837步/每walker</w:t>
      </w:r>
    </w:p>
    <w:p>
      <w:pPr>
        <w:pStyle w:val="BodyText"/>
      </w:pPr>
      <w:r>
        <w:t xml:space="preserve">图注：仅使用正式2000步检查点，2步smoke排除。5τ截断与τ长度参考不是独立多链收敛认证；未把32个walker当作32条独立链计算Rhat。</w:t>
      </w:r>
    </w:p>
    <w:tbl>
      <w:tblPr>
        <w:tblStyle w:val="Table"/>
        <w:tblW w:type="pct" w:w="5000"/>
        <w:jc w:val="left"/>
        <w:tblLayout w:type="fixed"/>
        <w:tblLook w:firstRow="1" w:lastRow="0" w:firstColumn="0" w:lastColumn="0" w:noHBand="0" w:noVBand="0" w:val="0020"/>
        <w:tblBorders>
          <w:top w:val="single" w:sz="4" w:color="C6D1D9"/>
          <w:left w:val="single" w:sz="4" w:color="C6D1D9"/>
          <w:bottom w:val="single" w:sz="4" w:color="C6D1D9"/>
          <w:right w:val="single" w:sz="4" w:color="C6D1D9"/>
          <w:insideH w:val="single" w:sz="4" w:color="C6D1D9"/>
          <w:insideV w:val="single" w:sz="4" w:color="C6D1D9"/>
        </w:tblBorders>
      </w:tblPr>
      <w:tblGrid>
        <w:gridCol w:w="1131"/>
        <w:gridCol w:w="1131"/>
        <w:gridCol w:w="1131"/>
        <w:gridCol w:w="1131"/>
        <w:gridCol w:w="1131"/>
        <w:gridCol w:w="1131"/>
        <w:gridCol w:w="1131"/>
      </w:tblGrid>
      <w:tr>
        <w:trPr>
          <w:tblHeader w:val="on"/>
        </w:trPr>
        <w:tc>
          <w:tcPr>
            <w:shd w:fill="DDE8EE"/>
          </w:tcPr>
          <w:p>
            <w:pPr>
              <w:pStyle w:val="Compact"/>
              <w:jc w:val="left"/>
            </w:pPr>
            <w:r>
              <w:rPr>
                <w:sz w:val="16"/>
              </w:rPr>
              <w:t xml:space="preserve">年份</w:t>
            </w:r>
          </w:p>
        </w:tc>
        <w:tc>
          <w:tcPr>
            <w:shd w:fill="DDE8EE"/>
          </w:tcPr>
          <w:p>
            <w:pPr>
              <w:pStyle w:val="Compact"/>
              <w:jc w:val="left"/>
            </w:pPr>
            <w:r>
              <w:rPr>
                <w:sz w:val="16"/>
              </w:rPr>
              <w:t xml:space="preserve">灌溉_mm</w:t>
            </w:r>
          </w:p>
        </w:tc>
        <w:tc>
          <w:tcPr>
            <w:shd w:fill="DDE8EE"/>
          </w:tcPr>
          <w:p>
            <w:pPr>
              <w:pStyle w:val="Compact"/>
              <w:jc w:val="left"/>
            </w:pPr>
            <w:r>
              <w:rPr>
                <w:sz w:val="16"/>
              </w:rPr>
              <w:t xml:space="preserve">降水_mm</w:t>
            </w:r>
          </w:p>
        </w:tc>
        <w:tc>
          <w:tcPr>
            <w:shd w:fill="DDE8EE"/>
          </w:tcPr>
          <w:p>
            <w:pPr>
              <w:pStyle w:val="Compact"/>
              <w:jc w:val="left"/>
            </w:pPr>
            <w:r>
              <w:rPr>
                <w:sz w:val="16"/>
              </w:rPr>
              <w:t xml:space="preserve">Tr_mm</w:t>
            </w:r>
          </w:p>
        </w:tc>
        <w:tc>
          <w:tcPr>
            <w:shd w:fill="DDE8EE"/>
          </w:tcPr>
          <w:p>
            <w:pPr>
              <w:pStyle w:val="Compact"/>
              <w:jc w:val="left"/>
            </w:pPr>
            <w:r>
              <w:rPr>
                <w:sz w:val="16"/>
              </w:rPr>
              <w:t xml:space="preserve">Es_mm</w:t>
            </w:r>
          </w:p>
        </w:tc>
        <w:tc>
          <w:tcPr>
            <w:shd w:fill="DDE8EE"/>
          </w:tcPr>
          <w:p>
            <w:pPr>
              <w:pStyle w:val="Compact"/>
              <w:jc w:val="left"/>
            </w:pPr>
            <w:r>
              <w:rPr>
                <w:sz w:val="16"/>
              </w:rPr>
              <w:t xml:space="preserve">ET_mm</w:t>
            </w:r>
          </w:p>
        </w:tc>
        <w:tc>
          <w:tcPr>
            <w:shd w:fill="DDE8EE"/>
          </w:tcPr>
          <w:p>
            <w:pPr>
              <w:pStyle w:val="Compact"/>
              <w:jc w:val="left"/>
            </w:pPr>
            <w:r>
              <w:rPr>
                <w:sz w:val="16"/>
              </w:rPr>
              <w:t xml:space="preserve">储水增加_mm</w:t>
            </w:r>
          </w:p>
        </w:tc>
      </w:tr>
      <w:tr>
        <w:tc>
          <w:tcPr/>
          <w:p>
            <w:pPr>
              <w:pStyle w:val="Compact"/>
              <w:jc w:val="left"/>
            </w:pPr>
            <w:r>
              <w:rPr>
                <w:sz w:val="16"/>
              </w:rPr>
              <w:t xml:space="preserve">2019</w:t>
            </w:r>
          </w:p>
        </w:tc>
        <w:tc>
          <w:tcPr/>
          <w:p>
            <w:pPr>
              <w:pStyle w:val="Compact"/>
              <w:jc w:val="left"/>
            </w:pPr>
            <w:r>
              <w:rPr>
                <w:sz w:val="16"/>
              </w:rPr>
              <w:t xml:space="preserve">445.2700</w:t>
            </w:r>
          </w:p>
        </w:tc>
        <w:tc>
          <w:tcPr/>
          <w:p>
            <w:pPr>
              <w:pStyle w:val="Compact"/>
              <w:jc w:val="left"/>
            </w:pPr>
            <w:r>
              <w:rPr>
                <w:sz w:val="16"/>
              </w:rPr>
              <w:t xml:space="preserve">177.8688</w:t>
            </w:r>
          </w:p>
        </w:tc>
        <w:tc>
          <w:tcPr/>
          <w:p>
            <w:pPr>
              <w:pStyle w:val="Compact"/>
              <w:jc w:val="left"/>
            </w:pPr>
            <w:r>
              <w:rPr>
                <w:sz w:val="16"/>
              </w:rPr>
              <w:t xml:space="preserve">540.7645</w:t>
            </w:r>
          </w:p>
        </w:tc>
        <w:tc>
          <w:tcPr/>
          <w:p>
            <w:pPr>
              <w:pStyle w:val="Compact"/>
              <w:jc w:val="left"/>
            </w:pPr>
            <w:r>
              <w:rPr>
                <w:sz w:val="16"/>
              </w:rPr>
              <w:t xml:space="preserve">97.2337</w:t>
            </w:r>
          </w:p>
        </w:tc>
        <w:tc>
          <w:tcPr/>
          <w:p>
            <w:pPr>
              <w:pStyle w:val="Compact"/>
              <w:jc w:val="left"/>
            </w:pPr>
            <w:r>
              <w:rPr>
                <w:sz w:val="16"/>
              </w:rPr>
              <w:t xml:space="preserve">637.9982</w:t>
            </w:r>
          </w:p>
        </w:tc>
        <w:tc>
          <w:tcPr/>
          <w:p>
            <w:pPr>
              <w:pStyle w:val="Compact"/>
              <w:jc w:val="left"/>
            </w:pPr>
            <w:r>
              <w:rPr>
                <w:sz w:val="16"/>
              </w:rPr>
              <w:t xml:space="preserve">-19.2272</w:t>
            </w:r>
          </w:p>
        </w:tc>
      </w:tr>
      <w:tr>
        <w:tc>
          <w:tcPr/>
          <w:p>
            <w:pPr>
              <w:pStyle w:val="Compact"/>
              <w:jc w:val="left"/>
            </w:pPr>
            <w:r>
              <w:rPr>
                <w:sz w:val="16"/>
              </w:rPr>
              <w:t xml:space="preserve">2020</w:t>
            </w:r>
          </w:p>
        </w:tc>
        <w:tc>
          <w:tcPr/>
          <w:p>
            <w:pPr>
              <w:pStyle w:val="Compact"/>
              <w:jc w:val="left"/>
            </w:pPr>
            <w:r>
              <w:rPr>
                <w:sz w:val="16"/>
              </w:rPr>
              <w:t xml:space="preserve">559.7600</w:t>
            </w:r>
          </w:p>
        </w:tc>
        <w:tc>
          <w:tcPr/>
          <w:p>
            <w:pPr>
              <w:pStyle w:val="Compact"/>
              <w:jc w:val="left"/>
            </w:pPr>
            <w:r>
              <w:rPr>
                <w:sz w:val="16"/>
              </w:rPr>
              <w:t xml:space="preserve">113.4648</w:t>
            </w:r>
          </w:p>
        </w:tc>
        <w:tc>
          <w:tcPr/>
          <w:p>
            <w:pPr>
              <w:pStyle w:val="Compact"/>
              <w:jc w:val="left"/>
            </w:pPr>
            <w:r>
              <w:rPr>
                <w:sz w:val="16"/>
              </w:rPr>
              <w:t xml:space="preserve">526.7431</w:t>
            </w:r>
          </w:p>
        </w:tc>
        <w:tc>
          <w:tcPr/>
          <w:p>
            <w:pPr>
              <w:pStyle w:val="Compact"/>
              <w:jc w:val="left"/>
            </w:pPr>
            <w:r>
              <w:rPr>
                <w:sz w:val="16"/>
              </w:rPr>
              <w:t xml:space="preserve">83.2188</w:t>
            </w:r>
          </w:p>
        </w:tc>
        <w:tc>
          <w:tcPr/>
          <w:p>
            <w:pPr>
              <w:pStyle w:val="Compact"/>
              <w:jc w:val="left"/>
            </w:pPr>
            <w:r>
              <w:rPr>
                <w:sz w:val="16"/>
              </w:rPr>
              <w:t xml:space="preserve">609.9619</w:t>
            </w:r>
          </w:p>
        </w:tc>
        <w:tc>
          <w:tcPr/>
          <w:p>
            <w:pPr>
              <w:pStyle w:val="Compact"/>
              <w:jc w:val="left"/>
            </w:pPr>
            <w:r>
              <w:rPr>
                <w:sz w:val="16"/>
              </w:rPr>
              <w:t xml:space="preserve">61.9190</w:t>
            </w:r>
          </w:p>
        </w:tc>
      </w:tr>
      <w:tr>
        <w:tc>
          <w:tcPr/>
          <w:p>
            <w:pPr>
              <w:pStyle w:val="Compact"/>
              <w:jc w:val="left"/>
            </w:pPr>
            <w:r>
              <w:rPr>
                <w:sz w:val="16"/>
              </w:rPr>
              <w:t xml:space="preserve">2021</w:t>
            </w:r>
          </w:p>
        </w:tc>
        <w:tc>
          <w:tcPr/>
          <w:p>
            <w:pPr>
              <w:pStyle w:val="Compact"/>
              <w:jc w:val="left"/>
            </w:pPr>
            <w:r>
              <w:rPr>
                <w:sz w:val="16"/>
              </w:rPr>
              <w:t xml:space="preserve">633.4700</w:t>
            </w:r>
          </w:p>
        </w:tc>
        <w:tc>
          <w:tcPr/>
          <w:p>
            <w:pPr>
              <w:pStyle w:val="Compact"/>
              <w:jc w:val="left"/>
            </w:pPr>
            <w:r>
              <w:rPr>
                <w:sz w:val="16"/>
              </w:rPr>
              <w:t xml:space="preserve">143.3228</w:t>
            </w:r>
          </w:p>
        </w:tc>
        <w:tc>
          <w:tcPr/>
          <w:p>
            <w:pPr>
              <w:pStyle w:val="Compact"/>
              <w:jc w:val="left"/>
            </w:pPr>
            <w:r>
              <w:rPr>
                <w:sz w:val="16"/>
              </w:rPr>
              <w:t xml:space="preserve">533.2378</w:t>
            </w:r>
          </w:p>
        </w:tc>
        <w:tc>
          <w:tcPr/>
          <w:p>
            <w:pPr>
              <w:pStyle w:val="Compact"/>
              <w:jc w:val="left"/>
            </w:pPr>
            <w:r>
              <w:rPr>
                <w:sz w:val="16"/>
              </w:rPr>
              <w:t xml:space="preserve">71.9055</w:t>
            </w:r>
          </w:p>
        </w:tc>
        <w:tc>
          <w:tcPr/>
          <w:p>
            <w:pPr>
              <w:pStyle w:val="Compact"/>
              <w:jc w:val="left"/>
            </w:pPr>
            <w:r>
              <w:rPr>
                <w:sz w:val="16"/>
              </w:rPr>
              <w:t xml:space="preserve">605.1434</w:t>
            </w:r>
          </w:p>
        </w:tc>
        <w:tc>
          <w:tcPr/>
          <w:p>
            <w:pPr>
              <w:pStyle w:val="Compact"/>
              <w:jc w:val="left"/>
            </w:pPr>
            <w:r>
              <w:rPr>
                <w:sz w:val="16"/>
              </w:rPr>
              <w:t xml:space="preserve">169.9674</w:t>
            </w:r>
          </w:p>
        </w:tc>
      </w:tr>
      <w:tr>
        <w:tc>
          <w:tcPr/>
          <w:p>
            <w:pPr>
              <w:pStyle w:val="Compact"/>
              <w:jc w:val="left"/>
            </w:pPr>
            <w:r>
              <w:rPr>
                <w:sz w:val="16"/>
              </w:rPr>
              <w:t xml:space="preserve">2022</w:t>
            </w:r>
          </w:p>
        </w:tc>
        <w:tc>
          <w:tcPr/>
          <w:p>
            <w:pPr>
              <w:pStyle w:val="Compact"/>
              <w:jc w:val="left"/>
            </w:pPr>
            <w:r>
              <w:rPr>
                <w:sz w:val="16"/>
              </w:rPr>
              <w:t xml:space="preserve">404.8400</w:t>
            </w:r>
          </w:p>
        </w:tc>
        <w:tc>
          <w:tcPr/>
          <w:p>
            <w:pPr>
              <w:pStyle w:val="Compact"/>
              <w:jc w:val="left"/>
            </w:pPr>
            <w:r>
              <w:rPr>
                <w:sz w:val="16"/>
              </w:rPr>
              <w:t xml:space="preserve">151.3838</w:t>
            </w:r>
          </w:p>
        </w:tc>
        <w:tc>
          <w:tcPr/>
          <w:p>
            <w:pPr>
              <w:pStyle w:val="Compact"/>
              <w:jc w:val="left"/>
            </w:pPr>
            <w:r>
              <w:rPr>
                <w:sz w:val="16"/>
              </w:rPr>
              <w:t xml:space="preserve">529.9393</w:t>
            </w:r>
          </w:p>
        </w:tc>
        <w:tc>
          <w:tcPr/>
          <w:p>
            <w:pPr>
              <w:pStyle w:val="Compact"/>
              <w:jc w:val="left"/>
            </w:pPr>
            <w:r>
              <w:rPr>
                <w:sz w:val="16"/>
              </w:rPr>
              <w:t xml:space="preserve">66.8453</w:t>
            </w:r>
          </w:p>
        </w:tc>
        <w:tc>
          <w:tcPr/>
          <w:p>
            <w:pPr>
              <w:pStyle w:val="Compact"/>
              <w:jc w:val="left"/>
            </w:pPr>
            <w:r>
              <w:rPr>
                <w:sz w:val="16"/>
              </w:rPr>
              <w:t xml:space="preserve">596.7846</w:t>
            </w:r>
          </w:p>
        </w:tc>
        <w:tc>
          <w:tcPr/>
          <w:p>
            <w:pPr>
              <w:pStyle w:val="Compact"/>
              <w:jc w:val="left"/>
            </w:pPr>
            <w:r>
              <w:rPr>
                <w:sz w:val="16"/>
              </w:rPr>
              <w:t xml:space="preserve">-40.5824</w:t>
            </w:r>
          </w:p>
        </w:tc>
      </w:tr>
    </w:tbl>
    <w:p>
      <w:pPr>
        <w:pStyle w:val="CaptionedFigure"/>
      </w:pPr>
      <w:r>
        <w:drawing>
          <wp:inline>
            <wp:extent cx="5334000" cy="2424677"/>
            <wp:effectExtent b="0" l="0" r="0" t="0"/>
            <wp:docPr descr="四年原模型季节水量账与历史代理缺口分开报告" title="" id="53" name="Picture"/>
            <a:graphic>
              <a:graphicData uri="http://schemas.openxmlformats.org/drawingml/2006/picture">
                <pic:pic>
                  <pic:nvPicPr>
                    <pic:cNvPr descr="figures/F06_water_ledger.png" id="54" name="Picture"/>
                    <pic:cNvPicPr>
                      <a:picLocks noChangeArrowheads="1" noChangeAspect="1"/>
                    </pic:cNvPicPr>
                  </pic:nvPicPr>
                  <pic:blipFill>
                    <a:blip r:embed="rId52"/>
                    <a:stretch>
                      <a:fillRect/>
                    </a:stretch>
                  </pic:blipFill>
                  <pic:spPr bwMode="auto">
                    <a:xfrm>
                      <a:off x="0" y="0"/>
                      <a:ext cx="5334000" cy="2424677"/>
                    </a:xfrm>
                    <a:prstGeom prst="rect">
                      <a:avLst/>
                    </a:prstGeom>
                    <a:noFill/>
                    <a:ln w="9525">
                      <a:noFill/>
                      <a:headEnd/>
                      <a:tailEnd/>
                    </a:ln>
                  </pic:spPr>
                </pic:pic>
              </a:graphicData>
            </a:graphic>
          </wp:inline>
        </w:drawing>
      </w:r>
    </w:p>
    <w:p>
      <w:pPr>
        <w:pStyle w:val="ImageCaption"/>
      </w:pPr>
      <w:r>
        <w:t xml:space="preserve">四年原模型季节水量账与历史代理缺口分开报告</w:t>
      </w:r>
    </w:p>
    <w:p>
      <w:pPr>
        <w:pStyle w:val="BodyText"/>
      </w:pPr>
      <w:r>
        <w:t xml:space="preserve">图注：2022由新增conditional_mean_model.json核算：储水消耗40.58mm，残差约10^-12mm；不代表已重新运行原模型。右侧历史代理数值未重跑。</w:t>
      </w:r>
    </w:p>
    <w:p>
      <w:pPr>
        <w:pStyle w:val="BodyText"/>
      </w:pPr>
      <w:r>
        <w:t xml:space="preserve">四年季节水量残差约10^-12mm是内部守恒证据，不替代真实通量验证。2021储水增加约169.97mm；2022消耗40.58mm。2022零灌溉给出的约58.45%减产仍为未验证反事实。</w:t>
      </w:r>
      <w:r>
        <w:t xml:space="preserve"> </w:t>
      </w:r>
      <w:r>
        <w:t xml:space="preserve">### 6.4 待真实模型填入的敏感性与管理结果</w:t>
      </w:r>
      <w:r>
        <w:t xml:space="preserve"> </w:t>
      </w:r>
      <w:r>
        <w:t xml:space="preserve">填写年度S1/ST与区间、输出方差、不同种子前沿和HV、算法对照、基准/候选产量及水量/IWP/储水变化、ε备选、条件概率与低分位。历史代理结果只在审计附录中注明版本和局限，不替代本节。</w:t>
      </w:r>
    </w:p>
    <w:bookmarkEnd w:id="55"/>
    <w:bookmarkEnd w:id="56"/>
    <w:bookmarkStart w:id="57" w:name="讨论限制与结论边界"/>
    <w:p>
      <w:pPr>
        <w:pStyle w:val="Heading2"/>
      </w:pPr>
      <w:r>
        <w:t xml:space="preserve">7 讨论、限制与结论边界</w:t>
      </w:r>
    </w:p>
    <w:p>
      <w:pPr>
        <w:pStyle w:val="FirstParagraph"/>
      </w:pPr>
      <w:r>
        <w:t xml:space="preserve">讨论应区分样本内校准与外部验证、公共独立范围响应与后验归因、确定性最优与可靠性，以及年度专用与未知年推广。数字化资料、部分假定灌溉、近似Es、纠偏ETo和模型结构误差应透明披露。</w:t>
      </w:r>
      <w:r>
        <w:t xml:space="preserve"> </w:t>
      </w:r>
      <w:r>
        <w:t xml:space="preserve">本轮可得结论是：四年分阶段原链和年度中心输入已具备完整的可追溯记录；2022条件分布与均值点量账得到交叉核验。正式敏感性和受约束灌溉优化在研究逻辑上不需要虚构八维联合后验，但最终数值仍须真实Modified DI执行。</w:t>
      </w:r>
    </w:p>
    <w:bookmarkEnd w:id="57"/>
    <w:bookmarkStart w:id="58" w:name="补充材料与方法参考"/>
    <w:p>
      <w:pPr>
        <w:pStyle w:val="Heading2"/>
      </w:pPr>
      <w:r>
        <w:t xml:space="preserve">补充材料与方法参考</w:t>
      </w:r>
    </w:p>
    <w:p>
      <w:pPr>
        <w:pStyle w:val="FirstParagraph"/>
      </w:pPr>
      <w:r>
        <w:t xml:space="preserve">提交原始/保留数组形状、20组检查点哈希、2022核验记录、参数区间与阶段内相关、严格阶段一诊断、输入空间与执行状态、软件测试及历史代理说明。原模型缺件与参考PDF未提供分别说明，不把软件测试当作作物验证。</w:t>
      </w:r>
      <w:r>
        <w:t xml:space="preserve"> </w:t>
      </w:r>
      <w:r>
        <w:t xml:space="preserve">参考方向可核对FAO Irrigation and Drainage Paper 66；Goodman与Weare（2010），DOI 10.2140/camcos.2010.5.65；Vehtari等（2021），DOI 10.1214/20-BA1221；Saltelli等（2010），DOI 10.1016/j.cpc.2009.09.018；Deb与Jain（2014），DOI 10.1109/TEVC.2013.2281535。用户参照论文目前仅有路径和哈希，具体原文引用仍待核。</w:t>
      </w:r>
    </w:p>
    <w:bookmarkEnd w:id="58"/>
    <w:bookmarkEnd w:id="59"/>
    <w:sectPr>
      <w:footerReference w:type="default" r:id="rId9"/>
      <w:pgSz w:w="11906" w:h="16838"/>
      <w:pgMar w:top="1020" w:bottom="1020"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URP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Calibri" w:hAnsi="Calibri" w:eastAsia="宋体"/>
      <w:sz w:val="21"/>
    </w:rPr>
  </w:style>
  <w:style w:styleId="BodyText" w:type="paragraph">
    <w:name w:val="Body Text"/>
    <w:basedOn w:val="Normal"/>
    <w:link w:val="BodyTextChar"/>
    <w:qFormat/>
    <w:pPr>
      <w:spacing w:after="180" w:before="180" w:line="300" w:lineRule="auto"/>
    </w:pPr>
    <w:rPr>
      <w:rFonts w:ascii="Calibri" w:hAnsi="Calibri" w:eastAsia="宋体"/>
      <w:sz w:val="21"/>
    </w:rPr>
  </w:style>
  <w:style w:customStyle="1" w:styleId="FirstParagraph" w:type="paragraph">
    <w:name w:val="First Paragraph"/>
    <w:basedOn w:val="BodyText"/>
    <w:next w:val="BodyText"/>
    <w:qFormat/>
    <w:pPr>
      <w:spacing w:line="300" w:lineRule="auto"/>
    </w:pPr>
    <w:rPr>
      <w:rFonts w:ascii="Calibri" w:hAnsi="Calibri" w:eastAsia="宋体"/>
      <w:sz w:val="21"/>
    </w:rPr>
  </w:style>
  <w:style w:customStyle="1" w:styleId="Compact" w:type="paragraph">
    <w:name w:val="Compact"/>
    <w:basedOn w:val="BodyText"/>
    <w:qFormat/>
    <w:pPr>
      <w:spacing w:after="36" w:before="36"/>
    </w:pPr>
    <w:rPr>
      <w:rFonts w:ascii="Calibri" w:hAnsi="Calibri" w:eastAsia="宋体"/>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宋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eastAsia="宋体"/>
      <w:sz w:val="30"/>
      <w:szCs w:val="30"/>
    </w:rPr>
  </w:style>
  <w:style w:customStyle="1" w:styleId="Author" w:type="paragraph">
    <w:name w:val="Author"/>
    <w:next w:val="BodyText"/>
    <w:qFormat/>
    <w:pPr>
      <w:keepNext/>
      <w:keepLines/>
      <w:jc w:val="center"/>
    </w:pPr>
    <w:rPr>
      <w:rFonts w:ascii="Calibri" w:hAnsi="Calibri" w:eastAsia="宋体"/>
    </w:rPr>
  </w:style>
  <w:style w:styleId="Date" w:type="paragraph">
    <w:name w:val="Date"/>
    <w:next w:val="BodyText"/>
    <w:qFormat/>
    <w:pPr>
      <w:keepNext/>
      <w:keepLines/>
      <w:jc w:val="center"/>
    </w:pPr>
    <w:rPr>
      <w:rFonts w:ascii="Calibri" w:hAnsi="Calibri" w:eastAsia="宋体"/>
    </w:rPr>
  </w:style>
  <w:style w:customStyle="1" w:styleId="AbstractTitle" w:type="paragraph">
    <w:name w:val="Abstract Title"/>
    <w:basedOn w:val="Normal"/>
    <w:next w:val="Abstract"/>
    <w:qFormat/>
    <w:pPr>
      <w:keepNext/>
      <w:keepLines/>
      <w:spacing w:after="0" w:before="300"/>
      <w:jc w:val="center"/>
    </w:pPr>
    <w:rPr>
      <w:rFonts w:ascii="Calibri" w:hAnsi="Calibri" w:eastAsia="宋体"/>
      <w:b/>
      <w:color w:val="345A8A"/>
      <w:sz w:val="20"/>
      <w:szCs w:val="20"/>
    </w:rPr>
  </w:style>
  <w:style w:customStyle="1" w:styleId="Abstract" w:type="paragraph">
    <w:name w:val="Abstract"/>
    <w:basedOn w:val="Normal"/>
    <w:next w:val="BodyText"/>
    <w:qFormat/>
    <w:pPr>
      <w:keepNext/>
      <w:keepLines/>
      <w:spacing w:after="300" w:before="100"/>
    </w:pPr>
    <w:rPr>
      <w:rFonts w:ascii="Calibri" w:hAnsi="Calibri" w:eastAsia="宋体"/>
      <w:sz w:val="20"/>
      <w:szCs w:val="20"/>
    </w:rPr>
  </w:style>
  <w:style w:styleId="Bibliography" w:type="paragraph">
    <w:name w:val="Bibliography"/>
    <w:basedOn w:val="Normal"/>
    <w:next w:val="Bibliography"/>
    <w:qFormat/>
    <w:pPr/>
    <w:rPr>
      <w:rFonts w:ascii="Calibri" w:hAnsi="Calibri" w:eastAsia="宋体"/>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eastAsia="宋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宋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eastAsia="宋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eastAsia="宋体"/>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eastAsia="宋体"/>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eastAsia="宋体"/>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eastAsia="宋体"/>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eastAsia="宋体"/>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eastAsia="宋体"/>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宋体"/>
    </w:rPr>
  </w:style>
  <w:style w:styleId="FootnoteText" w:type="paragraph">
    <w:name w:val="Footnote Text"/>
    <w:basedOn w:val="Normal"/>
    <w:next w:val="FootnoteText"/>
    <w:uiPriority w:val="9"/>
    <w:unhideWhenUsed/>
    <w:qFormat/>
    <w:rPr>
      <w:rFonts w:ascii="Calibri" w:hAnsi="Calibri" w:eastAsia="宋体"/>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Calibri" w:hAnsi="Calibri" w:eastAsia="宋体"/>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eastAsia="宋体"/>
      <w:b/>
    </w:rPr>
  </w:style>
  <w:style w:customStyle="1" w:styleId="Definition" w:type="paragraph">
    <w:name w:val="Definition"/>
    <w:basedOn w:val="Normal"/>
    <w:rPr>
      <w:rFonts w:ascii="Calibri" w:hAnsi="Calibri" w:eastAsia="宋体"/>
    </w:rPr>
  </w:style>
  <w:style w:styleId="Caption" w:type="paragraph">
    <w:name w:val="Caption"/>
    <w:basedOn w:val="Normal"/>
    <w:link w:val="BodyTextChar"/>
    <w:pPr>
      <w:spacing w:after="120" w:before="0"/>
    </w:pPr>
    <w:rPr>
      <w:rFonts w:ascii="Calibri" w:hAnsi="Calibri" w:eastAsia="宋体"/>
      <w:i/>
    </w:rPr>
  </w:style>
  <w:style w:customStyle="1" w:styleId="TableCaption" w:type="paragraph">
    <w:name w:val="Table Caption"/>
    <w:basedOn w:val="Caption"/>
    <w:pPr>
      <w:keepNext/>
    </w:pPr>
    <w:rPr>
      <w:rFonts w:ascii="Calibri" w:hAnsi="Calibri" w:eastAsia="宋体"/>
    </w:rPr>
  </w:style>
  <w:style w:customStyle="1" w:styleId="ImageCaption" w:type="paragraph">
    <w:name w:val="Image Caption"/>
    <w:basedOn w:val="Caption"/>
    <w:rPr>
      <w:rFonts w:ascii="Calibri" w:hAnsi="Calibri" w:eastAsia="宋体"/>
    </w:rPr>
  </w:style>
  <w:style w:customStyle="1" w:styleId="Figure" w:type="paragraph">
    <w:name w:val="Figure"/>
    <w:basedOn w:val="Normal"/>
    <w:rPr>
      <w:rFonts w:ascii="Calibri" w:hAnsi="Calibri" w:eastAsia="宋体"/>
    </w:rPr>
  </w:style>
  <w:style w:customStyle="1" w:styleId="CaptionedFigure" w:type="paragraph">
    <w:name w:val="Captioned Figure"/>
    <w:basedOn w:val="Figure"/>
    <w:pPr>
      <w:keepNext/>
    </w:pPr>
    <w:rPr>
      <w:rFonts w:ascii="Calibri" w:hAnsi="Calibri" w:eastAsia="宋体"/>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eastAsia="宋体"/>
      <w:b w:val="0"/>
      <w:bCs w:val="0"/>
      <w:color w:themeColor="accent1" w:themeShade="BF" w:val="365F91"/>
    </w:rPr>
  </w:style>
  <w:style w:type="paragraph" w:customStyle="1" w:styleId="SourceCode">
    <w:name w:val="Source Code"/>
    <w:basedOn w:val="Normal"/>
    <w:link w:val="VerbatimChar"/>
    <w:pPr>
      <w:wordWrap w:val="off"/>
    </w:pPr>
    <w:rPr>
      <w:rFonts w:ascii="Calibri" w:hAnsi="Calibri" w:eastAsia="宋体"/>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43" Type="http://schemas.openxmlformats.org/officeDocument/2006/relationships/image" Target="media/rId43.png"/><Relationship Id="rId46" Type="http://schemas.openxmlformats.org/officeDocument/2006/relationships/image" Target="media/rId46.png"/><Relationship Id="rId52" Type="http://schemas.openxmlformats.org/officeDocument/2006/relationships/image" Target="media/rId52.png"/><Relationship Id="rId49" Type="http://schemas.openxmlformats.org/officeDocument/2006/relationships/image" Target="media/rId49.png"/><Relationship Id="rId30" Type="http://schemas.openxmlformats.org/officeDocument/2006/relationships/image" Target="media/rId30.png"/><Relationship Id="rId26" Type="http://schemas.openxmlformats.org/officeDocument/2006/relationships/image" Target="media/rId26.png"/><Relationship Id="rId39" Type="http://schemas.openxmlformats.org/officeDocument/2006/relationships/image" Target="media/rId39.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2026-10-17T13:00:05Z</dcterms:created>
  <dcterms:modified xsi:type="dcterms:W3CDTF">2026-10-17T13:00:05Z</dcterms:modified>
</cp:coreProperties>
</file>

<file path=docProps/custom.xml><?xml version="1.0" encoding="utf-8"?>
<Properties xmlns="http://schemas.openxmlformats.org/officeDocument/2006/custom-properties" xmlns:vt="http://schemas.openxmlformats.org/officeDocument/2006/docPropsVTypes"/>
</file>