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URP五分钟答辩讲稿：新增MCMC收敛性页</w:t>
      </w:r>
    </w:p>
    <w:p>
      <w:r>
        <w:t>以用户上传的修改版为底稿，保留原正文与版式。在第4页后新增第5页。主讲9页，建议时间总计300秒，随后4页仍为隐藏备答。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页码</w:t>
            </w:r>
          </w:p>
        </w:tc>
        <w:tc>
          <w:tcPr>
            <w:tcW w:type="dxa" w:w="2493"/>
          </w:tcPr>
          <w:p>
            <w:r>
              <w:t>主题</w:t>
            </w:r>
          </w:p>
        </w:tc>
        <w:tc>
          <w:tcPr>
            <w:tcW w:type="dxa" w:w="2493"/>
          </w:tcPr>
          <w:p>
            <w:r>
              <w:t>用时</w:t>
            </w:r>
          </w:p>
        </w:tc>
        <w:tc>
          <w:tcPr>
            <w:tcW w:type="dxa" w:w="2493"/>
          </w:tcPr>
          <w:p>
            <w:r>
              <w:t>累计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URP项目答辩</w:t>
            </w:r>
          </w:p>
        </w:tc>
        <w:tc>
          <w:tcPr>
            <w:tcW w:type="dxa" w:w="2493"/>
          </w:tcPr>
          <w:p>
            <w:r>
              <w:t>15秒</w:t>
            </w:r>
          </w:p>
        </w:tc>
        <w:tc>
          <w:tcPr>
            <w:tcW w:type="dxa" w:w="2493"/>
          </w:tcPr>
          <w:p>
            <w:r>
              <w:t>0:15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研究聚焦</w:t>
            </w:r>
          </w:p>
        </w:tc>
        <w:tc>
          <w:tcPr>
            <w:tcW w:type="dxa" w:w="2493"/>
          </w:tcPr>
          <w:p>
            <w:r>
              <w:t>30秒</w:t>
            </w:r>
          </w:p>
        </w:tc>
        <w:tc>
          <w:tcPr>
            <w:tcW w:type="dxa" w:w="2493"/>
          </w:tcPr>
          <w:p>
            <w:r>
              <w:t>0:45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研究流程</w:t>
            </w:r>
          </w:p>
        </w:tc>
        <w:tc>
          <w:tcPr>
            <w:tcW w:type="dxa" w:w="2493"/>
          </w:tcPr>
          <w:p>
            <w:r>
              <w:t>35秒</w:t>
            </w:r>
          </w:p>
        </w:tc>
        <w:tc>
          <w:tcPr>
            <w:tcW w:type="dxa" w:w="2493"/>
          </w:tcPr>
          <w:p>
            <w:r>
              <w:t>1:20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MCMC动态采样与校准——生长数据精度</w:t>
            </w:r>
          </w:p>
        </w:tc>
        <w:tc>
          <w:tcPr>
            <w:tcW w:type="dxa" w:w="2493"/>
          </w:tcPr>
          <w:p>
            <w:r>
              <w:t>35秒</w:t>
            </w:r>
          </w:p>
        </w:tc>
        <w:tc>
          <w:tcPr>
            <w:tcW w:type="dxa" w:w="2493"/>
          </w:tcPr>
          <w:p>
            <w:r>
              <w:t>1:55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MCMC动态采样与校准 马尔可夫链收敛性</w:t>
            </w:r>
          </w:p>
        </w:tc>
        <w:tc>
          <w:tcPr>
            <w:tcW w:type="dxa" w:w="2493"/>
          </w:tcPr>
          <w:p>
            <w:r>
              <w:t>35秒</w:t>
            </w:r>
          </w:p>
        </w:tc>
        <w:tc>
          <w:tcPr>
            <w:tcW w:type="dxa" w:w="2493"/>
          </w:tcPr>
          <w:p>
            <w:r>
              <w:t>2:30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Sobol敏感性分析</w:t>
            </w:r>
          </w:p>
        </w:tc>
        <w:tc>
          <w:tcPr>
            <w:tcW w:type="dxa" w:w="2493"/>
          </w:tcPr>
          <w:p>
            <w:r>
              <w:t>30秒</w:t>
            </w:r>
          </w:p>
        </w:tc>
        <w:tc>
          <w:tcPr>
            <w:tcW w:type="dxa" w:w="2493"/>
          </w:tcPr>
          <w:p>
            <w:r>
              <w:t>3:00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NSGA优化——Pareto Frontier</w:t>
            </w:r>
          </w:p>
        </w:tc>
        <w:tc>
          <w:tcPr>
            <w:tcW w:type="dxa" w:w="2493"/>
          </w:tcPr>
          <w:p>
            <w:r>
              <w:t>45秒</w:t>
            </w:r>
          </w:p>
        </w:tc>
        <w:tc>
          <w:tcPr>
            <w:tcW w:type="dxa" w:w="2493"/>
          </w:tcPr>
          <w:p>
            <w:r>
              <w:t>3:45</w:t>
            </w:r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NSGA优化——土壤储水分析</w:t>
            </w:r>
          </w:p>
        </w:tc>
        <w:tc>
          <w:tcPr>
            <w:tcW w:type="dxa" w:w="2493"/>
          </w:tcPr>
          <w:p>
            <w:r>
              <w:t>50秒</w:t>
            </w:r>
          </w:p>
        </w:tc>
        <w:tc>
          <w:tcPr>
            <w:tcW w:type="dxa" w:w="2493"/>
          </w:tcPr>
          <w:p>
            <w:r>
              <w:t>4:35</w:t>
            </w:r>
          </w:p>
        </w:tc>
      </w:tr>
      <w:tr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研究的优势：过程可复现，决策可细化，机制可解释</w:t>
            </w:r>
          </w:p>
        </w:tc>
        <w:tc>
          <w:tcPr>
            <w:tcW w:type="dxa" w:w="2493"/>
          </w:tcPr>
          <w:p>
            <w:r>
              <w:t>25秒</w:t>
            </w:r>
          </w:p>
        </w:tc>
        <w:tc>
          <w:tcPr>
            <w:tcW w:type="dxa" w:w="2493"/>
          </w:tcPr>
          <w:p>
            <w:r>
              <w:t>5:00</w:t>
            </w:r>
          </w:p>
        </w:tc>
      </w:tr>
    </w:tbl>
    <w:p>
      <w:pPr>
        <w:pStyle w:val="Heading1"/>
      </w:pPr>
      <w:r>
        <w:t>第1页 URP项目答辩（15秒）</w:t>
      </w:r>
    </w:p>
    <w:p>
      <w:r>
        <w:t>各位老师好，我们汇报的主题是膜下滴灌玉米灌溉制度优化。研究围绕四年资料，连接参数校准、敏感性分析与五期灌水优化，并用水量核算解释结果。</w:t>
      </w:r>
    </w:p>
    <w:p>
      <w:pPr>
        <w:pStyle w:val="Heading1"/>
      </w:pPr>
      <w:r>
        <w:t>第2页 研究聚焦（30秒）</w:t>
      </w:r>
    </w:p>
    <w:p>
      <w:r>
        <w:t>研究采用甘肃武威2019至2022年膜下滴灌玉米既有观测资料。四年灌水量约为405至633毫米，产量约为14.08至17.29吨每公顷。我们整理了48个冠层覆盖度配对和37个生物量配对，并接入气象、土壤及灌水日程。研究主要回答三个问题：需要灌多少水，在哪些生育期灌，以及较低灌水量下支撑产量的水来自哪里。</w:t>
      </w:r>
    </w:p>
    <w:p>
      <w:pPr>
        <w:pStyle w:val="Heading1"/>
      </w:pPr>
      <w:r>
        <w:t>第3页 研究流程（35秒）</w:t>
      </w:r>
    </w:p>
    <w:p>
      <w:r>
        <w:t>技术路线分三步。首先，两阶段MCMC先利用冠层和耗水指标确定五个参数，再利用生物量和产量确定三个生产参数。其次，Sobol在共同独立参数范围内比较四年敏感性。最后，使用两种遗传算法求解产量与实际灌水量的权衡。五个生育期各设最多三次可选灌水，零水量取消，同时优化十五个水量和十五个日期。主分析保持原模型物理设定，结构补充试验单列。</w:t>
      </w:r>
    </w:p>
    <w:p>
      <w:pPr>
        <w:pStyle w:val="Heading1"/>
      </w:pPr>
      <w:r>
        <w:t>第4页 MCMC动态采样与校准——生长数据精度（35秒）</w:t>
      </w:r>
    </w:p>
    <w:p>
      <w:r>
        <w:t>左图展示冠层覆盖度，右图展示地上生物量，颜色区分四个年份。大部分配对点接近一比一线。四年冠层拟合决定系数为0.931至0.993，生物量为0.969至0.997；年度产量相对偏差为负4.18%至正0.92%。这些结果描述了参数中心对生长和产量的拟合效果。下一页进一步检查采样过程与链的收敛性。</w:t>
      </w:r>
    </w:p>
    <w:p>
      <w:pPr>
        <w:pStyle w:val="Heading1"/>
      </w:pPr>
      <w:r>
        <w:t>第5页 MCMC动态采样与校准 马尔可夫链收敛性（35秒）</w:t>
      </w:r>
    </w:p>
    <w:p>
      <w:r>
        <w:t>拟合精度之后，还需要检查采样过程。左图以2021年为例，展示四组独立初始化原链中代表walker的真实参数轨迹；右表汇总四年的诊断结果。参数中心较稳定，但Rhat仍高于1.01，最小组有效样本量低于400。因此我们把过程拟合与分布采样精度分开报告，并将改进链的混合程度和有效样本量作为后续重点。</w:t>
      </w:r>
    </w:p>
    <w:p>
      <w:pPr>
        <w:pStyle w:val="Heading1"/>
      </w:pPr>
      <w:r>
        <w:t>第6页 Sobol敏感性分析（30秒）</w:t>
      </w:r>
    </w:p>
    <w:p>
      <w:r>
        <w:t>敏感性分析表明，四年年平均结果中，晚期水分生产率、收获指数、早期水分生产率和基础作物系数的排序保持一致，但贡献幅度存在年际变化。晚期水分生产率的总效应指数四年均值为0.396，位居首位。这里的平均是共同独立输入范围下的四年等权描述，保留逐年结果共同解释。</w:t>
      </w:r>
    </w:p>
    <w:p>
      <w:pPr>
        <w:pStyle w:val="Heading1"/>
      </w:pPr>
      <w:r>
        <w:t>第7页 NSGA优化——Pareto Frontier（45秒）</w:t>
      </w:r>
    </w:p>
    <w:p>
      <w:r>
        <w:t>这页给出四年的产量与灌水权衡。蓝色虚线连接全范围搜索得到的非支配解，星号是原DI模型基准，橙圈是正式搜索按95%观测产量门槛选出的候选。四年候选灌水量分别约为210、306、264和257毫米。每个候选都对应完整的逐次日期和水量。两种遗传算法获得相近的最低灌水区间。面对看起来很大的减灌幅度，我们进一步追踪水量来源，而不是只用这张图直接给出田间定额。</w:t>
      </w:r>
    </w:p>
    <w:p>
      <w:pPr>
        <w:pStyle w:val="Heading1"/>
      </w:pPr>
      <w:r>
        <w:t>第8页 NSGA优化——土壤储水分析（50秒）</w:t>
      </w:r>
    </w:p>
    <w:p>
      <w:r>
        <w:t>水量核算是解释结果的关键。左图把减灌量拆分为蒸散变化、季末储水差和其他损失差。四年蒸散仅下降1.89%至5.98%，季末储水差则解释了81.09%至96.72%的减灌量。以2021年为例，少灌368.97毫米，其中356.85毫米对应季末储水差，11.46毫米对应蒸散减少，其他差额约0.66毫米。因此，较低灌水候选主要利用了基准日程增储与初始土壤水的缓冲。后续田间方案应配套季末储水及设备供水条件。</w:t>
      </w:r>
    </w:p>
    <w:p>
      <w:pPr>
        <w:pStyle w:val="Heading1"/>
      </w:pPr>
      <w:r>
        <w:t>第9页 研究的优势：过程可复现，决策可细化，机制可解释（25秒）</w:t>
      </w:r>
    </w:p>
    <w:p>
      <w:r>
        <w:t>我们完成了四年多指标校准、敏感性分析和五期逐次灌水优化，并通过储水核算明确减灌量的组成。下一步重点提升采样精度，结合季末储水、单次供水能力和灌水间隔细化实施方案。感谢各位老师，请批评指正。</w:t>
      </w:r>
    </w:p>
    <w:p>
      <w:pPr>
        <w:pStyle w:val="Heading1"/>
      </w:pPr>
      <w:r>
        <w:t>新增页的数据解释</w:t>
      </w:r>
    </w:p>
    <w:p>
      <w:r>
        <w:t>参数轨迹只是直观展示，收敛性同时用保留时间结构的Rhat与有效样本量判断。四年阶段一原链未达到严格参考标准；保留均值的稳定性与分布采样精度分开说明，未把拟合精度写成收敛证明。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