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pacing w:before="0" w:after="160" w:line="240" w:lineRule="auto"/>
        <w:ind w:end="1466" w:left="0" w:right="0" w:firstLine="0"/>
        <w:jc w:val="left"/>
        <w:rPr>
          <w:rFonts w:ascii="宋体" w:hAnsi="宋体" w:hint="eastAsia"/>
          <w:b/>
          <w:sz w:val="28"/>
          <w:szCs w:val="28"/>
        </w:rPr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2"/>
          <w:szCs w:val="28"/>
        </w:rPr>
        <w:drawing>
          <wp:inline distT="0" distB="0" distL="0" distR="0">
            <wp:extent cx="2287905" cy="5461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" t="-29" r="-7" b="-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905" cy="54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 w:ascii="Noto Serif CJK SC" w:hAnsi="Noto Serif CJK SC" w:eastAsia="Noto Serif CJK SC" w:cs="Noto Serif CJK SC"/>
          <w:b w:val="0"/>
          <w:color w:val="000000"/>
          <w:sz w:val="22"/>
          <w:szCs w:val="28"/>
        </w:rPr>
        <w:t xml:space="preserve">      </w:t>
      </w:r>
      <w:r>
        <w:rPr>
          <w:rFonts w:ascii="Noto Serif CJK SC" w:hAnsi="Noto Serif CJK SC" w:hint="eastAsia" w:eastAsia="Noto Serif CJK SC" w:cs="Noto Serif CJK SC"/>
          <w:b w:val="0"/>
          <w:color w:val="000000"/>
          <w:sz w:val="22"/>
          <w:szCs w:val="28"/>
        </w:rPr>
        <w:t>项目编号：X2026100190937</w:t>
      </w:r>
    </w:p>
    <w:p>
      <w:pPr>
        <w:pStyle w:val="Normal"/>
        <w:widowControl/>
        <w:spacing w:lineRule="exact" w:line="96" w:before="0" w:after="180"/>
        <w:ind w:start="0" w:end="0" w:left="0" w:right="0" w:firstLine="0"/>
        <w:rPr>
          <w:rFonts w:ascii="宋体" w:hAnsi="宋体" w:hint="eastAsia"/>
          <w:b/>
          <w:sz w:val="28"/>
          <w:szCs w:val="28"/>
        </w:rPr>
        <w:snapToGrid w:val="false"/>
      </w:pPr>
      <w:r>
        <w:rPr>
          <w:rFonts w:hint="eastAsia" w:ascii="Noto Serif CJK SC" w:hAnsi="Noto Serif CJK SC" w:eastAsia="Noto Serif CJK SC" w:cs="Noto Serif CJK SC"/>
          <w:b w:val="0"/>
          <w:color w:val="000000"/>
          <w:sz w:val="8"/>
          <w:szCs w:val="28"/>
        </w:rPr>
      </w:r>
    </w:p>
    <w:p>
      <w:pPr>
        <w:pStyle w:val="Normal"/>
        <w:widowControl/>
        <w:snapToGrid w:val="false"/>
        <w:spacing w:lineRule="exact" w:line="696" w:before="80" w:after="120"/>
        <w:ind w:left="0" w:right="0" w:firstLine="0"/>
        <w:jc w:val="center"/>
        <w:rPr>
          <w:rFonts w:ascii="华文中宋" w:hAnsi="华文中宋" w:eastAsia="华文中宋" w:cs="华文中宋" w:hint="eastAsia"/>
          <w:b/>
          <w:color w:val="000000"/>
          <w:w w:val="80"/>
          <w:sz w:val="52"/>
          <w:szCs w:val="52"/>
        </w:rPr>
      </w:pPr>
      <w:r>
        <w:rPr>
          <w:rFonts w:ascii="Noto Sans CJK SC" w:hAnsi="Noto Sans CJK SC" w:cs="Noto Sans CJK SC" w:hint="eastAsia" w:eastAsia="Noto Sans CJK SC"/>
          <w:b/>
          <w:color w:val="000000"/>
          <w:sz w:val="48"/>
          <w:szCs w:val="52"/>
        </w:rPr>
        <w:t>创新训练项目</w:t>
      </w:r>
    </w:p>
    <w:p>
      <w:pPr>
        <w:pStyle w:val="Normal"/>
        <w:widowControl/>
        <w:snapToGrid w:val="false"/>
        <w:spacing w:lineRule="exact" w:line="696" w:before="80" w:after="120"/>
        <w:ind w:left="0" w:right="0" w:firstLine="0"/>
        <w:jc w:val="center"/>
        <w:rPr>
          <w:rFonts w:ascii="华文中宋" w:hAnsi="华文中宋" w:eastAsia="华文中宋" w:cs="华文中宋"/>
          <w:b/>
          <w:color w:val="000000"/>
          <w:w w:val="80"/>
          <w:sz w:val="52"/>
          <w:szCs w:val="52"/>
        </w:rPr>
      </w:pPr>
      <w:r>
        <w:rPr>
          <w:rFonts w:ascii="Noto Sans CJK SC" w:hAnsi="Noto Sans CJK SC" w:cs="Noto Sans CJK SC" w:hint="eastAsia" w:eastAsia="Noto Sans CJK SC"/>
          <w:b/>
          <w:color w:val="000000"/>
          <w:sz w:val="48"/>
          <w:szCs w:val="52"/>
        </w:rPr>
        <w:t>中期报告书</w:t>
      </w:r>
    </w:p>
    <w:p>
      <w:pPr>
        <w:pStyle w:val="Normal"/>
        <w:widowControl/>
        <w:spacing w:before="0" w:after="100" w:line="96" w:lineRule="exact"/>
        <w:ind w:end="26" w:left="0" w:right="0" w:firstLine="0"/>
        <w:jc w:val="center"/>
        <w:rPr>
          <w:rFonts w:ascii="宋体" w:hAnsi="宋体" w:eastAsia="华文中宋" w:cs="华文中宋"/>
          <w:b/>
          <w:color w:val="000000"/>
          <w:w w:val="80"/>
          <w:sz w:val="44"/>
          <w:szCs w:val="52"/>
        </w:rPr>
        <w:snapToGrid w:val="false"/>
      </w:pPr>
      <w:r>
        <w:rPr>
          <w:rFonts w:eastAsia="Noto Serif CJK SC" w:cs="Noto Serif CJK SC" w:ascii="Noto Serif CJK SC" w:hAnsi="Noto Serif CJK SC"/>
          <w:b w:val="0"/>
          <w:color w:val="000000"/>
          <w:sz w:val="8"/>
          <w:szCs w:val="52"/>
        </w:rPr>
      </w:r>
    </w:p>
    <w:tbl>
      <w:tblPr>
        <w:tblW w:w="8362" w:type="dxa"/>
        <w:jc w:val="start"/>
        <w:tblInd w:w="8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Borders>
          <w:top w:val="single" w:sz="5" w:color="444444"/>
          <w:left w:val="single" w:sz="5" w:color="444444"/>
          <w:bottom w:val="single" w:sz="5" w:color="444444"/>
          <w:right w:val="single" w:sz="5" w:color="444444"/>
          <w:insideH w:val="single" w:sz="5" w:color="444444"/>
          <w:insideV w:val="single" w:sz="5" w:color="444444"/>
        </w:tblBorders>
      </w:tblPr>
      <w:tblGrid>
        <w:gridCol w:w="1156"/>
        <w:gridCol w:w="865"/>
        <w:gridCol w:w="2040"/>
        <w:gridCol w:w="438"/>
        <w:gridCol w:w="982"/>
        <w:gridCol w:w="1504"/>
        <w:gridCol w:w="2483"/>
      </w:tblGrid>
      <w:tr>
        <w:trPr>
          <w:trHeight w:val="935" w:hRule="atLeast"/>
        </w:trPr>
        <w:tc>
          <w:tcPr>
            <w:tcW w:w="20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项目名称</w:t>
            </w:r>
          </w:p>
        </w:tc>
        <w:tc>
          <w:tcPr>
            <w:tcW w:w="7447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基于马尔科夫链的不同灌溉方式灌溉制度优化</w:t>
            </w:r>
          </w:p>
        </w:tc>
      </w:tr>
      <w:tr>
        <w:trPr>
          <w:trHeight w:val="510" w:hRule="atLeast"/>
        </w:trPr>
        <w:tc>
          <w:tcPr>
            <w:tcW w:w="20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项目执行时间</w:t>
            </w:r>
          </w:p>
        </w:tc>
        <w:tc>
          <w:tcPr>
            <w:tcW w:w="24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2026年</w:t>
            </w:r>
          </w:p>
        </w:tc>
        <w:tc>
          <w:tcPr>
            <w:tcW w:w="248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项目团队人数</w:t>
            </w:r>
          </w:p>
        </w:tc>
        <w:tc>
          <w:tcPr>
            <w:tcW w:w="2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3人</w:t>
            </w:r>
          </w:p>
        </w:tc>
      </w:tr>
      <w:tr>
        <w:trPr>
          <w:trHeight w:val="357" w:hRule="atLeast"/>
        </w:trPr>
        <w:tc>
          <w:tcPr>
            <w:tcW w:w="115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项目</w:t>
            </w:r>
          </w:p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负责人</w:t>
            </w:r>
          </w:p>
        </w:tc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姓名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吴雨臻</w:t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学号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2024321010307</w:t>
            </w:r>
          </w:p>
        </w:tc>
      </w:tr>
      <w:tr>
        <w:trPr>
          <w:trHeight w:val="357" w:hRule="atLeast"/>
        </w:trPr>
        <w:tc>
          <w:tcPr>
            <w:tcW w:w="102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7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180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院系班级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土地科学与技术学院243班</w:t>
            </w:r>
          </w:p>
        </w:tc>
      </w:tr>
      <w:tr>
        <w:trPr>
          <w:trHeight w:val="357" w:hRule="atLeast"/>
        </w:trPr>
        <w:tc>
          <w:tcPr>
            <w:tcW w:w="102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8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手机</w:t>
            </w:r>
          </w:p>
        </w:tc>
        <w:tc>
          <w:tcPr>
            <w:tcW w:w="20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17624057163</w:t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电子邮箱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yuzhenAva@163.com</w:t>
            </w:r>
          </w:p>
        </w:tc>
      </w:tr>
      <w:tr>
        <w:trPr>
          <w:trHeight w:val="357" w:hRule="atLeast"/>
        </w:trPr>
        <w:tc>
          <w:tcPr>
            <w:tcW w:w="115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项目</w:t>
            </w:r>
          </w:p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成员</w:t>
            </w:r>
            <w:r>
              <w:rPr>
                <w:rFonts w:eastAsia="Noto Serif CJK SC" w:cs="Noto Serif CJK SC" w:hint="eastAsia" w:ascii="Noto Serif CJK SC" w:hAnsi="Noto Serif CJK SC"/>
                <w:b w:val="0"/>
                <w:color w:val="000000"/>
                <w:sz w:val="21"/>
                <w:szCs w:val="28"/>
              </w:rPr>
              <w:t>1</w:t>
            </w:r>
          </w:p>
        </w:tc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姓名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李承昊</w:t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学号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2024321010302</w:t>
            </w:r>
          </w:p>
        </w:tc>
      </w:tr>
      <w:tr>
        <w:trPr>
          <w:trHeight w:val="357" w:hRule="atLeast"/>
        </w:trPr>
        <w:tc>
          <w:tcPr>
            <w:tcW w:w="102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7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180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院系班级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土地科学与技术学院243班</w:t>
            </w:r>
          </w:p>
        </w:tc>
      </w:tr>
      <w:tr>
        <w:trPr>
          <w:trHeight w:val="357" w:hRule="atLeast"/>
        </w:trPr>
        <w:tc>
          <w:tcPr>
            <w:tcW w:w="115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项目</w:t>
            </w:r>
          </w:p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成员</w:t>
            </w:r>
            <w:r>
              <w:rPr>
                <w:rFonts w:eastAsia="Noto Serif CJK SC" w:cs="Noto Serif CJK SC" w:hint="eastAsia" w:ascii="Noto Serif CJK SC" w:hAnsi="Noto Serif CJK SC"/>
                <w:b w:val="0"/>
                <w:color w:val="000000"/>
                <w:sz w:val="21"/>
                <w:szCs w:val="28"/>
              </w:rPr>
              <w:t>2</w:t>
            </w:r>
          </w:p>
        </w:tc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姓名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段璞</w:t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学号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2024321010208</w:t>
            </w:r>
          </w:p>
        </w:tc>
      </w:tr>
      <w:tr>
        <w:trPr>
          <w:trHeight w:val="357" w:hRule="atLeast"/>
        </w:trPr>
        <w:tc>
          <w:tcPr>
            <w:tcW w:w="102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7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180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院系班级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土地科学与技术学院242班</w:t>
            </w:r>
          </w:p>
        </w:tc>
      </w:tr>
      <w:tr>
        <w:trPr>
          <w:trHeight w:val="357" w:hRule="atLeast"/>
        </w:trPr>
        <w:tc>
          <w:tcPr>
            <w:tcW w:w="115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导师</w:t>
            </w:r>
          </w:p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情况</w:t>
            </w:r>
          </w:p>
        </w:tc>
        <w:tc>
          <w:tcPr>
            <w:tcW w:w="8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姓名</w:t>
            </w:r>
          </w:p>
        </w:tc>
        <w:tc>
          <w:tcPr>
            <w:tcW w:w="20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廖人宽</w:t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职务职称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教授</w:t>
            </w:r>
          </w:p>
        </w:tc>
      </w:tr>
      <w:tr>
        <w:trPr>
          <w:trHeight w:val="357" w:hRule="atLeast"/>
        </w:trPr>
        <w:tc>
          <w:tcPr>
            <w:tcW w:w="102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300"/>
              <w:ind w:end="28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</w:pPr>
            <w:r>
              <w:rPr>
                <w:rFonts w:eastAsia="华文中宋" w:cs="华文中宋" w:hint="eastAsia" w:ascii="华文中宋" w:hAnsi="华文中宋"/>
                <w:color w:val="000000"/>
                <w:w w:val="80"/>
                <w:sz w:val="28"/>
                <w:szCs w:val="28"/>
              </w:rPr>
            </w:r>
          </w:p>
        </w:tc>
        <w:tc>
          <w:tcPr>
            <w:tcW w:w="8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电话</w:t>
            </w:r>
          </w:p>
        </w:tc>
        <w:tc>
          <w:tcPr>
            <w:tcW w:w="20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18600795649</w:t>
            </w:r>
          </w:p>
        </w:tc>
        <w:tc>
          <w:tcPr>
            <w:tcW w:w="14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电子邮箱</w:t>
            </w:r>
          </w:p>
        </w:tc>
        <w:tc>
          <w:tcPr>
            <w:tcW w:w="3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renkuanliao@163.com</w:t>
            </w:r>
          </w:p>
        </w:tc>
      </w:tr>
      <w:tr>
        <w:trPr>
          <w:trHeight w:val="454" w:hRule="atLeast"/>
        </w:trPr>
        <w:tc>
          <w:tcPr>
            <w:tcW w:w="20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填表日期</w:t>
            </w:r>
          </w:p>
        </w:tc>
        <w:tc>
          <w:tcPr>
            <w:tcW w:w="7447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2026年10月23日（请按实际提交日核定）</w:t>
            </w:r>
          </w:p>
        </w:tc>
      </w:tr>
      <w:tr>
        <w:trPr>
          <w:trHeight w:val="454" w:hRule="atLeast"/>
        </w:trPr>
        <w:tc>
          <w:tcPr>
            <w:tcW w:w="946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widowControl/>
              <w:spacing w:lineRule="exact" w:line="304" w:before="0" w:after="0"/>
              <w:ind w:end="28" w:left="0" w:right="0" w:firstLine="0"/>
              <w:jc w:val="center"/>
              <w:rPr>
                <w:rFonts w:ascii="华文中宋" w:hAnsi="华文中宋" w:eastAsia="华文中宋" w:cs="华文中宋" w:hint="eastAsia"/>
                <w:color w:val="000000"/>
                <w:w w:val="80"/>
                <w:sz w:val="28"/>
                <w:szCs w:val="28"/>
              </w:rPr>
              <w:snapToGrid w:val="false"/>
            </w:pP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项目</w:t>
            </w:r>
            <w:r>
              <w:rPr>
                <w:rFonts w:ascii="Noto Serif CJK SC" w:hAnsi="Noto Serif CJK SC" w:cs="Noto Serif CJK SC" w:eastAsia="Noto Serif CJK SC"/>
                <w:b w:val="0"/>
                <w:color w:val="000000"/>
                <w:sz w:val="21"/>
                <w:szCs w:val="28"/>
              </w:rPr>
              <w:t>简介</w:t>
            </w: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（</w:t>
            </w:r>
            <w:r>
              <w:rPr>
                <w:rFonts w:eastAsia="Noto Serif CJK SC" w:cs="Noto Serif CJK SC" w:hint="eastAsia" w:ascii="Noto Serif CJK SC" w:hAnsi="Noto Serif CJK SC"/>
                <w:b w:val="0"/>
                <w:color w:val="000000"/>
                <w:sz w:val="21"/>
                <w:szCs w:val="28"/>
              </w:rPr>
              <w:t>100</w:t>
            </w:r>
            <w:r>
              <w:rPr>
                <w:rFonts w:ascii="Noto Serif CJK SC" w:hAnsi="Noto Serif CJK SC" w:cs="Noto Serif CJK SC" w:hint="eastAsia" w:eastAsia="Noto Serif CJK SC"/>
                <w:b w:val="0"/>
                <w:color w:val="000000"/>
                <w:sz w:val="21"/>
                <w:szCs w:val="28"/>
              </w:rPr>
              <w:t>字</w:t>
            </w:r>
            <w:r>
              <w:rPr>
                <w:rFonts w:ascii="Noto Serif CJK SC" w:hAnsi="Noto Serif CJK SC" w:cs="Noto Serif CJK SC" w:eastAsia="Noto Serif CJK SC"/>
                <w:b w:val="0"/>
                <w:color w:val="000000"/>
                <w:sz w:val="21"/>
                <w:szCs w:val="28"/>
              </w:rPr>
              <w:t>以内）</w:t>
            </w:r>
          </w:p>
        </w:tc>
      </w:tr>
      <w:tr>
        <w:trPr>
          <w:trHeight w:val="1276" w:hRule="atLeast"/>
        </w:trPr>
        <w:tc>
          <w:tcPr>
            <w:tcW w:w="946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widowControl/>
              <w:spacing w:before="0" w:after="0" w:line="304" w:lineRule="exact"/>
              <w:ind w:left="0" w:right="0" w:firstLine="0"/>
              <w:snapToGrid w:val="false"/>
              <w:jc w:val="left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面向玉米节水灌溉，融合田间与遥感资料，利用AquaCrop模型和MCMC开展参数校准及不确定性分析，结合敏感性与多情景模拟优化灌溉制度，为提高农业用水效率、保障作物产量提供依据。</w:t>
            </w:r>
          </w:p>
        </w:tc>
      </w:tr>
    </w:tbl>
    <w:p>
      <w:pPr>
        <w:keepNext w:val="0"/>
        <w:widowControl/>
        <w:spacing w:before="0" w:after="0" w:line="275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基本信息据立项材料；项目编号与成员分工据项目组补充说明。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444444"/>
          <w:left w:val="single" w:sz="5" w:color="444444"/>
          <w:bottom w:val="single" w:sz="5" w:color="444444"/>
          <w:right w:val="single" w:sz="5" w:color="444444"/>
          <w:insideH w:val="single" w:sz="5" w:color="444444"/>
          <w:insideV w:val="single" w:sz="5" w:color="444444"/>
        </w:tblBorders>
      </w:tblPr>
      <w:tblGrid>
        <w:gridCol w:w="9468"/>
      </w:tblGrid>
      <w:tr>
        <w:tc>
          <w:tcPr>
            <w:tcW w:type="dxa" w:w="9468"/>
            <w:vAlign w:val="center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widowControl/>
              <w:spacing w:before="0" w:after="0" w:line="4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999999"/>
                <w:left w:val="single" w:sz="4" w:color="999999"/>
                <w:bottom w:val="single" w:sz="4" w:color="999999"/>
                <w:right w:val="single" w:sz="4" w:color="999999"/>
                <w:insideH w:val="single" w:sz="4" w:color="999999"/>
                <w:insideV w:val="single" w:sz="4" w:color="999999"/>
              </w:tblBorders>
            </w:tblPr>
            <w:tblGrid>
              <w:gridCol w:w="1757"/>
              <w:gridCol w:w="2324"/>
              <w:gridCol w:w="4706"/>
            </w:tblGrid>
            <w:tr>
              <w:trPr>
                <w:trHeight w:hRule="atLeast" w:val="425"/>
              </w:trPr>
              <w:tc>
                <w:tcPr>
                  <w:tcW w:type="dxa" w:w="175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项目组成员</w:t>
                  </w:r>
                </w:p>
              </w:tc>
              <w:tc>
                <w:tcPr>
                  <w:tcW w:type="dxa" w:w="232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具体分工</w:t>
                  </w:r>
                </w:p>
              </w:tc>
              <w:tc>
                <w:tcPr>
                  <w:tcW w:type="dxa" w:w="4706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个人完成情况及对项目的贡献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175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吴雨臻（组长）</w:t>
                  </w:r>
                </w:p>
              </w:tc>
              <w:tc>
                <w:tcPr>
                  <w:tcW w:type="dxa" w:w="232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统筹、核心模型与结果解释</w:t>
                  </w:r>
                </w:p>
              </w:tc>
              <w:tc>
                <w:tcPr>
                  <w:tcW w:type="dxa" w:w="4706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统筹四年研究路线，组织MCMC复核、敏感性与五生育期逐次灌水优化，归纳储水机制与实施条件，完成核心论证及成果整合。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175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李承昊</w:t>
                  </w:r>
                </w:p>
              </w:tc>
              <w:tc>
                <w:tcPr>
                  <w:tcW w:type="dxa" w:w="232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数据处理、评价与图表</w:t>
                  </w:r>
                </w:p>
              </w:tc>
              <w:tc>
                <w:tcPr>
                  <w:tcW w:type="dxa" w:w="4706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整理气象、遥感、CC和生物量配对，协助逐日水量及逐次日程核对，制作英文图表和数据工作簿，支持论文及报告完善。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175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段璞</w:t>
                  </w:r>
                </w:p>
              </w:tc>
              <w:tc>
                <w:tcPr>
                  <w:tcW w:type="dxa" w:w="232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文献、归档与校对</w:t>
                  </w:r>
                </w:p>
              </w:tc>
              <w:tc>
                <w:tcPr>
                  <w:tcW w:type="dxa" w:w="4706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核对文献、试验生育期及土壤资料，整理科研阶段索引、原始代码与结果记录，参与中英文稿、报告和归档校对。</w:t>
                  </w:r>
                </w:p>
              </w:tc>
            </w:tr>
          </w:tbl>
          <w:p/>
          <w:p>
            <w:pPr>
              <w:keepNext w:val="0"/>
              <w:widowControl/>
              <w:spacing w:before="0" w:after="120" w:line="275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9"/>
              </w:rPr>
              <w:t>成员围绕模型分析、数据可视化和资料整理协作推进，下述为项目整体进展。</w:t>
            </w:r>
          </w:p>
          <w:p>
            <w:pPr>
              <w:keepNext/>
              <w:widowControl/>
              <w:spacing w:before="40" w:after="160" w:line="362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5"/>
              </w:rPr>
              <w:t>一、项目研究进展情况（研究内容、方法、进度等）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1. 资料与模型基础。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围绕立项灌溉制度优化目标，聚焦甘肃武威2019—2022年膜下滴灌玉米，贯通气象、审计ETo、遥感辅助CC、LAI换算CC、初始水、灌水、生物量及产量资料，四年模型均可调用并复现基准。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2. 分阶段校准及原链诊断。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完成四年两阶段MCMC成果接入与复核，阶段一为5个冠层/耗水参数，阶段二为3个生产参数。原每组32 walkers、2000步，共16组阶段一和4组阶段二；已检查时间结构、边界邻近集中和中心稳定性，另保存2021短时续链及根深/覆膜条件试验。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3. 真实模型Sobol分析。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完成八参数六输出、三个随机化序列及N128—N512递增分析，N512主结果61440次模型评估，完成年度排序与数值区间检查。产量主要敏感参数为晚期WP、HI0、早期WP及Kcb。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4. 五生育期逐次灌水优化。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依据文献划分苗期、拔节期、抽穗期、灌浆期、成熟期，各期最多3个可选事件，同时优化15个水量与15个日期。四年NSGA-III/II正式及全范围补充搜索均已完成，保存457596条目标查询、455505次搜索内实际模型调用、每代种群和逐次日程。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5. 机制分析与成果整合。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完成根深、覆膜、降水替换、储水与水量审计及原控制空间单目标求解器验证。现已统一五期论文、图表与中期报告，中英文稿各15图、10张三线表，转入导师审阅、实施条件细化与结题表达。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444444"/>
          <w:left w:val="single" w:sz="5" w:color="444444"/>
          <w:bottom w:val="single" w:sz="5" w:color="444444"/>
          <w:right w:val="single" w:sz="5" w:color="444444"/>
          <w:insideH w:val="single" w:sz="5" w:color="444444"/>
          <w:insideV w:val="single" w:sz="5" w:color="444444"/>
        </w:tblBorders>
      </w:tblPr>
      <w:tblGrid>
        <w:gridCol w:w="9468"/>
      </w:tblGrid>
      <w:tr>
        <w:tc>
          <w:tcPr>
            <w:tcW w:type="dxa" w:w="9468"/>
            <w:vAlign w:val="center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widowControl/>
              <w:spacing w:before="0" w:after="0" w:line="4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"/>
              </w:rPr>
            </w:r>
          </w:p>
          <w:p>
            <w:pPr>
              <w:keepNext/>
              <w:widowControl/>
              <w:spacing w:before="40" w:after="160" w:line="362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5"/>
              </w:rPr>
              <w:t>二、项目研究已取得阶段性成果和收获（须提供相关证明材料）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1. 形成四年可追溯校准结果。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48个CC和37个生物量配对可追溯。CC的R²cal为0.9306—0.9932，生物量为0.9685—0.9966；年度产量偏差−4.18%至+0.92%。原链诊断与参数中心分别归档，明确模型过程拟合和分布采样精度的评价口径。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2. 获得年度敏感性规律。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共同独立范围下，产量ST四年均值为晚期WP 0.396、HI0 0.206、早期WP 0.164、Kcb 0.145；年度平均排序稳定，保留逐年幅度与数值区间。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3. 获得五期候选及逐次日程。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95%观测产量门槛下，四年主候选为209.83、306.50、264.50、257.47 mm，对应产量15.725、16.427、15.068、13.390 t/ha，减灌36.40%—58.25%。每期合计、每次日期与水量均已导出，两种遗传算法最低水量差0.03—1.47 mm。</w:t>
            </w:r>
          </w:p>
          <w:p>
            <w:pPr>
              <w:widowControl/>
              <w:spacing w:before="0" w:after="12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2"/>
              </w:rPr>
              <w:t xml:space="preserve">4. 明确水量组成并完成整合。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ET下降1.89%—5.98%，季末储水差解释81.09%—96.72%的减灌量。2021年少灌368.97 mm中ET仅少11.46 mm，储水差356.85 mm。完整方程回放及全部查询检查通过，形成中英文论文、英文图件、逐次日程、工作簿及分阶段科研包。</w:t>
            </w:r>
          </w:p>
          <w:p>
            <w:pPr>
              <w:keepNext/>
              <w:widowControl/>
              <w:spacing w:before="40" w:after="160" w:line="319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2"/>
              </w:rPr>
              <w:t>表1  四年校准拟合指标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999999"/>
                <w:left w:val="single" w:sz="4" w:color="999999"/>
                <w:bottom w:val="single" w:sz="4" w:color="999999"/>
                <w:right w:val="single" w:sz="4" w:color="999999"/>
                <w:insideH w:val="single" w:sz="4" w:color="999999"/>
                <w:insideV w:val="single" w:sz="4" w:color="999999"/>
              </w:tblBorders>
            </w:tblPr>
            <w:tblGrid>
              <w:gridCol w:w="737"/>
              <w:gridCol w:w="1020"/>
              <w:gridCol w:w="1134"/>
              <w:gridCol w:w="1191"/>
              <w:gridCol w:w="1191"/>
              <w:gridCol w:w="1417"/>
              <w:gridCol w:w="1191"/>
            </w:tblGrid>
            <w:tr>
              <w:trPr>
                <w:trHeight w:hRule="atLeast" w:val="425"/>
              </w:trPr>
              <w:tc>
                <w:tcPr>
                  <w:tcW w:type="dxa" w:w="73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年份</w:t>
                  </w:r>
                </w:p>
              </w:tc>
              <w:tc>
                <w:tcPr>
                  <w:tcW w:type="dxa" w:w="1020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配对数</w:t>
                    <w:br/>
                    <w:t>CC/B</w:t>
                  </w:r>
                </w:p>
              </w:tc>
              <w:tc>
                <w:tcPr>
                  <w:tcW w:type="dxa" w:w="113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CC</w:t>
                    <w:br/>
                    <w:t>R²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CC</w:t>
                    <w:br/>
                    <w:t>RMSE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生物量</w:t>
                    <w:br/>
                    <w:t>R²</w:t>
                  </w:r>
                </w:p>
              </w:tc>
              <w:tc>
                <w:tcPr>
                  <w:tcW w:type="dxa" w:w="141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生物量</w:t>
                    <w:br/>
                    <w:t>RMSE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产量</w:t>
                    <w:br/>
                    <w:t>误差%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73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2019</w:t>
                  </w:r>
                </w:p>
              </w:tc>
              <w:tc>
                <w:tcPr>
                  <w:tcW w:type="dxa" w:w="1020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12/9</w:t>
                  </w:r>
                </w:p>
              </w:tc>
              <w:tc>
                <w:tcPr>
                  <w:tcW w:type="dxa" w:w="113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0.9932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0.0316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0.9926</w:t>
                  </w:r>
                </w:p>
              </w:tc>
              <w:tc>
                <w:tcPr>
                  <w:tcW w:type="dxa" w:w="141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1.0498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+0.92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73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2020</w:t>
                  </w:r>
                </w:p>
              </w:tc>
              <w:tc>
                <w:tcPr>
                  <w:tcW w:type="dxa" w:w="1020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13/10</w:t>
                  </w:r>
                </w:p>
              </w:tc>
              <w:tc>
                <w:tcPr>
                  <w:tcW w:type="dxa" w:w="113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0.9794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0.0482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0.9766</w:t>
                  </w:r>
                </w:p>
              </w:tc>
              <w:tc>
                <w:tcPr>
                  <w:tcW w:type="dxa" w:w="141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1.1393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-2.81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73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2021</w:t>
                  </w:r>
                </w:p>
              </w:tc>
              <w:tc>
                <w:tcPr>
                  <w:tcW w:type="dxa" w:w="1020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11/8</w:t>
                  </w:r>
                </w:p>
              </w:tc>
              <w:tc>
                <w:tcPr>
                  <w:tcW w:type="dxa" w:w="113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0.9902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0.0370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0.9685</w:t>
                  </w:r>
                </w:p>
              </w:tc>
              <w:tc>
                <w:tcPr>
                  <w:tcW w:type="dxa" w:w="141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1.2520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-4.18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73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2022</w:t>
                  </w:r>
                </w:p>
              </w:tc>
              <w:tc>
                <w:tcPr>
                  <w:tcW w:type="dxa" w:w="1020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12/10</w:t>
                  </w:r>
                </w:p>
              </w:tc>
              <w:tc>
                <w:tcPr>
                  <w:tcW w:type="dxa" w:w="113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0.9306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0.0596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0.9966</w:t>
                  </w:r>
                </w:p>
              </w:tc>
              <w:tc>
                <w:tcPr>
                  <w:tcW w:type="dxa" w:w="141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0.5562</w:t>
                  </w:r>
                </w:p>
              </w:tc>
              <w:tc>
                <w:tcPr>
                  <w:tcW w:type="dxa" w:w="1191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-0.02</w:t>
                  </w:r>
                </w:p>
              </w:tc>
            </w:tr>
          </w:tbl>
          <w:p/>
          <w:p>
            <w:pPr>
              <w:keepNext w:val="0"/>
              <w:widowControl/>
              <w:spacing w:before="0" w:after="140" w:line="275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9"/>
              </w:rPr>
              <w:t>注：B为地上干生物量；CC为比例，生物量RMSE单位为t/ha。R²=1−SSE/SST；产量统一为13%含水率，误差=(模拟−观测)/观测×100%。单年仅一个产量配对，不计算单年产量R²。</w:t>
            </w:r>
          </w:p>
          <w:p>
            <w:pPr>
              <w:keepNext/>
              <w:widowControl/>
              <w:spacing w:before="40" w:after="160" w:line="319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2"/>
              </w:rPr>
              <w:t>证明材料对应关系</w:t>
            </w:r>
          </w:p>
          <w:p>
            <w:pPr>
              <w:keepNext w:val="0"/>
              <w:widowControl/>
              <w:spacing w:before="0" w:after="100" w:line="304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附件1—6展示四年CC、生物量、Sobol、五期前沿、逐次灌水及水量来源。论文图表、逐代种群、逐次查询、日程与日水量账均在本版分阶段归档及统一索引中提供。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444444"/>
          <w:left w:val="single" w:sz="5" w:color="444444"/>
          <w:bottom w:val="single" w:sz="5" w:color="444444"/>
          <w:right w:val="single" w:sz="5" w:color="444444"/>
          <w:insideH w:val="single" w:sz="5" w:color="444444"/>
          <w:insideV w:val="single" w:sz="5" w:color="444444"/>
        </w:tblBorders>
      </w:tblPr>
      <w:tblGrid>
        <w:gridCol w:w="9468"/>
      </w:tblGrid>
      <w:tr>
        <w:tc>
          <w:tcPr>
            <w:tcW w:type="dxa" w:w="9468"/>
            <w:vAlign w:val="center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widowControl/>
              <w:spacing w:before="0" w:after="0" w:line="4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"/>
              </w:rPr>
            </w:r>
          </w:p>
          <w:p>
            <w:pPr>
              <w:keepNext/>
              <w:widowControl/>
              <w:spacing w:before="40" w:after="160" w:line="362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5"/>
              </w:rPr>
              <w:t>三、项目研究存在的主要问题及应对思路与措施</w:t>
            </w:r>
          </w:p>
          <w:p>
            <w:pPr>
              <w:widowControl/>
              <w:spacing w:before="0" w:after="120" w:line="31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1"/>
              </w:rPr>
              <w:t xml:space="preserve">1. 参数分布采样精度。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原阶段一最差R̂约1.122—1.181，最小组bulk ESS约17.79—25.34，中心对截取较稳定。现阶段按原保留均值开展确定性计算；后续结合可辨识性、独立初始化和误差尺度补强分布精度。</w:t>
            </w:r>
          </w:p>
          <w:p>
            <w:pPr>
              <w:widowControl/>
              <w:spacing w:before="0" w:after="120" w:line="31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1"/>
              </w:rPr>
              <w:t xml:space="preserve">2. 季末储水与设备条件。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本轮目标中未额外加入季末储水底线、设备单次能力、最小事件水量与间隔。2022候选最大单次181.31 mm，高于原85.85 mm；已单列核对，后续依据田间设备与水分资料细化实施方案。</w:t>
            </w:r>
          </w:p>
          <w:p>
            <w:pPr>
              <w:widowControl/>
              <w:spacing w:before="0" w:after="120" w:line="31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1"/>
              </w:rPr>
              <w:t xml:space="preserve">3. 资料与结构依据。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保留土壤实测1 m与模拟2.4 m剖面的区别；补充原始站点日雨量、分层水分与蒸散分量证据，联合评估初值、覆膜与根系设定。</w:t>
            </w:r>
          </w:p>
          <w:p>
            <w:pPr>
              <w:widowControl/>
              <w:spacing w:before="0" w:after="120" w:line="31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/>
                <w:color w:val="000000"/>
                <w:sz w:val="21"/>
              </w:rPr>
              <w:t xml:space="preserve">4. 成果范围与后续表达。 </w:t>
            </w: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当前成果集中于DI玉米的模型校准、敏感性、优化与诊断。与导师核定结题范围，完善论文审阅、数据引用及阶段报告；已完成计算与论文发表、田间试验等成果类型分别统计。</w:t>
            </w:r>
          </w:p>
          <w:p>
            <w:pPr>
              <w:keepNext/>
              <w:widowControl/>
              <w:spacing w:before="40" w:after="160" w:line="362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5"/>
              </w:rPr>
              <w:t>四、项目研究下阶段主要任务及时间进程安排</w:t>
            </w:r>
          </w:p>
          <w:p>
            <w:pPr>
              <w:keepNext w:val="0"/>
              <w:widowControl/>
              <w:spacing w:before="0" w:after="120" w:line="304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主要计算模块已完成，以下安排侧重证据补强、导师审阅、实施条件细化及结题表达，按学校节点核定。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999999"/>
                <w:left w:val="single" w:sz="4" w:color="999999"/>
                <w:bottom w:val="single" w:sz="4" w:color="999999"/>
                <w:right w:val="single" w:sz="4" w:color="999999"/>
                <w:insideH w:val="single" w:sz="4" w:color="999999"/>
                <w:insideV w:val="single" w:sz="4" w:color="999999"/>
              </w:tblBorders>
            </w:tblPr>
            <w:tblGrid>
              <w:gridCol w:w="1247"/>
              <w:gridCol w:w="4252"/>
              <w:gridCol w:w="3288"/>
            </w:tblGrid>
            <w:tr>
              <w:trPr>
                <w:trHeight w:hRule="atLeast" w:val="425"/>
              </w:trPr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相对进程</w:t>
                  </w:r>
                </w:p>
              </w:tc>
              <w:tc>
                <w:tcPr>
                  <w:tcW w:type="dxa" w:w="425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主要任务</w:t>
                  </w:r>
                </w:p>
              </w:tc>
              <w:tc>
                <w:tcPr>
                  <w:tcW w:type="dxa" w:w="3288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交付与检查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10月下旬</w:t>
                  </w:r>
                </w:p>
              </w:tc>
              <w:tc>
                <w:tcPr>
                  <w:tcW w:type="dxa" w:w="425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完成五期结果、图表、引文与阶段归档交叉核对，提交导师审阅。</w:t>
                  </w:r>
                </w:p>
              </w:tc>
              <w:tc>
                <w:tcPr>
                  <w:tcW w:type="dxa" w:w="3288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统一版本的中英文稿、中期报告和数据索引。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11月上中旬</w:t>
                  </w:r>
                </w:p>
              </w:tc>
              <w:tc>
                <w:tcPr>
                  <w:tcW w:type="dxa" w:w="425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结合分层水分与设备信息讨论季末储水、单次能力和间隔约束。</w:t>
                  </w:r>
                </w:p>
              </w:tc>
              <w:tc>
                <w:tcPr>
                  <w:tcW w:type="dxa" w:w="3288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实施条件核对表及必要补充分析方案。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11月下旬</w:t>
                  </w:r>
                </w:p>
              </w:tc>
              <w:tc>
                <w:tcPr>
                  <w:tcW w:type="dxa" w:w="425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完善采样精度和误差解释，按导师意见修订正文及补充资料。</w:t>
                  </w:r>
                </w:p>
              </w:tc>
              <w:tc>
                <w:tcPr>
                  <w:tcW w:type="dxa" w:w="3288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修订稿、逐图解析和方法说明。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12月</w:t>
                  </w:r>
                </w:p>
              </w:tc>
              <w:tc>
                <w:tcPr>
                  <w:tcW w:type="dxa" w:w="425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按学校节点完成结题、答辩和科研材料交接。</w:t>
                  </w:r>
                </w:p>
              </w:tc>
              <w:tc>
                <w:tcPr>
                  <w:tcW w:type="dxa" w:w="3288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left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结题文稿、展示图表及完整归档。</w:t>
                  </w:r>
                </w:p>
              </w:tc>
            </w:tr>
          </w:tbl>
          <w:p/>
          <w:p>
            <w:pPr>
              <w:keepNext w:val="0"/>
              <w:widowControl/>
              <w:spacing w:before="0" w:after="100" w:line="29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0"/>
              </w:rPr>
              <w:t>四年真实模型、敏感性及五期优化均已完成；后续以设备能力、墒情与季末储水要求细化实施方案。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444444"/>
          <w:left w:val="single" w:sz="5" w:color="444444"/>
          <w:bottom w:val="single" w:sz="5" w:color="444444"/>
          <w:right w:val="single" w:sz="5" w:color="444444"/>
          <w:insideH w:val="single" w:sz="5" w:color="444444"/>
          <w:insideV w:val="single" w:sz="5" w:color="444444"/>
        </w:tblBorders>
      </w:tblPr>
      <w:tblGrid>
        <w:gridCol w:w="9468"/>
      </w:tblGrid>
      <w:tr>
        <w:tc>
          <w:tcPr>
            <w:tcW w:type="dxa" w:w="9468"/>
            <w:vAlign w:val="center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widowControl/>
              <w:spacing w:before="0" w:after="0" w:line="40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"/>
              </w:rPr>
            </w:r>
          </w:p>
          <w:p>
            <w:pPr>
              <w:keepNext/>
              <w:widowControl/>
              <w:spacing w:before="40" w:after="160" w:line="362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5"/>
              </w:rPr>
              <w:t>五、项目经费使用情况</w:t>
            </w:r>
          </w:p>
          <w:p>
            <w:pPr>
              <w:keepNext w:val="0"/>
              <w:widowControl/>
              <w:spacing w:before="0" w:after="16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申请预算5000元；已报销经费：____________元。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999999"/>
                <w:left w:val="single" w:sz="4" w:color="999999"/>
                <w:bottom w:val="single" w:sz="4" w:color="999999"/>
                <w:right w:val="single" w:sz="4" w:color="999999"/>
                <w:insideH w:val="single" w:sz="4" w:color="999999"/>
                <w:insideV w:val="single" w:sz="4" w:color="999999"/>
              </w:tblBorders>
            </w:tblPr>
            <w:tblGrid>
              <w:gridCol w:w="3572"/>
              <w:gridCol w:w="1247"/>
              <w:gridCol w:w="1814"/>
              <w:gridCol w:w="2154"/>
            </w:tblGrid>
            <w:tr>
              <w:trPr>
                <w:trHeight w:hRule="atLeast" w:val="425"/>
              </w:trPr>
              <w:tc>
                <w:tcPr>
                  <w:tcW w:type="dxa" w:w="357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申请预算科目</w:t>
                  </w:r>
                </w:p>
              </w:tc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预算（元）</w:t>
                  </w:r>
                </w:p>
              </w:tc>
              <w:tc>
                <w:tcPr>
                  <w:tcW w:type="dxa" w:w="181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实际报销（元）</w:t>
                  </w:r>
                </w:p>
              </w:tc>
              <w:tc>
                <w:tcPr>
                  <w:tcW w:type="dxa" w:w="215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  <w:shd w:fill="EEF2F4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000000"/>
                      <w:sz w:val="20"/>
                    </w:rPr>
                    <w:t>凭证/日期</w:t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357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文献检索与资料费</w:t>
                  </w:r>
                </w:p>
              </w:tc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500</w:t>
                  </w:r>
                </w:p>
              </w:tc>
              <w:tc>
                <w:tcPr>
                  <w:tcW w:type="dxa" w:w="181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  <w:tc>
                <w:tcPr>
                  <w:tcW w:type="dxa" w:w="215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357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遥感数据获取及处理费</w:t>
                  </w:r>
                </w:p>
              </w:tc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2000</w:t>
                  </w:r>
                </w:p>
              </w:tc>
              <w:tc>
                <w:tcPr>
                  <w:tcW w:type="dxa" w:w="181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  <w:tc>
                <w:tcPr>
                  <w:tcW w:type="dxa" w:w="215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357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数据存储与打印耗材费</w:t>
                  </w:r>
                </w:p>
              </w:tc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800</w:t>
                  </w:r>
                </w:p>
              </w:tc>
              <w:tc>
                <w:tcPr>
                  <w:tcW w:type="dxa" w:w="181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  <w:tc>
                <w:tcPr>
                  <w:tcW w:type="dxa" w:w="215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357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实地考察与调研费</w:t>
                  </w:r>
                </w:p>
              </w:tc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1200</w:t>
                  </w:r>
                </w:p>
              </w:tc>
              <w:tc>
                <w:tcPr>
                  <w:tcW w:type="dxa" w:w="181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  <w:tc>
                <w:tcPr>
                  <w:tcW w:type="dxa" w:w="215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357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成果整理及论文发表辅助费</w:t>
                  </w:r>
                </w:p>
              </w:tc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500</w:t>
                  </w:r>
                </w:p>
              </w:tc>
              <w:tc>
                <w:tcPr>
                  <w:tcW w:type="dxa" w:w="181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  <w:tc>
                <w:tcPr>
                  <w:tcW w:type="dxa" w:w="215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</w:tr>
            <w:tr>
              <w:trPr>
                <w:trHeight w:hRule="atLeast" w:val="425"/>
              </w:trPr>
              <w:tc>
                <w:tcPr>
                  <w:tcW w:type="dxa" w:w="3572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合计</w:t>
                  </w:r>
                </w:p>
              </w:tc>
              <w:tc>
                <w:tcPr>
                  <w:tcW w:type="dxa" w:w="1247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  <w:t>5000</w:t>
                  </w:r>
                </w:p>
              </w:tc>
              <w:tc>
                <w:tcPr>
                  <w:tcW w:type="dxa" w:w="181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  <w:tc>
                <w:tcPr>
                  <w:tcW w:type="dxa" w:w="2154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vAlign w:val="center"/>
                </w:tcPr>
                <w:p>
                  <w:pPr>
                    <w:widowControl/>
                    <w:spacing w:before="0" w:after="40" w:line="290" w:lineRule="exact"/>
                    <w:ind w:left="0" w:right="0" w:firstLine="0"/>
                    <w:snapToGrid w:val="false"/>
                    <w:jc w:val="center"/>
                  </w:pPr>
                  <w:r>
                    <w:rPr>
                      <w:rFonts w:ascii="Noto Serif CJK SC" w:hAnsi="Noto Serif CJK SC" w:eastAsia="Noto Serif CJK SC" w:cs="Noto Serif CJK SC"/>
                      <w:b w:val="0"/>
                      <w:color w:val="000000"/>
                      <w:sz w:val="20"/>
                    </w:rPr>
                  </w:r>
                </w:p>
              </w:tc>
            </w:tr>
          </w:tbl>
          <w:p/>
          <w:p>
            <w:pPr>
              <w:keepNext w:val="0"/>
              <w:widowControl/>
              <w:spacing w:before="0" w:after="120" w:line="275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9"/>
              </w:rPr>
              <w:t>注：预算据立项申请书，不代表核定经费或已发生支出；实际使用清单请依财务凭证核对。</w:t>
            </w:r>
          </w:p>
          <w:p>
            <w:pPr>
              <w:keepNext/>
              <w:widowControl/>
              <w:spacing w:before="40" w:after="160" w:line="362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5"/>
              </w:rPr>
              <w:t>六、指导教师意见</w:t>
            </w:r>
          </w:p>
          <w:p>
            <w:pPr>
              <w:keepNext w:val="0"/>
              <w:widowControl/>
              <w:spacing w:before="0" w:after="100" w:line="304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1"/>
              </w:rPr>
              <w:t>（从研究内容和进展、阶段性成果、存在问题和建议等加以评价）</w:t>
            </w:r>
          </w:p>
          <w:p>
            <w:pPr>
              <w:keepNext w:val="0"/>
              <w:widowControl/>
              <w:spacing w:before="0" w:after="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【请指导教师本人填写意见并签名】</w:t>
            </w:r>
          </w:p>
          <w:p>
            <w:pPr>
              <w:keepNext w:val="0"/>
              <w:widowControl/>
              <w:spacing w:before="0" w:after="70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</w:r>
          </w:p>
          <w:p>
            <w:pPr>
              <w:keepNext w:val="0"/>
              <w:widowControl/>
              <w:spacing w:before="0" w:after="360" w:line="319" w:lineRule="exact"/>
              <w:ind w:left="0" w:right="0" w:firstLine="0"/>
              <w:snapToGrid w:val="false"/>
              <w:jc w:val="right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签名：________________        年    月    日</w:t>
            </w:r>
          </w:p>
          <w:p>
            <w:pPr>
              <w:keepNext/>
              <w:widowControl/>
              <w:spacing w:before="40" w:after="160" w:line="362" w:lineRule="exact"/>
              <w:ind w:left="0" w:right="0" w:firstLine="0"/>
              <w:snapToGrid w:val="false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5"/>
              </w:rPr>
              <w:t>七、专家组意见</w:t>
            </w:r>
          </w:p>
          <w:p>
            <w:pPr>
              <w:keepNext w:val="0"/>
              <w:widowControl/>
              <w:spacing w:before="0" w:after="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【请专家组填写意见并签名】</w:t>
            </w:r>
          </w:p>
          <w:p>
            <w:pPr>
              <w:keepNext w:val="0"/>
              <w:widowControl/>
              <w:spacing w:before="0" w:after="700" w:line="319" w:lineRule="exact"/>
              <w:ind w:left="0" w:right="0" w:firstLine="0"/>
              <w:snapToGrid w:val="false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</w:r>
          </w:p>
          <w:p>
            <w:pPr>
              <w:keepNext w:val="0"/>
              <w:widowControl/>
              <w:spacing w:before="0" w:after="240" w:line="319" w:lineRule="exact"/>
              <w:ind w:left="0" w:right="0" w:firstLine="0"/>
              <w:snapToGrid w:val="false"/>
              <w:jc w:val="right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专家组成员签名：________________</w:t>
            </w:r>
          </w:p>
          <w:p>
            <w:pPr>
              <w:keepNext w:val="0"/>
              <w:widowControl/>
              <w:spacing w:before="0" w:after="100" w:line="319" w:lineRule="exact"/>
              <w:ind w:left="0" w:right="0" w:firstLine="0"/>
              <w:snapToGrid w:val="false"/>
              <w:jc w:val="right"/>
            </w:pPr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22"/>
              </w:rPr>
              <w:t>年    月    日</w:t>
            </w:r>
          </w:p>
        </w:tc>
      </w:tr>
    </w:tbl>
    <w:p>
      <w:r>
        <w:br w:type="page"/>
      </w:r>
    </w:p>
    <w:p>
      <w:pPr>
        <w:keepNext/>
        <w:widowControl/>
        <w:spacing w:before="0" w:after="240" w:line="406" w:lineRule="exact"/>
        <w:ind w:left="0" w:right="0" w:firstLine="0"/>
        <w:snapToGrid w:val="false"/>
      </w:pPr>
      <w:r>
        <w:rPr>
          <w:rFonts w:ascii="Noto Sans CJK SC" w:hAnsi="Noto Sans CJK SC" w:eastAsia="Noto Sans CJK SC" w:cs="Noto Sans CJK SC"/>
          <w:b/>
          <w:color w:val="000000"/>
          <w:sz w:val="28"/>
        </w:rPr>
        <w:t>附件1  四年冠层覆盖度校准过程</w:t>
      </w:r>
    </w:p>
    <w:p>
      <w:pPr>
        <w:keepNext/>
        <w:widowControl/>
        <w:spacing w:before="0" w:after="120" w:line="240" w:lineRule="auto"/>
        <w:ind w:left="0" w:right="0" w:firstLine="0"/>
        <w:snapToGrid w:val="false"/>
        <w:jc w:val="center"/>
      </w:pPr>
      <w:r>
        <w:drawing>
          <wp:inline xmlns:a="http://schemas.openxmlformats.org/drawingml/2006/main">
            <wp:extent cx="5940000" cy="37689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dterm_CC_four_yea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200" w:line="304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图1  实线为模型逐日输出，空心点为用于校准的田间LAI换算CC。各面板采用相同坐标范围；2019蓝、2020橙、2021绿、2022紫。R²及RMSE据全部校准配对复算。</w:t>
      </w:r>
    </w:p>
    <w:p>
      <w:pPr>
        <w:keepNext w:val="0"/>
        <w:widowControl/>
        <w:spacing w:before="0" w:after="200" w:line="304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证据口径：四年原模型中心与源数据均已核对，本图报告校准配对及均值轨迹；采样精度由独立诊断另行量化。</w:t>
      </w:r>
    </w:p>
    <w:p>
      <w:pPr>
        <w:keepNext/>
        <w:widowControl/>
        <w:spacing w:before="40" w:after="160" w:line="319" w:lineRule="exact"/>
        <w:ind w:left="0" w:right="0" w:firstLine="0"/>
        <w:snapToGrid w:val="false"/>
      </w:pPr>
      <w:r>
        <w:rPr>
          <w:rFonts w:ascii="Noto Sans CJK SC" w:hAnsi="Noto Sans CJK SC" w:eastAsia="Noto Sans CJK SC" w:cs="Noto Sans CJK SC"/>
          <w:b/>
          <w:color w:val="000000"/>
          <w:sz w:val="22"/>
        </w:rPr>
        <w:t>来源与检查</w:t>
      </w:r>
    </w:p>
    <w:p>
      <w:pPr>
        <w:keepNext w:val="0"/>
        <w:widowControl/>
        <w:spacing w:before="0" w:after="100" w:line="319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2"/>
        </w:rPr>
        <w:t>四年48个CC配对均有对应日期的模型输出，图件含全部年度。数据来源与数值见本版工作簿及年度模型档案。</w:t>
      </w:r>
    </w:p>
    <w:p>
      <w:r>
        <w:br w:type="page"/>
      </w:r>
    </w:p>
    <w:p>
      <w:pPr>
        <w:keepNext/>
        <w:widowControl/>
        <w:spacing w:before="0" w:after="240" w:line="406" w:lineRule="exact"/>
        <w:ind w:left="0" w:right="0" w:firstLine="0"/>
        <w:snapToGrid w:val="false"/>
      </w:pPr>
      <w:r>
        <w:rPr>
          <w:rFonts w:ascii="Noto Sans CJK SC" w:hAnsi="Noto Sans CJK SC" w:eastAsia="Noto Sans CJK SC" w:cs="Noto Sans CJK SC"/>
          <w:b/>
          <w:color w:val="000000"/>
          <w:sz w:val="28"/>
        </w:rPr>
        <w:t>附件2  四年地上干生物量校准过程</w:t>
      </w:r>
    </w:p>
    <w:p>
      <w:pPr>
        <w:keepNext/>
        <w:widowControl/>
        <w:spacing w:before="0" w:after="120" w:line="240" w:lineRule="auto"/>
        <w:ind w:left="0" w:right="0" w:firstLine="0"/>
        <w:snapToGrid w:val="false"/>
        <w:jc w:val="center"/>
      </w:pPr>
      <w:r>
        <w:drawing>
          <wp:inline xmlns:a="http://schemas.openxmlformats.org/drawingml/2006/main">
            <wp:extent cx="5940000" cy="3885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dterm_biomass_four_ye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5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200" w:line="304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图2  四年观测与模拟生物量散点，虚线为1:1关系；单位为t/ha，R²cal与RMSE按全部37个配对计算。</w:t>
      </w:r>
    </w:p>
    <w:p>
      <w:pPr>
        <w:keepNext w:val="0"/>
        <w:widowControl/>
        <w:spacing w:before="0" w:after="200" w:line="304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证据口径：四年原模型中心与源数据均已核对，本图报告校准配对及均值轨迹；采样精度由独立诊断另行量化。</w:t>
      </w:r>
    </w:p>
    <w:p>
      <w:pPr>
        <w:keepNext/>
        <w:widowControl/>
        <w:spacing w:before="40" w:after="160" w:line="319" w:lineRule="exact"/>
        <w:ind w:left="0" w:right="0" w:firstLine="0"/>
        <w:snapToGrid w:val="false"/>
      </w:pPr>
      <w:r>
        <w:rPr>
          <w:rFonts w:ascii="Noto Sans CJK SC" w:hAnsi="Noto Sans CJK SC" w:eastAsia="Noto Sans CJK SC" w:cs="Noto Sans CJK SC"/>
          <w:b/>
          <w:color w:val="000000"/>
          <w:sz w:val="22"/>
        </w:rPr>
        <w:t>生物量评价与后续分析</w:t>
      </w:r>
    </w:p>
    <w:p>
      <w:pPr>
        <w:keepNext w:val="0"/>
        <w:widowControl/>
        <w:spacing w:before="0" w:after="100" w:line="319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2"/>
        </w:rPr>
        <w:t>四年37个生物量配对描述主要生长过程。正式Sobol、五期逐次日程优化与水量核算均已完成，结果见后附英文图及中英文稿。</w:t>
      </w:r>
    </w:p>
    <w:p>
      <w:r>
        <w:br w:type="page"/>
      </w:r>
    </w:p>
    <w:p>
      <w:pPr>
        <w:keepNext/>
        <w:widowControl/>
        <w:spacing w:before="0" w:after="240" w:line="406" w:lineRule="exact"/>
        <w:ind w:left="0" w:right="0" w:firstLine="0"/>
        <w:snapToGrid w:val="false"/>
      </w:pPr>
      <w:r>
        <w:rPr>
          <w:rFonts w:ascii="Noto Sans CJK SC" w:hAnsi="Noto Sans CJK SC" w:eastAsia="Noto Sans CJK SC" w:cs="Noto Sans CJK SC"/>
          <w:b/>
          <w:color w:val="000000"/>
          <w:sz w:val="28"/>
        </w:rPr>
        <w:t>附件3  四年Sobol敏感性</w:t>
      </w:r>
    </w:p>
    <w:p>
      <w:pPr>
        <w:keepNext/>
        <w:widowControl/>
        <w:spacing w:before="0" w:after="120" w:line="240" w:lineRule="auto"/>
        <w:ind w:left="0" w:right="0" w:firstLine="0"/>
        <w:snapToGrid w:val="false"/>
        <w:jc w:val="center"/>
      </w:pPr>
      <w:r>
        <w:drawing>
          <wp:inline xmlns:a="http://schemas.openxmlformats.org/drawingml/2006/main">
            <wp:extent cx="5940000" cy="38901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Sobol_four_outputs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0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160" w:line="304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图3  三序列N512均值；四年使用共同独立参数范围，比较输出主导参数及年度稳定性。</w:t>
      </w:r>
    </w:p>
    <w:p>
      <w:r>
        <w:br w:type="page"/>
      </w:r>
    </w:p>
    <w:p>
      <w:pPr>
        <w:keepNext/>
        <w:widowControl/>
        <w:spacing w:before="0" w:after="240" w:line="406" w:lineRule="exact"/>
        <w:ind w:left="0" w:right="0" w:firstLine="0"/>
        <w:snapToGrid w:val="false"/>
      </w:pPr>
      <w:r>
        <w:rPr>
          <w:rFonts w:ascii="Noto Sans CJK SC" w:hAnsi="Noto Sans CJK SC" w:eastAsia="Noto Sans CJK SC" w:cs="Noto Sans CJK SC"/>
          <w:b/>
          <w:color w:val="000000"/>
          <w:sz w:val="28"/>
        </w:rPr>
        <w:t>附件4  五生育期帕累托前沿</w:t>
      </w:r>
    </w:p>
    <w:p>
      <w:pPr>
        <w:keepNext/>
        <w:widowControl/>
        <w:spacing w:before="0" w:after="120" w:line="240" w:lineRule="auto"/>
        <w:ind w:left="0" w:right="0" w:firstLine="0"/>
        <w:snapToGrid w:val="false"/>
        <w:jc w:val="center"/>
      </w:pPr>
      <w:r>
        <w:drawing>
          <wp:inline xmlns:a="http://schemas.openxmlformats.org/drawingml/2006/main">
            <wp:extent cx="5940000" cy="39313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Five_stage_Pareto_fronts_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3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160" w:line="304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图4  五期各最多3个可选事件；括号为五期实际水量合计，空心圈为正式95%观测产量候选。</w:t>
      </w:r>
    </w:p>
    <w:p>
      <w:r>
        <w:br w:type="page"/>
      </w:r>
    </w:p>
    <w:p>
      <w:pPr>
        <w:keepNext/>
        <w:widowControl/>
        <w:spacing w:before="0" w:after="240" w:line="406" w:lineRule="exact"/>
        <w:ind w:left="0" w:right="0" w:firstLine="0"/>
        <w:snapToGrid w:val="false"/>
      </w:pPr>
      <w:r>
        <w:rPr>
          <w:rFonts w:ascii="Noto Sans CJK SC" w:hAnsi="Noto Sans CJK SC" w:eastAsia="Noto Sans CJK SC" w:cs="Noto Sans CJK SC"/>
          <w:b/>
          <w:color w:val="000000"/>
          <w:sz w:val="28"/>
        </w:rPr>
        <w:t>附件5  优化后的每次灌水日期及水量</w:t>
      </w:r>
    </w:p>
    <w:p>
      <w:pPr>
        <w:keepNext/>
        <w:widowControl/>
        <w:spacing w:before="0" w:after="120" w:line="240" w:lineRule="auto"/>
        <w:ind w:left="0" w:right="0" w:firstLine="0"/>
        <w:snapToGrid w:val="false"/>
        <w:jc w:val="center"/>
      </w:pPr>
      <w:r>
        <w:drawing>
          <wp:inline xmlns:a="http://schemas.openxmlformats.org/drawingml/2006/main">
            <wp:extent cx="5940000" cy="36881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Optimized_event_calendar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160" w:line="304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图5  四年每次正水量事件；微量正数在源表保留。完整日程、五期合计及≥0.1 mm事件数见随附工作簿和逐次日程Word。</w:t>
      </w:r>
    </w:p>
    <w:p>
      <w:r>
        <w:br w:type="page"/>
      </w:r>
    </w:p>
    <w:p>
      <w:pPr>
        <w:keepNext/>
        <w:widowControl/>
        <w:spacing w:before="0" w:after="240" w:line="406" w:lineRule="exact"/>
        <w:ind w:left="0" w:right="0" w:firstLine="0"/>
        <w:snapToGrid w:val="false"/>
      </w:pPr>
      <w:r>
        <w:rPr>
          <w:rFonts w:ascii="Noto Sans CJK SC" w:hAnsi="Noto Sans CJK SC" w:eastAsia="Noto Sans CJK SC" w:cs="Noto Sans CJK SC"/>
          <w:b/>
          <w:color w:val="000000"/>
          <w:sz w:val="28"/>
        </w:rPr>
        <w:t>附件6  减灌水量来源</w:t>
      </w:r>
    </w:p>
    <w:p>
      <w:pPr>
        <w:keepNext/>
        <w:widowControl/>
        <w:spacing w:before="0" w:after="120" w:line="240" w:lineRule="auto"/>
        <w:ind w:left="0" w:right="0" w:firstLine="0"/>
        <w:snapToGrid w:val="false"/>
        <w:jc w:val="center"/>
      </w:pPr>
      <w:r>
        <w:drawing>
          <wp:inline xmlns:a="http://schemas.openxmlformats.org/drawingml/2006/main">
            <wp:extent cx="5940000" cy="27420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Irrigation_reduction_components_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2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160" w:line="304" w:lineRule="exact"/>
        <w:ind w:left="0" w:right="0" w:firstLine="0"/>
        <w:snapToGrid w:val="false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图6  减灌分解为ET、季末储水及其他损失差；2021年368.97 mm减灌中，356.85 mm为季末储水差，ET仅少11.46 mm。</w:t>
      </w:r>
    </w:p>
    <w:sectPr>
      <w:footerReference w:type="default" r:id="rId3"/>
      <w:footerReference w:type="first" r:id="rId4"/>
      <w:type w:val="nextPage"/>
      <w:pgSz w:w="11906" w:h="16838"/>
      <w:pgMar w:left="1219" w:right="1219" w:gutter="0" w:header="454" w:top="1191" w:footer="510" w:bottom="1134"/>
      <w:pgNumType w:start="0" w:fmt="decimal"/>
      <w:formProt w:val="false"/>
      <w:titlePg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华文中宋">
    <w:charset w:val="86"/>
    <w:family w:val="auto"/>
    <w:pitch w:val="default"/>
  </w:font>
  <w:font w:name="Noto Serif CJK SC">
    <w:altName w:val="宋体"/>
    <w:charset w:val="86"/>
    <w:family w:val="auto"/>
    <w:pitch w:val="default"/>
  </w:font>
  <w:font w:name="黑体">
    <w:charset w:val="86"/>
    <w:family w:val="auto"/>
    <w:pitch w:val="default"/>
  </w:font>
  <w:font w:name="楷体_GB2312">
    <w:altName w:val="楷体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widowControl/>
      <w:spacing w:before="0" w:after="0" w:line="261" w:lineRule="exact"/>
      <w:ind w:left="0" w:right="0" w:firstLine="0"/>
      <w:snapToGrid w:val="false"/>
      <w:jc w:val="center"/>
    </w:pPr>
    <w:r/>
    <w:fldSimple w:instr="PAGE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widowControl/>
      <w:spacing w:before="0" w:after="0" w:line="261" w:lineRule="exact"/>
      <w:ind w:left="0" w:right="0" w:firstLine="0"/>
      <w:snapToGrid w:val="false"/>
      <w:jc w:val="right"/>
    </w:pPr>
    <w:r>
      <w:rPr>
        <w:rFonts w:ascii="Noto Serif CJK SC" w:hAnsi="Noto Serif CJK SC" w:eastAsia="Noto Serif CJK SC" w:cs="Noto Serif CJK SC"/>
        <w:b w:val="0"/>
        <w:color w:val="000000"/>
        <w:sz w:val="18"/>
      </w:rPr>
      <w:t>中国农业大学 制表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chineseCountingThousand"/>
      <w:suff w:val="nothing"/>
      <w:lvlText w:val="%1、"/>
      <w:lvlJc w:val="start"/>
      <w:pPr>
        <w:tabs>
          <w:tab w:val="num" w:pos="0"/>
        </w:tabs>
        <w:ind w:start="0" w:hanging="0"/>
      </w:pPr>
      <w:rPr>
        <w:rFonts w:hint="eastAsi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="324" w:lineRule="auto"/>
      <w:jc w:val="both"/>
    </w:pPr>
    <w:rPr>
      <w:rFonts w:ascii="Noto Serif CJK SC" w:hAnsi="Noto Serif CJK SC" w:eastAsia="Noto Serif CJK SC" w:cs="Times New Roman"/>
      <w:color w:val="auto"/>
      <w:kern w:val="2"/>
      <w:sz w:val="22"/>
      <w:szCs w:val="24"/>
      <w:lang w:bidi="ar-SA" w:val="en-US" w:eastAsia="zh-CN"/>
    </w:rPr>
  </w:style>
  <w:style w:type="character" w:styleId="WW8Num1z0">
    <w:name w:val="WW8Num1z0"/>
    <w:qFormat/>
    <w:rPr>
      <w:rFonts w:hint="eastAsia"/>
    </w:rPr>
  </w:style>
  <w:style w:type="character" w:styleId="Style14">
    <w:name w:val="默认段落字体"/>
    <w:qFormat/>
    <w:rPr/>
  </w:style>
  <w:style w:type="character" w:styleId="Char">
    <w:name w:val="页眉 Char"/>
    <w:qFormat/>
    <w:rPr>
      <w:kern w:val="2"/>
      <w:sz w:val="18"/>
      <w:szCs w:val="18"/>
    </w:rPr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odyTextIndent">
    <w:name w:val="Body Text Indent"/>
    <w:basedOn w:val="Normal"/>
    <w:pPr>
      <w:spacing w:lineRule="atLeast" w:line="340"/>
      <w:ind w:hanging="0" w:start="360" w:end="0"/>
    </w:pPr>
    <w:rPr>
      <w:rFonts w:ascii="宋体" w:hAnsi="宋体" w:cs="宋体" w:hint="eastAsia"/>
      <w:spacing w:val="14"/>
    </w:rPr>
  </w:style>
  <w:style w:type="paragraph" w:styleId="Style15">
    <w:name w:val="日期"/>
    <w:basedOn w:val="Normal"/>
    <w:next w:val="Normal"/>
    <w:qFormat/>
    <w:pPr>
      <w:ind w:firstLineChars="0" w:firstLine="0" w:startChars="2500" w:endChars="0" w:end="0"/>
    </w:pPr>
    <w:rPr>
      <w:b/>
      <w:bCs/>
      <w:spacing w:val="20"/>
      <w:sz w:val="24"/>
    </w:rPr>
  </w:style>
  <w:style w:type="paragraph" w:styleId="Style16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LibreOfficeDev/26.8.0.0.alpha0$Linux_X86_64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2011-09-06T09:21:00Z</dcterms:created>
  <dc:creator>吴雨臻、李承昊、段璞</dc:creator>
  <dc:description/>
  <dc:language>en-US</dc:language>
  <cp:lastModifiedBy>Ava</cp:lastModifiedBy>
  <cp:lastPrinted>2007-07-23T10:04:00Z</cp:lastPrinted>
  <dcterms:modified xsi:type="dcterms:W3CDTF">2026-10-19T01:39:06Z</dcterms:modified>
  <cp:revision>61</cp:revision>
  <dc:subject>截至2026-10-23；四年五期逐次日程、真实链诊断与当前论文统一；报销及审核签名留空</dc:subject>
  <dc:title>创新训练项目中期报告书（URP研究内容已填写稿）</dc:title>
  <cp:keywords>中期报告;滴灌玉米;AquaCrop;MCMC;Sobol;NSGA-III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6024744923F44D01A96FB0A3679AA658_12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eyJoZGlkIjoiYTViOGJhZWQ4NGZmY2Q5MDNlMDIzNWYzY2Q4MmJjZGYiLCJ1c2VySWQiOiIxNDMxMDQ4MzQ2In0=</vt:lpwstr>
  </property>
  <property fmtid="{D5CDD505-2E9C-101B-9397-08002B2CF9AE}" pid="5" name="_AdHocReviewCycleID">
    <vt:r8>-1032565596</vt:r8>
  </property>
  <property fmtid="{D5CDD505-2E9C-101B-9397-08002B2CF9AE}" pid="6" name="_AuthorEmail">
    <vt:lpwstr>xq@mail.cau.edu.cn</vt:lpwstr>
  </property>
  <property fmtid="{D5CDD505-2E9C-101B-9397-08002B2CF9AE}" pid="7" name="_AuthorEmailDisplayName">
    <vt:lpwstr>席清</vt:lpwstr>
  </property>
  <property fmtid="{D5CDD505-2E9C-101B-9397-08002B2CF9AE}" pid="8" name="_EmailSubject">
    <vt:lpwstr>下发文件</vt:lpwstr>
  </property>
  <property fmtid="{D5CDD505-2E9C-101B-9397-08002B2CF9AE}" pid="9" name="_ReviewingToolsShownOnce">
    <vt:lpwstr/>
  </property>
</Properties>
</file>