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ind w:firstLine="0"/>
        <w:jc w:val="center"/>
      </w:pPr>
      <w:r>
        <w:rPr>
          <w:rFonts w:ascii="Times New Roman" w:hAnsi="Times New Roman" w:eastAsia="Noto Serif CJK SC"/>
          <w:b/>
          <w:sz w:val="32"/>
        </w:rPr>
        <w:t>补充资料 / Supplementary methods, diagnostics and event schedules</w:t>
      </w:r>
    </w:p>
    <w:p>
      <w:pPr>
        <w:keepNext w:val="0"/>
        <w:widowControl/>
        <w:ind w:firstLine="420"/>
        <w:jc w:val="both"/>
      </w:pPr>
      <w:r>
        <w:rPr>
          <w:rFonts w:ascii="Times New Roman" w:hAnsi="Times New Roman" w:eastAsia="Noto Serif CJK SC"/>
          <w:b w:val="0"/>
          <w:sz w:val="21"/>
        </w:rPr>
        <w:t>本补充资料与2026年10月23日中英文稿对应。参数校准与Sobol沿用已核验来源；优化主体采用2026年10月22日完成的五期30维搜索。来源版本、旧控制空间及条件结构试验分别记录。</w:t>
      </w:r>
    </w:p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21"/>
        </w:rPr>
        <w:t>This supplement accompanies both updated manuscripts. Calibration and Sobol data retain their verified sources. Main optimization uses the five-stage, 30-dimensional searches completed on 22 October 2026. Earlier control spaces and conditional structural experiments are recorded separately.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S1 数据来源与执行日历 / Input provenance and model calendar</w:t>
      </w:r>
    </w:p>
    <w:p>
      <w:pPr>
        <w:keepNext/>
        <w:widowControl/>
        <w:ind w:firstLine="0"/>
        <w:jc w:val="center"/>
      </w:pPr>
      <w:r>
        <w:rPr>
          <w:rFonts w:ascii="Times New Roman" w:hAnsi="Times New Roman" w:eastAsia="Noto Serif CJK SC"/>
          <w:b/>
          <w:sz w:val="19"/>
        </w:rPr>
        <w:t>Table S1. Newly supplied data compared with frozen model inputs.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000000"/>
          <w:bottom w:val="single" w:sz="10" w:color="000000"/>
          <w:left w:val="nil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1950"/>
        <w:gridCol w:w="1950"/>
        <w:gridCol w:w="1950"/>
        <w:gridCol w:w="1950"/>
        <w:gridCol w:w="1950"/>
      </w:tblGrid>
      <w:tr>
        <w:trPr>
          <w:cantSplit/>
          <w:tblHeader/>
        </w:trPr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Year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Weather rows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Max weather difference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RS rows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RS label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365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23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BI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366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23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BI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365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22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BI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365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not supplied</w:t>
            </w:r>
          </w:p>
        </w:tc>
      </w:tr>
    </w:tbl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17"/>
        </w:rPr>
        <w:t>Note. The two supplied 2021 remote-sensing files are byte-identical. Remote-sensing inputs remain auxiliary; calibration uses DI LAI-derived CC and digitized biomass.</w:t>
      </w:r>
    </w:p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21"/>
        </w:rPr>
        <w:t>Water totals use actual executed daily dates. The annual scripts retain their end-boundary conventions; phenological date eligibility is the intersection listed in Table S4. Raw reference weather and model-used audited ETo are separately retained.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S2 校准先验 / Calibration priors</w:t>
      </w:r>
    </w:p>
    <w:p>
      <w:pPr>
        <w:keepNext/>
        <w:widowControl/>
        <w:ind w:firstLine="0"/>
        <w:jc w:val="center"/>
      </w:pPr>
      <w:r>
        <w:rPr>
          <w:rFonts w:ascii="Times New Roman" w:hAnsi="Times New Roman" w:eastAsia="Noto Serif CJK SC"/>
          <w:b/>
          <w:sz w:val="19"/>
        </w:rPr>
        <w:t>Table S2. Recorded annual phase-specific priors.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000000"/>
          <w:bottom w:val="single" w:sz="10" w:color="000000"/>
          <w:left w:val="nil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rPr>
          <w:cantSplit/>
          <w:tblHeader/>
        </w:trPr>
        <w:tc>
          <w:tcPr>
            <w:tcW w:type="dxa" w:w="1393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7"/>
              </w:rPr>
              <w:t>Year</w:t>
            </w:r>
          </w:p>
        </w:tc>
        <w:tc>
          <w:tcPr>
            <w:tcW w:type="dxa" w:w="1393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7"/>
              </w:rPr>
              <w:t>Phase</w:t>
            </w:r>
          </w:p>
        </w:tc>
        <w:tc>
          <w:tcPr>
            <w:tcW w:type="dxa" w:w="1393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7"/>
              </w:rPr>
              <w:t>Parameter</w:t>
            </w:r>
          </w:p>
        </w:tc>
        <w:tc>
          <w:tcPr>
            <w:tcW w:type="dxa" w:w="1393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7"/>
              </w:rPr>
              <w:t>Family</w:t>
            </w:r>
          </w:p>
        </w:tc>
        <w:tc>
          <w:tcPr>
            <w:tcW w:type="dxa" w:w="1393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7"/>
              </w:rPr>
              <w:t>Support</w:t>
            </w:r>
          </w:p>
        </w:tc>
        <w:tc>
          <w:tcPr>
            <w:tcW w:type="dxa" w:w="1393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7"/>
              </w:rPr>
              <w:t>Center</w:t>
            </w:r>
          </w:p>
        </w:tc>
        <w:tc>
          <w:tcPr>
            <w:tcW w:type="dxa" w:w="1393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7"/>
              </w:rPr>
              <w:t>Scale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2019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CCx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0.6–0.99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2019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CGC_CD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0.08–0.16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2019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CDC_CD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Truncated normal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0.03–0.12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0.07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0.025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2019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SenescenceCD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Truncated normal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115–145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132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2019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Kcb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1.05–1.6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2019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WP_early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10–40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2019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WP_late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10–40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2019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HI0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0.35–0.6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CCx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0.6–0.99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CGC_CD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0.08–0.16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CDC_CD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Truncated normal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0.03–0.12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0.07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0.025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SenescenceCD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Truncated normal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115–145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132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Kcb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1.05–1.6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WP_early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10–40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WP_late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10–40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HI0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0.35–0.6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CCx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0.6–0.99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CGC_CD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0.08–0.16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CDC_CD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Truncated normal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0.03–0.12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0.07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0.025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SenescenceCD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Truncated normal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115–145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132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Kcb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1.05–1.6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WP_early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10–40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WP_late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10–40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HI0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Uniform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0.35–0.6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CCx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Truncated normal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0.6–0.99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0.988869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0.05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CGC_CD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Truncated normal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0.08–0.16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0.104272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0.015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CDC_CD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Truncated normal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0.03–0.12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0.0688532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0.025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SenescenceCD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Truncated normal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115–145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133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Kcb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Truncated normal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1.05–1.6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1.42159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0.1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WP_early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Truncated normal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10–22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16.0015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3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WP_late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Truncated normal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20–38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29.5521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HI0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Truncated normal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0.35–0.5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0.4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0.03</w:t>
            </w:r>
          </w:p>
        </w:tc>
      </w:tr>
    </w:tbl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17"/>
        </w:rPr>
        <w:t>Note. The common independent Sobol support is a separate experiment from these annual MCMC priors.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S3 原链诊断 / Original-chain diagnostics</w:t>
      </w:r>
    </w:p>
    <w:p>
      <w:pPr>
        <w:keepNext/>
        <w:widowControl/>
        <w:ind w:firstLine="0"/>
        <w:jc w:val="center"/>
      </w:pPr>
      <w:r>
        <w:rPr>
          <w:rFonts w:ascii="Times New Roman" w:hAnsi="Times New Roman" w:eastAsia="Noto Serif CJK SC"/>
          <w:b/>
          <w:sz w:val="19"/>
        </w:rPr>
        <w:t>Table S3. Time-preserving diagnostics and retained-mean sensitivity.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000000"/>
          <w:bottom w:val="single" w:sz="10" w:color="000000"/>
          <w:left w:val="nil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rPr>
          <w:cantSplit/>
          <w:tblHeader/>
        </w:trPr>
        <w:tc>
          <w:tcPr>
            <w:tcW w:type="dxa" w:w="1393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7"/>
              </w:rPr>
              <w:t>Year</w:t>
            </w:r>
          </w:p>
        </w:tc>
        <w:tc>
          <w:tcPr>
            <w:tcW w:type="dxa" w:w="1393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7"/>
              </w:rPr>
              <w:t>Phase</w:t>
            </w:r>
          </w:p>
        </w:tc>
        <w:tc>
          <w:tcPr>
            <w:tcW w:type="dxa" w:w="1393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7"/>
              </w:rPr>
              <w:t>Independent ensembles</w:t>
            </w:r>
          </w:p>
        </w:tc>
        <w:tc>
          <w:tcPr>
            <w:tcW w:type="dxa" w:w="1393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7"/>
              </w:rPr>
              <w:t>Worst R̂</w:t>
            </w:r>
          </w:p>
        </w:tc>
        <w:tc>
          <w:tcPr>
            <w:tcW w:type="dxa" w:w="1393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7"/>
              </w:rPr>
              <w:t>Min group bulk ESS</w:t>
            </w:r>
          </w:p>
        </w:tc>
        <w:tc>
          <w:tcPr>
            <w:tcW w:type="dxa" w:w="1393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7"/>
              </w:rPr>
              <w:t>Max τ</w:t>
            </w:r>
          </w:p>
        </w:tc>
        <w:tc>
          <w:tcPr>
            <w:tcW w:type="dxa" w:w="1393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7"/>
              </w:rPr>
              <w:t>Burn-in shift (SD)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2019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4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1.1806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17.79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78.81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0.0327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2019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34.45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0.0305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2020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4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1.1739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19.18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73.77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0.0168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2020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52.34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0.0246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2021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4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1.1239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24.94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69.37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0.0362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2021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47.76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0.0176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2022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4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1.1222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25.34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63.40</w:t>
            </w:r>
          </w:p>
        </w:tc>
        <w:tc>
          <w:tcPr>
            <w:tcW w:type="dxa" w:w="1393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0.0395</w:t>
            </w:r>
          </w:p>
        </w:tc>
      </w:tr>
      <w:tr>
        <w:trPr>
          <w:cantSplit/>
        </w:trPr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2022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2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1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–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32.58</w:t>
            </w:r>
          </w:p>
        </w:tc>
        <w:tc>
          <w:tcPr>
            <w:tcW w:type="dxa" w:w="1393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7"/>
              </w:rPr>
              <w:t>0.0314</w:t>
            </w:r>
          </w:p>
        </w:tc>
      </w:tr>
    </w:tbl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17"/>
        </w:rPr>
        <w:t>Note. Stage-1 extrema summarize matched walker-index comparisons across four independently initialized ensembles while preserving time. Dependent groups are not added to form a pooled ESS. Stage 2 has one independent ensemble per year.</w:t>
      </w:r>
    </w:p>
    <w:p>
      <w:pPr>
        <w:keepNext w:val="0"/>
        <w:widowControl/>
        <w:ind w:firstLine="420"/>
        <w:jc w:val="both"/>
      </w:pPr>
      <w:r>
        <w:rPr>
          <w:rFonts w:ascii="Times New Roman" w:hAnsi="Times New Roman" w:eastAsia="Noto Serif CJK SC"/>
          <w:b w:val="0"/>
          <w:sz w:val="21"/>
        </w:rPr>
        <w:t>四年阶段一保留均值对截取方式较稳定，分布采样精度由R̂、ESS和τ另行量化。2021年短时续链记录独立归档：公共链长2532步时最差R̂为1.0888、最小组bulk ESS为33.64。该补充计算未替换主分析参数中心。</w:t>
      </w:r>
    </w:p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21"/>
        </w:rPr>
        <w:t>Retained means and distributional precision are evaluated separately. A separately archived 2021 continuation has a common length of 2532 steps, worst R̂=1.0888 and minimum matched-group bulk ESS=33.64; it does not replace the four-year parameter centers used here.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S4 五期日期界限 / Five-stage date bounds</w:t>
      </w:r>
    </w:p>
    <w:p>
      <w:pPr>
        <w:keepNext/>
        <w:widowControl/>
        <w:ind w:firstLine="0"/>
        <w:jc w:val="center"/>
      </w:pPr>
      <w:r>
        <w:rPr>
          <w:rFonts w:ascii="Times New Roman" w:hAnsi="Times New Roman" w:eastAsia="Noto Serif CJK SC"/>
          <w:b/>
          <w:sz w:val="19"/>
        </w:rPr>
        <w:t>Table S4. Eligible dates for all five stages in all years.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000000"/>
          <w:bottom w:val="single" w:sz="10" w:color="000000"/>
          <w:left w:val="nil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1950"/>
        <w:gridCol w:w="1950"/>
        <w:gridCol w:w="1950"/>
        <w:gridCol w:w="1950"/>
        <w:gridCol w:w="1950"/>
      </w:tblGrid>
      <w:tr>
        <w:trPr>
          <w:cantSplit/>
          <w:tblHeader/>
        </w:trPr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Year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Stage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First date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Last date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Max events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Seedling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2019-04-18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2019-05-31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2019-06-01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2019-07-09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Heading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2019-07-10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2019-08-04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Grain filling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2019-08-05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2019-08-31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Maturity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2019-09-01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2019-09-15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Seedling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2020-04-20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2020-06-06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2020-06-07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2020-07-13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Heading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2020-07-14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2020-07-27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Grain filling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2020-07-28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2020-08-20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Maturity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2020-08-21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2020-09-18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Seedling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2021-04-27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2021-06-11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2021-06-12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2021-07-12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Heading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2021-07-13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2021-07-28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Grain filling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2021-07-29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2021-08-20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Maturity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2021-08-21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2021-09-21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Seedling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2022-04-17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2022-06-01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2022-06-02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2022-07-04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Heading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2022-07-05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2022-07-20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Grain filling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2022-07-21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2022-08-12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Maturity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2022-08-13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2022-09-11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</w:tr>
    </w:tbl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17"/>
        </w:rPr>
        <w:t xml:space="preserve">Note. Dates follow the reported phenological observations </w:t>
      </w:r>
      <w:r>
        <w:rPr>
          <w:rFonts w:ascii="Times New Roman" w:hAnsi="Times New Roman" w:eastAsia="Noto Serif CJK SC"/>
          <w:b w:val="0"/>
          <w:sz w:val="15"/>
          <w:vertAlign w:val="superscript"/>
        </w:rPr>
        <w:t>[1]</w:t>
      </w:r>
      <w:r>
        <w:rPr>
          <w:rFonts w:ascii="Times New Roman" w:hAnsi="Times New Roman" w:eastAsia="Noto Serif CJK SC"/>
          <w:b w:val="0"/>
          <w:sz w:val="17"/>
        </w:rPr>
        <w:t>, intersected with the executed model calendar. Every stage is eligible even where the recorded schedule has no event.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S5 2019年逐次日程 / Individual events in 2019</w:t>
      </w:r>
    </w:p>
    <w:p>
      <w:pPr>
        <w:keepNext/>
        <w:widowControl/>
        <w:ind w:firstLine="0"/>
        <w:jc w:val="center"/>
      </w:pPr>
      <w:r>
        <w:rPr>
          <w:rFonts w:ascii="Times New Roman" w:hAnsi="Times New Roman" w:eastAsia="Noto Serif CJK SC"/>
          <w:b/>
          <w:sz w:val="19"/>
        </w:rPr>
        <w:t>Table S5. Every positive-depth event in the selected 2019 schedule.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000000"/>
          <w:bottom w:val="single" w:sz="10" w:color="000000"/>
          <w:left w:val="nil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1950"/>
        <w:gridCol w:w="1950"/>
        <w:gridCol w:w="1950"/>
        <w:gridCol w:w="1950"/>
        <w:gridCol w:w="1950"/>
      </w:tblGrid>
      <w:tr>
        <w:trPr>
          <w:cantSplit/>
          <w:tblHeader/>
        </w:trPr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Stage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Date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Model day (1-based)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Actual depth (mm)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Reading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Seedling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2019-05-06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81.720754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Seedling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2019-05-07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3.447512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2019-06-13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57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0.220281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2019-06-14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58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4.224564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2019-06-20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64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0.200626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Heading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2019-07-18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92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117.028543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Heading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2019-07-26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100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2.723275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Grain filling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2019-08-05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110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0.054565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Grain filling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2019-08-07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112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0.173138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Grain filling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2019-08-24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129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0.013362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Maturity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2019-09-01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137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0.024961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Maturity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2019-09-03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139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1.16e-09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</w:tbl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17"/>
        </w:rPr>
        <w:t>Note. Model day 1 is the planting date; calendar dates are explicit. Numerical traces are retained without changing the evaluated controls. Zero slots are available in the complete source table.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S6 2020年逐次日程 / Individual events in 2020</w:t>
      </w:r>
    </w:p>
    <w:p>
      <w:pPr>
        <w:keepNext/>
        <w:widowControl/>
        <w:ind w:firstLine="0"/>
        <w:jc w:val="center"/>
      </w:pPr>
      <w:r>
        <w:rPr>
          <w:rFonts w:ascii="Times New Roman" w:hAnsi="Times New Roman" w:eastAsia="Noto Serif CJK SC"/>
          <w:b/>
          <w:sz w:val="19"/>
        </w:rPr>
        <w:t>Table S6. Every positive-depth event in the selected 2020 schedule.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000000"/>
          <w:bottom w:val="single" w:sz="10" w:color="000000"/>
          <w:left w:val="nil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1950"/>
        <w:gridCol w:w="1950"/>
        <w:gridCol w:w="1950"/>
        <w:gridCol w:w="1950"/>
        <w:gridCol w:w="1950"/>
      </w:tblGrid>
      <w:tr>
        <w:trPr>
          <w:cantSplit/>
          <w:tblHeader/>
        </w:trPr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Stage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Date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Model day (1-based)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Actual depth (mm)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Reading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Seedling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2020-04-20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108.287640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2020-06-10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52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0.174299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2020-06-21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63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93.930726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2020-07-01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73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0.599161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Heading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2020-07-16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88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2.160578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Heading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2020-07-25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97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0.092987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Heading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2020-07-26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98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0.001515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Grain filling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2020-07-28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100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87.916543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Grain filling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2020-07-29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101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0.790977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Grain filling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2020-08-17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0.003147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Maturity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2020-08-23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126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12.465925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Maturity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2020-09-02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136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0.034240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Maturity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2020-09-09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143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0.041215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</w:tbl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17"/>
        </w:rPr>
        <w:t>Note. Model day 1 is the planting date; calendar dates are explicit. Numerical traces are retained without changing the evaluated controls. Zero slots are available in the complete source table.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S7 2021年逐次日程 / Individual events in 2021</w:t>
      </w:r>
    </w:p>
    <w:p>
      <w:pPr>
        <w:keepNext/>
        <w:widowControl/>
        <w:ind w:firstLine="0"/>
        <w:jc w:val="center"/>
      </w:pPr>
      <w:r>
        <w:rPr>
          <w:rFonts w:ascii="Times New Roman" w:hAnsi="Times New Roman" w:eastAsia="Noto Serif CJK SC"/>
          <w:b/>
          <w:sz w:val="19"/>
        </w:rPr>
        <w:t>Table S7. Every positive-depth event in the selected 2021 schedule.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000000"/>
          <w:bottom w:val="single" w:sz="10" w:color="000000"/>
          <w:left w:val="nil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1950"/>
        <w:gridCol w:w="1950"/>
        <w:gridCol w:w="1950"/>
        <w:gridCol w:w="1950"/>
        <w:gridCol w:w="1950"/>
      </w:tblGrid>
      <w:tr>
        <w:trPr>
          <w:cantSplit/>
          <w:tblHeader/>
        </w:trPr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Stage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Date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Model day (1-based)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Actual depth (mm)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Reading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Seedling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2021-04-27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0.000663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Seedling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2021-05-23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0.002344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2021-06-15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50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92.959220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2021-06-28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63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85.822216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2021-07-09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74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0.000563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Heading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2021-07-20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85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0.053827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Grain filling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2021-07-29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94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85.634129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Maturity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2021-08-21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117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0.008609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Maturity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2021-08-26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122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0.018403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</w:tbl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17"/>
        </w:rPr>
        <w:t>Note. Model day 1 is the planting date; calendar dates are explicit. Numerical traces are retained without changing the evaluated controls. Zero slots are available in the complete source table.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S8 2022年逐次日程 / Individual events in 2022</w:t>
      </w:r>
    </w:p>
    <w:p>
      <w:pPr>
        <w:keepNext/>
        <w:widowControl/>
        <w:ind w:firstLine="0"/>
        <w:jc w:val="center"/>
      </w:pPr>
      <w:r>
        <w:rPr>
          <w:rFonts w:ascii="Times New Roman" w:hAnsi="Times New Roman" w:eastAsia="Noto Serif CJK SC"/>
          <w:b/>
          <w:sz w:val="19"/>
        </w:rPr>
        <w:t>Table S8. Every positive-depth event in the selected 2022 schedule.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000000"/>
          <w:bottom w:val="single" w:sz="10" w:color="000000"/>
          <w:left w:val="nil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1950"/>
        <w:gridCol w:w="1950"/>
        <w:gridCol w:w="1950"/>
        <w:gridCol w:w="1950"/>
        <w:gridCol w:w="1950"/>
      </w:tblGrid>
      <w:tr>
        <w:trPr>
          <w:cantSplit/>
          <w:tblHeader/>
        </w:trPr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Stage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Date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Model day (1-based)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Actual depth (mm)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Reading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Seedling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2022-04-17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0.035146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2022-06-02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47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0.109382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Jointing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2022-06-11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56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181.310872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Heading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2022-07-08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83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2.460366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Heading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2022-07-18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93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0.474977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Grain filling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2022-07-21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96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71.524972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Grain filling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2022-07-22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97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1.505109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≥0.1 mm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Maturity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2022-08-13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119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0.044430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Trace &lt;0.1 mm</w:t>
            </w:r>
          </w:p>
        </w:tc>
      </w:tr>
    </w:tbl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17"/>
        </w:rPr>
        <w:t>Note. Model day 1 is the planting date; calendar dates are explicit. Numerical traces are retained without changing the evaluated controls. Zero slots are available in the complete source table.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S9 单次量与实施条件 / Event magnitude and implementation conditions</w:t>
      </w:r>
    </w:p>
    <w:p>
      <w:pPr>
        <w:keepNext/>
        <w:widowControl/>
        <w:ind w:firstLine="0"/>
        <w:jc w:val="center"/>
      </w:pPr>
      <w:r>
        <w:rPr>
          <w:rFonts w:ascii="Times New Roman" w:hAnsi="Times New Roman" w:eastAsia="Noto Serif CJK SC"/>
          <w:b/>
          <w:sz w:val="19"/>
        </w:rPr>
        <w:t>Table S9. Maximum event depths and spacing.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000000"/>
          <w:bottom w:val="single" w:sz="10" w:color="000000"/>
          <w:left w:val="nil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1950"/>
        <w:gridCol w:w="1950"/>
        <w:gridCol w:w="1950"/>
        <w:gridCol w:w="1950"/>
        <w:gridCol w:w="1950"/>
      </w:tblGrid>
      <w:tr>
        <w:trPr>
          <w:cantSplit/>
          <w:tblHeader/>
        </w:trPr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Year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Recorded max (mm)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Selected max (mm)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Events ≥0.1 mm</w:t>
            </w:r>
          </w:p>
        </w:tc>
        <w:tc>
          <w:tcPr>
            <w:tcW w:type="dxa" w:w="1950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Min positive-event gap (d)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2019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67.71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117.03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8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2020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84.78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108.29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8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2021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114.80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92.96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</w:t>
            </w:r>
          </w:p>
        </w:tc>
        <w:tc>
          <w:tcPr>
            <w:tcW w:type="dxa" w:w="1950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2022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85.85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181.31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6</w:t>
            </w:r>
          </w:p>
        </w:tc>
        <w:tc>
          <w:tcPr>
            <w:tcW w:type="dxa" w:w="1950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</w:t>
            </w:r>
          </w:p>
        </w:tc>
      </w:tr>
    </w:tbl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17"/>
        </w:rPr>
        <w:t>Note. No additional equipment cap, minimum-event-depth constraint, spacing constraint or terminal-water floor is imposed. Gaps include exact trace events.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S10 原控制空间补充试验 / Earlier control-space diagnostics</w:t>
      </w:r>
    </w:p>
    <w:p>
      <w:pPr>
        <w:keepNext w:val="0"/>
        <w:widowControl/>
        <w:ind w:firstLine="420"/>
        <w:jc w:val="both"/>
      </w:pPr>
      <w:r>
        <w:rPr>
          <w:rFonts w:ascii="Times New Roman" w:hAnsi="Times New Roman" w:eastAsia="Noto Serif CJK SC"/>
          <w:b w:val="0"/>
          <w:sz w:val="21"/>
        </w:rPr>
        <w:t>前期四窗口单目标求解、2021年1 m根深与不同fMulch条件重校准，以及降水替换试验均保持原始结果。相应试验分别回答固定日期空间的算法重复性、条件结构改变及降水来源敏感性，主文五期日程采用本轮新搜索。完整源码、响应和图件见归档05—10及15—16阶段。</w:t>
      </w:r>
    </w:p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21"/>
        </w:rPr>
        <w:t>Earlier scalar comparisons retain four fixed-date windows. The 2021 1 m root-depth/mulch conditional refits and rainfall substitutions retain their own settings. Their results answer distinct control-space, structural and forcing questions; current five-stage calendars use the new searches. Complete source code and results are indexed by research stage.</w:t>
      </w:r>
    </w:p>
    <w:p>
      <w:pPr>
        <w:keepNext/>
        <w:widowControl/>
        <w:ind w:firstLine="0"/>
        <w:jc w:val="center"/>
      </w:pPr>
      <w:r>
        <w:rPr>
          <w:rFonts w:ascii="Times New Roman" w:hAnsi="Times New Roman" w:eastAsia="Noto Serif CJK SC"/>
          <w:b/>
          <w:sz w:val="19"/>
        </w:rPr>
        <w:t>Table S10. Earlier scalar-search archive minima in the corresponding fixed-date spaces.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000000"/>
          <w:bottom w:val="single" w:sz="10" w:color="000000"/>
          <w:left w:val="nil" w:sz="10" w:color="000000"/>
          <w:right w:val="nil" w:sz="10" w:color="000000"/>
          <w:insideH w:val="nil" w:sz="10" w:color="000000"/>
          <w:insideV w:val="nil" w:sz="10" w:color="000000"/>
        </w:tblBorders>
      </w:tblPr>
      <w:tblGrid>
        <w:gridCol w:w="2438"/>
        <w:gridCol w:w="2438"/>
        <w:gridCol w:w="2438"/>
        <w:gridCol w:w="2438"/>
      </w:tblGrid>
      <w:tr>
        <w:trPr>
          <w:cantSplit/>
          <w:tblHeader/>
        </w:trPr>
        <w:tc>
          <w:tcPr>
            <w:tcW w:type="dxa" w:w="2438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Case</w:t>
            </w:r>
          </w:p>
        </w:tc>
        <w:tc>
          <w:tcPr>
            <w:tcW w:type="dxa" w:w="2438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Method</w:t>
            </w:r>
          </w:p>
        </w:tc>
        <w:tc>
          <w:tcPr>
            <w:tcW w:type="dxa" w:w="2438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I min (mm)</w:t>
            </w:r>
          </w:p>
        </w:tc>
        <w:tc>
          <w:tcPr>
            <w:tcW w:type="dxa" w:w="2438"/>
            <w:tcBorders>
              <w:bottom w:val="single" w:sz="5"/>
            </w:tcBorders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/>
                <w:sz w:val="18"/>
              </w:rPr>
              <w:t>Yield (t ha⁻¹)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old_2019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NSGA2_1obj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217.95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15.723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old_2020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NSGA2_1obj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313.01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16.430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old_2021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GA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268.61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15.067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old_2022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NSGA2_1obj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261.46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13.377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new_fm050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GA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316.48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15.070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new_fm075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GSA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280.15</w:t>
            </w:r>
          </w:p>
        </w:tc>
        <w:tc>
          <w:tcPr>
            <w:tcW w:type="dxa" w:w="2438"/>
          </w:tcPr>
          <w:p>
            <w:pPr>
              <w:keepNext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15.067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new_fm085</w:t>
            </w:r>
          </w:p>
        </w:tc>
        <w:tc>
          <w:tcPr>
            <w:tcW w:type="dxa" w:w="2438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NSGA2_1obj</w:t>
            </w:r>
          </w:p>
        </w:tc>
        <w:tc>
          <w:tcPr>
            <w:tcW w:type="dxa" w:w="2438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286.86</w:t>
            </w:r>
          </w:p>
        </w:tc>
        <w:tc>
          <w:tcPr>
            <w:tcW w:type="dxa" w:w="2438"/>
          </w:tcPr>
          <w:p>
            <w:pPr>
              <w:keepNext w:val="0"/>
              <w:spacing w:after="60" w:before="60" w:line="252" w:lineRule="auto"/>
              <w:jc w:val="center"/>
            </w:pPr>
            <w:r>
              <w:rPr>
                <w:rFonts w:ascii="Times New Roman" w:hAnsi="Times New Roman" w:eastAsia="Noto Serif CJK SC"/>
                <w:b w:val="0"/>
                <w:sz w:val="18"/>
              </w:rPr>
              <w:t>15.072</w:t>
            </w:r>
          </w:p>
        </w:tc>
      </w:tr>
    </w:tbl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17"/>
        </w:rPr>
        <w:t>Note. These are earlier control-space diagnostics; the present 30D comparison is in main Table 10. Historical NSGA-III reference budgets differ from the scalar-query budgets.</w:t>
      </w:r>
    </w:p>
    <w:p>
      <w:pPr>
        <w:pStyle w:val="Heading1"/>
      </w:pPr>
      <w:r>
        <w:rPr>
          <w:rFonts w:ascii="Times New Roman" w:hAnsi="Times New Roman" w:eastAsia="Noto Serif CJK SC"/>
          <w:b/>
          <w:sz w:val="26"/>
        </w:rPr>
        <w:t>S11 数值复现 / Numerical reproduction</w:t>
      </w:r>
    </w:p>
    <w:p>
      <w:pPr>
        <w:keepNext w:val="0"/>
        <w:widowControl/>
        <w:ind w:firstLine="0"/>
        <w:jc w:val="both"/>
      </w:pPr>
      <w:r>
        <w:rPr>
          <w:rFonts w:ascii="Times New Roman" w:hAnsi="Times New Roman" w:eastAsia="Noto Serif CJK SC"/>
          <w:b w:val="0"/>
          <w:sz w:val="21"/>
        </w:rPr>
        <w:t>The search source is pinned to Git commit 20f1616556f5aeb79329b7ead22faa28f9fcda6a. All 457,596 query rows, date bounds, per-stage limits and seasonal budgets were checked. Full-model selected-point replays and 12 fresh unaccelerated original-equation replays agree within 1.14×10⁻¹³. Source JSON records separately count exact cache hits, setup, preflight and postprocessing calls. Four first seeds retain 9,999 queries after duplicate initialization; no synthetic rows were added. This manuscript update performs no new MCMC, Sobol or optimization runs.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397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Noto Serif CJK SC"/>
        <w:b w:val="0"/>
        <w:sz w:val="16"/>
      </w:rPr>
      <w:t>URP | 2019–2022 DI maize | Five-stage individual-event scheduling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Times New Roman" w:hAnsi="Times New Roman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 w:eastAsia="Noto Sans CJK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Times New Roman" w:hAnsi="Times New Roman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300" w:lineRule="auto"/>
    </w:pPr>
    <w:rPr>
      <w:rFonts w:ascii="Times New Roman" w:hAnsi="Times New Roman" w:eastAsia="Noto Serif CJK SC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methods, diagnostics and irrigation event schedules</dc:title>
  <dc:subject>2019–2022 DI maize; source-linked manuscript revision, 2026-10-22</dc:subject>
  <dc:creator>吴雨臻；李承昊；段璞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