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ind w:firstLine="0"/>
        <w:jc w:val="both"/>
      </w:pPr>
      <w:r>
        <w:rPr>
          <w:rFonts w:ascii="Times New Roman" w:hAnsi="Times New Roman" w:eastAsia="Noto Serif CJK SC"/>
          <w:b/>
          <w:sz w:val="32"/>
        </w:rPr>
        <w:t>URP统一更新说明（2026年10月23日）</w:t>
      </w:r>
    </w:p>
    <w:p>
      <w:pPr>
        <w:pStyle w:val="Heading1"/>
      </w:pPr>
      <w:r>
        <w:rPr>
          <w:rFonts w:ascii="Times New Roman" w:hAnsi="Times New Roman" w:eastAsia="Noto Serif CJK SC"/>
          <w:b/>
          <w:sz w:val="26"/>
        </w:rPr>
        <w:t>1 更新范围</w:t>
      </w:r>
    </w:p>
    <w:p>
      <w:pPr>
        <w:keepNext w:val="0"/>
        <w:widowControl/>
        <w:ind w:firstLine="420"/>
        <w:jc w:val="both"/>
      </w:pPr>
      <w:r>
        <w:rPr>
          <w:rFonts w:ascii="Times New Roman" w:hAnsi="Times New Roman" w:eastAsia="Noto Serif CJK SC"/>
          <w:b w:val="0"/>
          <w:sz w:val="21"/>
        </w:rPr>
        <w:t>中文和英文正文采用同一五期结果，均为15张英文图、10张三线表。同步更新摘要、决策变量、算法统计、主候选、五期总量、逐次日程、水量解释、讨论与结论；原始资料和既有链按原计算版本保留。</w:t>
      </w:r>
    </w:p>
    <w:p>
      <w:pPr>
        <w:pStyle w:val="Heading1"/>
      </w:pPr>
      <w:r>
        <w:rPr>
          <w:rFonts w:ascii="Times New Roman" w:hAnsi="Times New Roman" w:eastAsia="Noto Serif CJK SC"/>
          <w:b/>
          <w:sz w:val="26"/>
        </w:rPr>
        <w:t>2 五期与逐次灌水</w:t>
      </w:r>
    </w:p>
    <w:p>
      <w:pPr>
        <w:keepNext w:val="0"/>
        <w:widowControl/>
        <w:ind w:firstLine="420"/>
        <w:jc w:val="both"/>
      </w:pPr>
      <w:r>
        <w:rPr>
          <w:rFonts w:ascii="Times New Roman" w:hAnsi="Times New Roman" w:eastAsia="Noto Serif CJK SC"/>
          <w:b w:val="0"/>
          <w:sz w:val="21"/>
        </w:rPr>
        <w:t>苗期、拔节期、抽穗期、灌浆期、成熟期每期最多3个可选事件，联合优化15水量及15整数日期。全部阶段均开放，零量取消、同日合并；阶段合计与逐次量、模型总量一致。</w:t>
      </w:r>
    </w:p>
    <w:p>
      <w:pPr>
        <w:pStyle w:val="Heading1"/>
      </w:pPr>
      <w:r>
        <w:rPr>
          <w:rFonts w:ascii="Times New Roman" w:hAnsi="Times New Roman" w:eastAsia="Noto Serif CJK SC"/>
          <w:b/>
          <w:sz w:val="26"/>
        </w:rPr>
        <w:t>3 科学口径</w:t>
      </w:r>
    </w:p>
    <w:p>
      <w:pPr>
        <w:keepNext w:val="0"/>
        <w:widowControl/>
        <w:ind w:firstLine="420"/>
        <w:jc w:val="both"/>
      </w:pPr>
      <w:r>
        <w:rPr>
          <w:rFonts w:ascii="Times New Roman" w:hAnsi="Times New Roman" w:eastAsia="Noto Serif CJK SC"/>
          <w:b w:val="0"/>
          <w:sz w:val="21"/>
        </w:rPr>
        <w:t>四年主模型继续使用原参数均值、气象及初值，fMulch=0、Zmax=2.30 m。2021根深1 m和不同fMulch条件拟合、原四窗口单目标算法保持各自实验设定，未混成五期的新算法验证。原链R̂、ESS及均值稳定性分别表述。</w:t>
      </w:r>
    </w:p>
    <w:p>
      <w:pPr>
        <w:pStyle w:val="Heading1"/>
      </w:pPr>
      <w:r>
        <w:rPr>
          <w:rFonts w:ascii="Times New Roman" w:hAnsi="Times New Roman" w:eastAsia="Noto Serif CJK SC"/>
          <w:b/>
          <w:sz w:val="26"/>
        </w:rPr>
        <w:t>4 当前结果</w:t>
      </w:r>
    </w:p>
    <w:p>
      <w:pPr>
        <w:keepNext w:val="0"/>
        <w:widowControl/>
        <w:ind w:firstLine="420"/>
        <w:jc w:val="both"/>
      </w:pPr>
      <w:r>
        <w:rPr>
          <w:rFonts w:ascii="Times New Roman" w:hAnsi="Times New Roman" w:eastAsia="Noto Serif CJK SC"/>
          <w:b w:val="0"/>
          <w:sz w:val="21"/>
        </w:rPr>
        <w:t>四年代表方案209.83、306.50、264.50、257.47 mm；2021减灌368.97 mm中储水差356.85 mm、ET差11.46 mm。所有主文表格与逐图解析使用同一来源，单次水量和实施条件另表列明。</w:t>
      </w:r>
    </w:p>
    <w:p>
      <w:pPr>
        <w:pStyle w:val="Heading1"/>
      </w:pPr>
      <w:r>
        <w:rPr>
          <w:rFonts w:ascii="Times New Roman" w:hAnsi="Times New Roman" w:eastAsia="Noto Serif CJK SC"/>
          <w:b/>
          <w:sz w:val="26"/>
        </w:rPr>
        <w:t>5 中期与归档</w:t>
      </w:r>
    </w:p>
    <w:p>
      <w:pPr>
        <w:keepNext w:val="0"/>
        <w:widowControl/>
        <w:ind w:firstLine="420"/>
        <w:jc w:val="both"/>
      </w:pPr>
      <w:r>
        <w:rPr>
          <w:rFonts w:ascii="Times New Roman" w:hAnsi="Times New Roman" w:eastAsia="Noto Serif CJK SC"/>
          <w:b w:val="0"/>
          <w:sz w:val="21"/>
        </w:rPr>
        <w:t>项目编号、成员及导师沿用正式材料。报告按主要计算已完成填写，实际报销及导师/专家签字留空。当前文件以本版索引为入口，旧稿和旧四窗口阶段包放入history，保存完整研究过程。</w:t>
      </w:r>
    </w:p>
    <w:p>
      <w:pPr>
        <w:pStyle w:val="Heading1"/>
      </w:pPr>
      <w:r>
        <w:rPr>
          <w:rFonts w:ascii="Times New Roman" w:hAnsi="Times New Roman" w:eastAsia="Noto Serif CJK SC"/>
          <w:b/>
          <w:sz w:val="26"/>
        </w:rPr>
        <w:t>6 引用表述修订</w:t>
      </w:r>
    </w:p>
    <w:p>
      <w:pPr>
        <w:keepNext w:val="0"/>
        <w:widowControl/>
        <w:ind w:firstLine="420"/>
        <w:jc w:val="both"/>
      </w:pPr>
      <w:r>
        <w:rPr>
          <w:rFonts w:ascii="Times New Roman" w:hAnsi="Times New Roman" w:eastAsia="Noto Serif CJK SC"/>
          <w:b w:val="0"/>
          <w:sz w:val="21"/>
        </w:rPr>
        <w:t>按最新意见，材料与方法直接介绍既有观测资料、土壤物理性质和五期划分，并以编号引文标注来源；正文、图注和表题不再反复点名原资料作者。完整作者姓名及学位论文信息保留于参考文献，图件数字化方法及资料出处保留。中英文正文及补充材料已同步，图表数值和模型结果不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397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Noto Serif CJK SC"/>
        <w:b w:val="0"/>
        <w:sz w:val="16"/>
      </w:rPr>
      <w:t>膜下滴灌玉米参数校准与灌溉制度优化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</w:pPr>
    <w:rPr>
      <w:rFonts w:ascii="Times New Roman" w:hAnsi="Times New Roman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 w:eastAsia="Noto Sans CJK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Times New Roman" w:hAnsi="Times New Roman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00" w:line="300" w:lineRule="auto"/>
    </w:pPr>
    <w:rPr>
      <w:rFonts w:ascii="Times New Roman" w:hAnsi="Times New Roman" w:eastAsia="Noto Serif CJK SC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URP统一更新说明</dc:title>
  <dc:subject>2019–2022 DI maize; source-linked manuscript revision, 2026-10-22</dc:subject>
  <dc:creator>吴雨臻；李承昊；段璞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