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为什么少灌一半水</w:t>
        <w:br/>
        <w:t>仍能得到接近原方案的产量？</w:t>
      </w:r>
    </w:p>
    <w:p>
      <w:pPr>
        <w:pStyle w:val="Subtitle"/>
      </w:pPr>
      <w:r>
        <w:t>URP 2019—2022年DI玉米 · NSGA-III优化机制追溯与约束修正</w:t>
      </w:r>
    </w:p>
    <w:p>
      <w:r>
        <w:t>重点：2020、2021年；四年原方案均回放。版本：2026-10-20。</w:t>
      </w:r>
    </w:p>
    <w:p>
      <w:r>
        <w:t>核心判断：原结果在当前模型内可以复现，但不能据此认定田间可以稳定节水44%—58%。主要原因是优化只约束当季产量与灌水量，没有为季末土壤储水定价或设限，叠加根域与初始土壤水证据不足。原优化允许部分单次灌水高于原日程数值上限，这是控制范围差异，不据此单独认定程序错误。</w:t>
      </w:r>
    </w:p>
    <w:p>
      <w:r>
        <w:t>本轮保留原覆膜面积、蒸发参数、天气/ETo、初始含水和年别校准参数，记录逐日冠层及胁迫、24层土壤含水和取水，完成38,400次带约束的实际模型评价。没有为了让曲线“可信”而压低产量，也没有重跑或替换MCMC。</w:t>
      </w:r>
    </w:p>
    <w:p>
      <w:pPr>
        <w:pStyle w:val="Heading2"/>
      </w:pPr>
      <w:r>
        <w:t>先看关键对照</w:t>
      </w:r>
    </w:p>
    <w:tbl>
      <w:tblPr>
        <w:tblStyle w:val="LightShading-Accent1"/>
        <w:tblW w:type="auto" w:w="0"/>
        <w:tblLook w:firstColumn="1" w:firstRow="1" w:lastColumn="0" w:lastRow="0" w:noHBand="0" w:noVBand="1" w:val="04A0"/>
      </w:tblPr>
      <w:tblGrid>
        <w:gridCol w:w="1996"/>
        <w:gridCol w:w="1996"/>
        <w:gridCol w:w="1996"/>
        <w:gridCol w:w="1996"/>
        <w:gridCol w:w="1996"/>
      </w:tblGrid>
      <w:tr>
        <w:trPr>
          <w:tblHeader/>
          <w:cantSplit/>
        </w:trPr>
        <w:tc>
          <w:tcPr>
            <w:tcW w:type="dxa" w:w="1996"/>
          </w:tcPr>
          <w:p>
            <w:pPr>
              <w:spacing w:after="60"/>
            </w:pPr>
            <w:r>
              <w:rPr>
                <w:sz w:val="17"/>
              </w:rPr>
              <w:t>年份</w:t>
            </w:r>
          </w:p>
        </w:tc>
        <w:tc>
          <w:tcPr>
            <w:tcW w:type="dxa" w:w="1996"/>
          </w:tcPr>
          <w:p>
            <w:pPr>
              <w:spacing w:after="60"/>
            </w:pPr>
            <w:r>
              <w:rPr>
                <w:sz w:val="17"/>
              </w:rPr>
              <w:t>原C1减灌%</w:t>
            </w:r>
          </w:p>
        </w:tc>
        <w:tc>
          <w:tcPr>
            <w:tcW w:type="dxa" w:w="1996"/>
          </w:tcPr>
          <w:p>
            <w:pPr>
              <w:spacing w:after="60"/>
            </w:pPr>
            <w:r>
              <w:rPr>
                <w:sz w:val="17"/>
              </w:rPr>
              <w:t>原单次设置%</w:t>
            </w:r>
          </w:p>
        </w:tc>
        <w:tc>
          <w:tcPr>
            <w:tcW w:type="dxa" w:w="1996"/>
          </w:tcPr>
          <w:p>
            <w:pPr>
              <w:spacing w:after="60"/>
            </w:pPr>
            <w:r>
              <w:rPr>
                <w:sz w:val="17"/>
              </w:rPr>
              <w:t>再加不耗初始储水%</w:t>
            </w:r>
          </w:p>
        </w:tc>
        <w:tc>
          <w:tcPr>
            <w:tcW w:type="dxa" w:w="1996"/>
          </w:tcPr>
          <w:p>
            <w:pPr>
              <w:spacing w:after="60"/>
            </w:pPr>
            <w:r>
              <w:rPr>
                <w:sz w:val="17"/>
              </w:rPr>
              <w:t>再匹配原季节ET%</w:t>
            </w:r>
          </w:p>
        </w:tc>
      </w:tr>
      <w:tr>
        <w:trPr>
          <w:cantSplit/>
        </w:trPr>
        <w:tc>
          <w:tcPr>
            <w:tcW w:type="dxa" w:w="1996"/>
          </w:tcPr>
          <w:p>
            <w:pPr>
              <w:spacing w:after="60"/>
            </w:pPr>
            <w:r>
              <w:rPr>
                <w:sz w:val="17"/>
              </w:rPr>
              <w:t>2020</w:t>
            </w:r>
          </w:p>
        </w:tc>
        <w:tc>
          <w:tcPr>
            <w:tcW w:type="dxa" w:w="1996"/>
          </w:tcPr>
          <w:p>
            <w:pPr>
              <w:spacing w:after="60"/>
            </w:pPr>
            <w:r>
              <w:rPr>
                <w:sz w:val="17"/>
              </w:rPr>
              <w:t>44.2</w:t>
            </w:r>
          </w:p>
        </w:tc>
        <w:tc>
          <w:tcPr>
            <w:tcW w:type="dxa" w:w="1996"/>
          </w:tcPr>
          <w:p>
            <w:pPr>
              <w:spacing w:after="60"/>
            </w:pPr>
            <w:r>
              <w:rPr>
                <w:sz w:val="17"/>
              </w:rPr>
              <w:t>42.9</w:t>
            </w:r>
          </w:p>
        </w:tc>
        <w:tc>
          <w:tcPr>
            <w:tcW w:type="dxa" w:w="1996"/>
          </w:tcPr>
          <w:p>
            <w:pPr>
              <w:spacing w:after="60"/>
            </w:pPr>
            <w:r>
              <w:rPr>
                <w:sz w:val="17"/>
              </w:rPr>
              <w:t>12.4</w:t>
            </w:r>
          </w:p>
        </w:tc>
        <w:tc>
          <w:tcPr>
            <w:tcW w:type="dxa" w:w="1996"/>
          </w:tcPr>
          <w:p>
            <w:pPr>
              <w:spacing w:after="60"/>
            </w:pPr>
            <w:r>
              <w:rPr>
                <w:sz w:val="17"/>
              </w:rPr>
              <w:t>11.1</w:t>
            </w:r>
          </w:p>
        </w:tc>
      </w:tr>
      <w:tr>
        <w:trPr>
          <w:cantSplit/>
        </w:trPr>
        <w:tc>
          <w:tcPr>
            <w:tcW w:type="dxa" w:w="1996"/>
          </w:tcPr>
          <w:p>
            <w:pPr>
              <w:spacing w:after="60"/>
            </w:pPr>
            <w:r>
              <w:rPr>
                <w:sz w:val="17"/>
              </w:rPr>
              <w:t>2021</w:t>
            </w:r>
          </w:p>
        </w:tc>
        <w:tc>
          <w:tcPr>
            <w:tcW w:type="dxa" w:w="1996"/>
          </w:tcPr>
          <w:p>
            <w:pPr>
              <w:spacing w:after="60"/>
            </w:pPr>
            <w:r>
              <w:rPr>
                <w:sz w:val="17"/>
              </w:rPr>
              <w:t>57.8</w:t>
            </w:r>
          </w:p>
        </w:tc>
        <w:tc>
          <w:tcPr>
            <w:tcW w:type="dxa" w:w="1996"/>
          </w:tcPr>
          <w:p>
            <w:pPr>
              <w:spacing w:after="60"/>
            </w:pPr>
            <w:r>
              <w:rPr>
                <w:sz w:val="17"/>
              </w:rPr>
              <w:t>57.8</w:t>
            </w:r>
          </w:p>
        </w:tc>
        <w:tc>
          <w:tcPr>
            <w:tcW w:type="dxa" w:w="1996"/>
          </w:tcPr>
          <w:p>
            <w:pPr>
              <w:spacing w:after="60"/>
            </w:pPr>
            <w:r>
              <w:rPr>
                <w:sz w:val="17"/>
              </w:rPr>
              <w:t>27.4</w:t>
            </w:r>
          </w:p>
        </w:tc>
        <w:tc>
          <w:tcPr>
            <w:tcW w:type="dxa" w:w="1996"/>
          </w:tcPr>
          <w:p>
            <w:pPr>
              <w:spacing w:after="60"/>
            </w:pPr>
            <w:r>
              <w:rPr>
                <w:sz w:val="17"/>
              </w:rPr>
              <w:t>26.8</w:t>
            </w:r>
          </w:p>
        </w:tc>
      </w:tr>
    </w:tbl>
    <w:p>
      <w:r>
        <w:t>后三列依次为不同诊断条件，不能写成已完成的田间节水试验。前两组新搜索保留95%观测产量门槛；最后一列为求根获得的等ET可行点，并未证明最少灌水。季末不耗初始储水也不是已确立的最优农艺阈值。</w:t>
      </w:r>
    </w:p>
    <w:p>
      <w:r>
        <w:t>交付内容：9组英文图（600 dpi PNG、PDF、SVG）、中文逐图解释、原精度CSV/逐日逐层记录、Excel数据册、12组搜索的逐次评价和逐代种群、可复核代码与本报告。</w:t>
      </w:r>
    </w:p>
    <w:p>
      <w:pPr>
        <w:pStyle w:val="Heading1"/>
        <w:pageBreakBefore/>
      </w:pPr>
      <w:r>
        <w:t>1 先锁定不变条件与比较对象</w:t>
      </w:r>
    </w:p>
    <w:p>
      <w:r>
        <w:t>人工条件不变：mulch_pct=75%、mulches=True、f_mulch=0，WetSurf=100%、AppEff=100%；原灌水日期及四个窗口内的事件权重不变。f_mulch=0是原Modified_DI_Model明确记录的结构设置，本轮原样保留；该设置下覆膜显式蒸发乘子为1，不能将75%覆膜直接解释为75%的蒸发削减。</w:t>
      </w:r>
    </w:p>
    <w:p>
      <w:r>
        <w:t>用户补充确认：fMulch=0表示关闭代码中额外的地膜蒸发抑制，绝不等于田间地膜完好率为0%。Zmin=0.30m、Zmax=2.30m是四年共同沿用的AquaCrop默认动态根深设置。原单次/季节上限分别按当年最大单次实测灌水量+0.10mm、季节实测总量+0.10mm设定，只保证原日程完整执行，不是MCMC参与校准的参数，更不是设备能力的实测结论。</w:t>
      </w:r>
    </w:p>
    <w:p>
      <w:pPr>
        <w:pStyle w:val="Heading2"/>
      </w:pPr>
      <w:r>
        <w:t>四年共同设置与原日程执行上限</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pPr>
              <w:spacing w:after="60"/>
            </w:pPr>
            <w:r>
              <w:rPr>
                <w:sz w:val="17"/>
              </w:rPr>
              <w:t>年份</w:t>
            </w:r>
          </w:p>
        </w:tc>
        <w:tc>
          <w:tcPr>
            <w:tcW w:type="dxa" w:w="1663"/>
          </w:tcPr>
          <w:p>
            <w:pPr>
              <w:spacing w:after="60"/>
            </w:pPr>
            <w:r>
              <w:rPr>
                <w:sz w:val="17"/>
              </w:rPr>
              <w:t>覆膜率%</w:t>
            </w:r>
          </w:p>
        </w:tc>
        <w:tc>
          <w:tcPr>
            <w:tcW w:type="dxa" w:w="1663"/>
          </w:tcPr>
          <w:p>
            <w:pPr>
              <w:spacing w:after="60"/>
            </w:pPr>
            <w:r>
              <w:rPr>
                <w:sz w:val="17"/>
              </w:rPr>
              <w:t>fMulch</w:t>
            </w:r>
          </w:p>
        </w:tc>
        <w:tc>
          <w:tcPr>
            <w:tcW w:type="dxa" w:w="1663"/>
          </w:tcPr>
          <w:p>
            <w:pPr>
              <w:spacing w:after="60"/>
            </w:pPr>
            <w:r>
              <w:rPr>
                <w:sz w:val="17"/>
              </w:rPr>
              <w:t>Zmax m</w:t>
            </w:r>
          </w:p>
        </w:tc>
        <w:tc>
          <w:tcPr>
            <w:tcW w:type="dxa" w:w="1663"/>
          </w:tcPr>
          <w:p>
            <w:pPr>
              <w:spacing w:after="60"/>
            </w:pPr>
            <w:r>
              <w:rPr>
                <w:sz w:val="17"/>
              </w:rPr>
              <w:t>单次上限mm</w:t>
            </w:r>
          </w:p>
        </w:tc>
        <w:tc>
          <w:tcPr>
            <w:tcW w:type="dxa" w:w="1663"/>
          </w:tcPr>
          <w:p>
            <w:pPr>
              <w:spacing w:after="60"/>
            </w:pPr>
            <w:r>
              <w:rPr>
                <w:sz w:val="17"/>
              </w:rPr>
              <w:t>季节上限mm</w:t>
            </w:r>
          </w:p>
        </w:tc>
      </w:tr>
      <w:tr>
        <w:trPr>
          <w:cantSplit/>
        </w:trPr>
        <w:tc>
          <w:tcPr>
            <w:tcW w:type="dxa" w:w="1663"/>
          </w:tcPr>
          <w:p>
            <w:pPr>
              <w:spacing w:after="60"/>
            </w:pPr>
            <w:r>
              <w:rPr>
                <w:sz w:val="17"/>
              </w:rPr>
              <w:t>2019</w:t>
            </w:r>
          </w:p>
        </w:tc>
        <w:tc>
          <w:tcPr>
            <w:tcW w:type="dxa" w:w="1663"/>
          </w:tcPr>
          <w:p>
            <w:pPr>
              <w:spacing w:after="60"/>
            </w:pPr>
            <w:r>
              <w:rPr>
                <w:sz w:val="17"/>
              </w:rPr>
              <w:t>75</w:t>
            </w:r>
          </w:p>
        </w:tc>
        <w:tc>
          <w:tcPr>
            <w:tcW w:type="dxa" w:w="1663"/>
          </w:tcPr>
          <w:p>
            <w:pPr>
              <w:spacing w:after="60"/>
            </w:pPr>
            <w:r>
              <w:rPr>
                <w:sz w:val="17"/>
              </w:rPr>
              <w:t>0.0</w:t>
            </w:r>
          </w:p>
        </w:tc>
        <w:tc>
          <w:tcPr>
            <w:tcW w:type="dxa" w:w="1663"/>
          </w:tcPr>
          <w:p>
            <w:pPr>
              <w:spacing w:after="60"/>
            </w:pPr>
            <w:r>
              <w:rPr>
                <w:sz w:val="17"/>
              </w:rPr>
              <w:t>2.30</w:t>
            </w:r>
          </w:p>
        </w:tc>
        <w:tc>
          <w:tcPr>
            <w:tcW w:type="dxa" w:w="1663"/>
          </w:tcPr>
          <w:p>
            <w:pPr>
              <w:spacing w:after="60"/>
            </w:pPr>
            <w:r>
              <w:rPr>
                <w:sz w:val="17"/>
              </w:rPr>
              <w:t>67.81</w:t>
            </w:r>
          </w:p>
        </w:tc>
        <w:tc>
          <w:tcPr>
            <w:tcW w:type="dxa" w:w="1663"/>
          </w:tcPr>
          <w:p>
            <w:pPr>
              <w:spacing w:after="60"/>
            </w:pPr>
            <w:r>
              <w:rPr>
                <w:sz w:val="17"/>
              </w:rPr>
              <w:t>445.37</w:t>
            </w:r>
          </w:p>
        </w:tc>
      </w:tr>
      <w:tr>
        <w:trPr>
          <w:cantSplit/>
        </w:trPr>
        <w:tc>
          <w:tcPr>
            <w:tcW w:type="dxa" w:w="1663"/>
          </w:tcPr>
          <w:p>
            <w:pPr>
              <w:spacing w:after="60"/>
            </w:pPr>
            <w:r>
              <w:rPr>
                <w:sz w:val="17"/>
              </w:rPr>
              <w:t>2020</w:t>
            </w:r>
          </w:p>
        </w:tc>
        <w:tc>
          <w:tcPr>
            <w:tcW w:type="dxa" w:w="1663"/>
          </w:tcPr>
          <w:p>
            <w:pPr>
              <w:spacing w:after="60"/>
            </w:pPr>
            <w:r>
              <w:rPr>
                <w:sz w:val="17"/>
              </w:rPr>
              <w:t>75</w:t>
            </w:r>
          </w:p>
        </w:tc>
        <w:tc>
          <w:tcPr>
            <w:tcW w:type="dxa" w:w="1663"/>
          </w:tcPr>
          <w:p>
            <w:pPr>
              <w:spacing w:after="60"/>
            </w:pPr>
            <w:r>
              <w:rPr>
                <w:sz w:val="17"/>
              </w:rPr>
              <w:t>0.0</w:t>
            </w:r>
          </w:p>
        </w:tc>
        <w:tc>
          <w:tcPr>
            <w:tcW w:type="dxa" w:w="1663"/>
          </w:tcPr>
          <w:p>
            <w:pPr>
              <w:spacing w:after="60"/>
            </w:pPr>
            <w:r>
              <w:rPr>
                <w:sz w:val="17"/>
              </w:rPr>
              <w:t>2.30</w:t>
            </w:r>
          </w:p>
        </w:tc>
        <w:tc>
          <w:tcPr>
            <w:tcW w:type="dxa" w:w="1663"/>
          </w:tcPr>
          <w:p>
            <w:pPr>
              <w:spacing w:after="60"/>
            </w:pPr>
            <w:r>
              <w:rPr>
                <w:sz w:val="17"/>
              </w:rPr>
              <w:t>84.88</w:t>
            </w:r>
          </w:p>
        </w:tc>
        <w:tc>
          <w:tcPr>
            <w:tcW w:type="dxa" w:w="1663"/>
          </w:tcPr>
          <w:p>
            <w:pPr>
              <w:spacing w:after="60"/>
            </w:pPr>
            <w:r>
              <w:rPr>
                <w:sz w:val="17"/>
              </w:rPr>
              <w:t>559.86</w:t>
            </w:r>
          </w:p>
        </w:tc>
      </w:tr>
      <w:tr>
        <w:trPr>
          <w:cantSplit/>
        </w:trPr>
        <w:tc>
          <w:tcPr>
            <w:tcW w:type="dxa" w:w="1663"/>
          </w:tcPr>
          <w:p>
            <w:pPr>
              <w:spacing w:after="60"/>
            </w:pPr>
            <w:r>
              <w:rPr>
                <w:sz w:val="17"/>
              </w:rPr>
              <w:t>2021</w:t>
            </w:r>
          </w:p>
        </w:tc>
        <w:tc>
          <w:tcPr>
            <w:tcW w:type="dxa" w:w="1663"/>
          </w:tcPr>
          <w:p>
            <w:pPr>
              <w:spacing w:after="60"/>
            </w:pPr>
            <w:r>
              <w:rPr>
                <w:sz w:val="17"/>
              </w:rPr>
              <w:t>75</w:t>
            </w:r>
          </w:p>
        </w:tc>
        <w:tc>
          <w:tcPr>
            <w:tcW w:type="dxa" w:w="1663"/>
          </w:tcPr>
          <w:p>
            <w:pPr>
              <w:spacing w:after="60"/>
            </w:pPr>
            <w:r>
              <w:rPr>
                <w:sz w:val="17"/>
              </w:rPr>
              <w:t>0.0</w:t>
            </w:r>
          </w:p>
        </w:tc>
        <w:tc>
          <w:tcPr>
            <w:tcW w:type="dxa" w:w="1663"/>
          </w:tcPr>
          <w:p>
            <w:pPr>
              <w:spacing w:after="60"/>
            </w:pPr>
            <w:r>
              <w:rPr>
                <w:sz w:val="17"/>
              </w:rPr>
              <w:t>2.30</w:t>
            </w:r>
          </w:p>
        </w:tc>
        <w:tc>
          <w:tcPr>
            <w:tcW w:type="dxa" w:w="1663"/>
          </w:tcPr>
          <w:p>
            <w:pPr>
              <w:spacing w:after="60"/>
            </w:pPr>
            <w:r>
              <w:rPr>
                <w:sz w:val="17"/>
              </w:rPr>
              <w:t>114.90</w:t>
            </w:r>
          </w:p>
        </w:tc>
        <w:tc>
          <w:tcPr>
            <w:tcW w:type="dxa" w:w="1663"/>
          </w:tcPr>
          <w:p>
            <w:pPr>
              <w:spacing w:after="60"/>
            </w:pPr>
            <w:r>
              <w:rPr>
                <w:sz w:val="17"/>
              </w:rPr>
              <w:t>633.57</w:t>
            </w:r>
          </w:p>
        </w:tc>
      </w:tr>
      <w:tr>
        <w:trPr>
          <w:cantSplit/>
        </w:trPr>
        <w:tc>
          <w:tcPr>
            <w:tcW w:type="dxa" w:w="1663"/>
          </w:tcPr>
          <w:p>
            <w:pPr>
              <w:spacing w:after="60"/>
            </w:pPr>
            <w:r>
              <w:rPr>
                <w:sz w:val="17"/>
              </w:rPr>
              <w:t>2022</w:t>
            </w:r>
          </w:p>
        </w:tc>
        <w:tc>
          <w:tcPr>
            <w:tcW w:type="dxa" w:w="1663"/>
          </w:tcPr>
          <w:p>
            <w:pPr>
              <w:spacing w:after="60"/>
            </w:pPr>
            <w:r>
              <w:rPr>
                <w:sz w:val="17"/>
              </w:rPr>
              <w:t>75</w:t>
            </w:r>
          </w:p>
        </w:tc>
        <w:tc>
          <w:tcPr>
            <w:tcW w:type="dxa" w:w="1663"/>
          </w:tcPr>
          <w:p>
            <w:pPr>
              <w:spacing w:after="60"/>
            </w:pPr>
            <w:r>
              <w:rPr>
                <w:sz w:val="17"/>
              </w:rPr>
              <w:t>0.0</w:t>
            </w:r>
          </w:p>
        </w:tc>
        <w:tc>
          <w:tcPr>
            <w:tcW w:type="dxa" w:w="1663"/>
          </w:tcPr>
          <w:p>
            <w:pPr>
              <w:spacing w:after="60"/>
            </w:pPr>
            <w:r>
              <w:rPr>
                <w:sz w:val="17"/>
              </w:rPr>
              <w:t>2.30</w:t>
            </w:r>
          </w:p>
        </w:tc>
        <w:tc>
          <w:tcPr>
            <w:tcW w:type="dxa" w:w="1663"/>
          </w:tcPr>
          <w:p>
            <w:pPr>
              <w:spacing w:after="60"/>
            </w:pPr>
            <w:r>
              <w:rPr>
                <w:sz w:val="17"/>
              </w:rPr>
              <w:t>85.95</w:t>
            </w:r>
          </w:p>
        </w:tc>
        <w:tc>
          <w:tcPr>
            <w:tcW w:type="dxa" w:w="1663"/>
          </w:tcPr>
          <w:p>
            <w:pPr>
              <w:spacing w:after="60"/>
            </w:pPr>
            <w:r>
              <w:rPr>
                <w:sz w:val="17"/>
              </w:rPr>
              <w:t>404.94</w:t>
            </w:r>
          </w:p>
        </w:tc>
      </w:tr>
    </w:tbl>
    <w:p>
      <w:r>
        <w:t>自然边界不变：使用原年别天气与原ETo订正，土壤24×0.1m、初始含水、原中央参数及原作物模型不变。年内各方案天气和初始土壤水完全相同。ETo是输入，实际ET是冠层和土壤含水共同决定的输出。报告另设置“季节实际ET等于原DI”的严格对照，不把ET当成可直接改写的常数。</w:t>
      </w:r>
    </w:p>
    <w:p>
      <w:r>
        <w:t>比较对象：DI表示原实际灌水制度在模型中的回放；C1表示原95%观测产量门槛下的NSGA-III主候选。DI模型产量与文献实测产量不同。图中的星号是模型基线，不是实测值；“达到实际情况产量”必须按这一区别改写。</w:t>
      </w:r>
    </w:p>
    <w:p>
      <w:pPr>
        <w:pStyle w:val="Heading2"/>
      </w:pPr>
      <w:r>
        <w:t>四年原DI与C1（产量单位t/ha；灌水单位mm）</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pPr>
              <w:spacing w:after="60"/>
            </w:pPr>
            <w:r>
              <w:rPr>
                <w:sz w:val="17"/>
              </w:rPr>
              <w:t>年份</w:t>
            </w:r>
          </w:p>
        </w:tc>
        <w:tc>
          <w:tcPr>
            <w:tcW w:type="dxa" w:w="1663"/>
          </w:tcPr>
          <w:p>
            <w:pPr>
              <w:spacing w:after="60"/>
            </w:pPr>
            <w:r>
              <w:rPr>
                <w:sz w:val="17"/>
              </w:rPr>
              <w:t>观测产量</w:t>
            </w:r>
          </w:p>
        </w:tc>
        <w:tc>
          <w:tcPr>
            <w:tcW w:type="dxa" w:w="1663"/>
          </w:tcPr>
          <w:p>
            <w:pPr>
              <w:spacing w:after="60"/>
            </w:pPr>
            <w:r>
              <w:rPr>
                <w:sz w:val="17"/>
              </w:rPr>
              <w:t>DI模型产量</w:t>
            </w:r>
          </w:p>
        </w:tc>
        <w:tc>
          <w:tcPr>
            <w:tcW w:type="dxa" w:w="1663"/>
          </w:tcPr>
          <w:p>
            <w:pPr>
              <w:spacing w:after="60"/>
            </w:pPr>
            <w:r>
              <w:rPr>
                <w:sz w:val="17"/>
              </w:rPr>
              <w:t>C1产量</w:t>
            </w:r>
          </w:p>
        </w:tc>
        <w:tc>
          <w:tcPr>
            <w:tcW w:type="dxa" w:w="1663"/>
          </w:tcPr>
          <w:p>
            <w:pPr>
              <w:spacing w:after="60"/>
            </w:pPr>
            <w:r>
              <w:rPr>
                <w:sz w:val="17"/>
              </w:rPr>
              <w:t>DI灌水</w:t>
            </w:r>
          </w:p>
        </w:tc>
        <w:tc>
          <w:tcPr>
            <w:tcW w:type="dxa" w:w="1663"/>
          </w:tcPr>
          <w:p>
            <w:pPr>
              <w:spacing w:after="60"/>
            </w:pPr>
            <w:r>
              <w:rPr>
                <w:sz w:val="17"/>
              </w:rPr>
              <w:t>C1灌水</w:t>
            </w:r>
          </w:p>
        </w:tc>
      </w:tr>
      <w:tr>
        <w:trPr>
          <w:cantSplit/>
        </w:trPr>
        <w:tc>
          <w:tcPr>
            <w:tcW w:type="dxa" w:w="1663"/>
          </w:tcPr>
          <w:p>
            <w:pPr>
              <w:spacing w:after="60"/>
            </w:pPr>
            <w:r>
              <w:rPr>
                <w:sz w:val="17"/>
              </w:rPr>
              <w:t>2019</w:t>
            </w:r>
          </w:p>
        </w:tc>
        <w:tc>
          <w:tcPr>
            <w:tcW w:type="dxa" w:w="1663"/>
          </w:tcPr>
          <w:p>
            <w:pPr>
              <w:spacing w:after="60"/>
            </w:pPr>
            <w:r>
              <w:rPr>
                <w:sz w:val="17"/>
              </w:rPr>
              <w:t>16.55</w:t>
            </w:r>
          </w:p>
        </w:tc>
        <w:tc>
          <w:tcPr>
            <w:tcW w:type="dxa" w:w="1663"/>
          </w:tcPr>
          <w:p>
            <w:pPr>
              <w:spacing w:after="60"/>
            </w:pPr>
            <w:r>
              <w:rPr>
                <w:sz w:val="17"/>
              </w:rPr>
              <w:t>16.70</w:t>
            </w:r>
          </w:p>
        </w:tc>
        <w:tc>
          <w:tcPr>
            <w:tcW w:type="dxa" w:w="1663"/>
          </w:tcPr>
          <w:p>
            <w:pPr>
              <w:spacing w:after="60"/>
            </w:pPr>
            <w:r>
              <w:rPr>
                <w:sz w:val="17"/>
              </w:rPr>
              <w:t>15.73</w:t>
            </w:r>
          </w:p>
        </w:tc>
        <w:tc>
          <w:tcPr>
            <w:tcW w:type="dxa" w:w="1663"/>
          </w:tcPr>
          <w:p>
            <w:pPr>
              <w:spacing w:after="60"/>
            </w:pPr>
            <w:r>
              <w:rPr>
                <w:sz w:val="17"/>
              </w:rPr>
              <w:t>445.3</w:t>
            </w:r>
          </w:p>
        </w:tc>
        <w:tc>
          <w:tcPr>
            <w:tcW w:type="dxa" w:w="1663"/>
          </w:tcPr>
          <w:p>
            <w:pPr>
              <w:spacing w:after="60"/>
            </w:pPr>
            <w:r>
              <w:rPr>
                <w:sz w:val="17"/>
              </w:rPr>
              <w:t>218.4</w:t>
            </w:r>
          </w:p>
        </w:tc>
      </w:tr>
      <w:tr>
        <w:trPr>
          <w:cantSplit/>
        </w:trPr>
        <w:tc>
          <w:tcPr>
            <w:tcW w:type="dxa" w:w="1663"/>
          </w:tcPr>
          <w:p>
            <w:pPr>
              <w:spacing w:after="60"/>
            </w:pPr>
            <w:r>
              <w:rPr>
                <w:sz w:val="17"/>
              </w:rPr>
              <w:t>2020</w:t>
            </w:r>
          </w:p>
        </w:tc>
        <w:tc>
          <w:tcPr>
            <w:tcW w:type="dxa" w:w="1663"/>
          </w:tcPr>
          <w:p>
            <w:pPr>
              <w:spacing w:after="60"/>
            </w:pPr>
            <w:r>
              <w:rPr>
                <w:sz w:val="17"/>
              </w:rPr>
              <w:t>17.29</w:t>
            </w:r>
          </w:p>
        </w:tc>
        <w:tc>
          <w:tcPr>
            <w:tcW w:type="dxa" w:w="1663"/>
          </w:tcPr>
          <w:p>
            <w:pPr>
              <w:spacing w:after="60"/>
            </w:pPr>
            <w:r>
              <w:rPr>
                <w:sz w:val="17"/>
              </w:rPr>
              <w:t>16.80</w:t>
            </w:r>
          </w:p>
        </w:tc>
        <w:tc>
          <w:tcPr>
            <w:tcW w:type="dxa" w:w="1663"/>
          </w:tcPr>
          <w:p>
            <w:pPr>
              <w:spacing w:after="60"/>
            </w:pPr>
            <w:r>
              <w:rPr>
                <w:sz w:val="17"/>
              </w:rPr>
              <w:t>16.43</w:t>
            </w:r>
          </w:p>
        </w:tc>
        <w:tc>
          <w:tcPr>
            <w:tcW w:type="dxa" w:w="1663"/>
          </w:tcPr>
          <w:p>
            <w:pPr>
              <w:spacing w:after="60"/>
            </w:pPr>
            <w:r>
              <w:rPr>
                <w:sz w:val="17"/>
              </w:rPr>
              <w:t>559.8</w:t>
            </w:r>
          </w:p>
        </w:tc>
        <w:tc>
          <w:tcPr>
            <w:tcW w:type="dxa" w:w="1663"/>
          </w:tcPr>
          <w:p>
            <w:pPr>
              <w:spacing w:after="60"/>
            </w:pPr>
            <w:r>
              <w:rPr>
                <w:sz w:val="17"/>
              </w:rPr>
              <w:t>312.4</w:t>
            </w:r>
          </w:p>
        </w:tc>
      </w:tr>
      <w:tr>
        <w:trPr>
          <w:cantSplit/>
        </w:trPr>
        <w:tc>
          <w:tcPr>
            <w:tcW w:type="dxa" w:w="1663"/>
          </w:tcPr>
          <w:p>
            <w:pPr>
              <w:spacing w:after="60"/>
            </w:pPr>
            <w:r>
              <w:rPr>
                <w:sz w:val="17"/>
              </w:rPr>
              <w:t>2021</w:t>
            </w:r>
          </w:p>
        </w:tc>
        <w:tc>
          <w:tcPr>
            <w:tcW w:type="dxa" w:w="1663"/>
          </w:tcPr>
          <w:p>
            <w:pPr>
              <w:spacing w:after="60"/>
            </w:pPr>
            <w:r>
              <w:rPr>
                <w:sz w:val="17"/>
              </w:rPr>
              <w:t>15.86</w:t>
            </w:r>
          </w:p>
        </w:tc>
        <w:tc>
          <w:tcPr>
            <w:tcW w:type="dxa" w:w="1663"/>
          </w:tcPr>
          <w:p>
            <w:pPr>
              <w:spacing w:after="60"/>
            </w:pPr>
            <w:r>
              <w:rPr>
                <w:sz w:val="17"/>
              </w:rPr>
              <w:t>15.20</w:t>
            </w:r>
          </w:p>
        </w:tc>
        <w:tc>
          <w:tcPr>
            <w:tcW w:type="dxa" w:w="1663"/>
          </w:tcPr>
          <w:p>
            <w:pPr>
              <w:spacing w:after="60"/>
            </w:pPr>
            <w:r>
              <w:rPr>
                <w:sz w:val="17"/>
              </w:rPr>
              <w:t>15.07</w:t>
            </w:r>
          </w:p>
        </w:tc>
        <w:tc>
          <w:tcPr>
            <w:tcW w:type="dxa" w:w="1663"/>
          </w:tcPr>
          <w:p>
            <w:pPr>
              <w:spacing w:after="60"/>
            </w:pPr>
            <w:r>
              <w:rPr>
                <w:sz w:val="17"/>
              </w:rPr>
              <w:t>633.5</w:t>
            </w:r>
          </w:p>
        </w:tc>
        <w:tc>
          <w:tcPr>
            <w:tcW w:type="dxa" w:w="1663"/>
          </w:tcPr>
          <w:p>
            <w:pPr>
              <w:spacing w:after="60"/>
            </w:pPr>
            <w:r>
              <w:rPr>
                <w:sz w:val="17"/>
              </w:rPr>
              <w:t>267.3</w:t>
            </w:r>
          </w:p>
        </w:tc>
      </w:tr>
      <w:tr>
        <w:trPr>
          <w:cantSplit/>
        </w:trPr>
        <w:tc>
          <w:tcPr>
            <w:tcW w:type="dxa" w:w="1663"/>
          </w:tcPr>
          <w:p>
            <w:pPr>
              <w:spacing w:after="60"/>
            </w:pPr>
            <w:r>
              <w:rPr>
                <w:sz w:val="17"/>
              </w:rPr>
              <w:t>2022</w:t>
            </w:r>
          </w:p>
        </w:tc>
        <w:tc>
          <w:tcPr>
            <w:tcW w:type="dxa" w:w="1663"/>
          </w:tcPr>
          <w:p>
            <w:pPr>
              <w:spacing w:after="60"/>
            </w:pPr>
            <w:r>
              <w:rPr>
                <w:sz w:val="17"/>
              </w:rPr>
              <w:t>14.08</w:t>
            </w:r>
          </w:p>
        </w:tc>
        <w:tc>
          <w:tcPr>
            <w:tcW w:type="dxa" w:w="1663"/>
          </w:tcPr>
          <w:p>
            <w:pPr>
              <w:spacing w:after="60"/>
            </w:pPr>
            <w:r>
              <w:rPr>
                <w:sz w:val="17"/>
              </w:rPr>
              <w:t>14.08</w:t>
            </w:r>
          </w:p>
        </w:tc>
        <w:tc>
          <w:tcPr>
            <w:tcW w:type="dxa" w:w="1663"/>
          </w:tcPr>
          <w:p>
            <w:pPr>
              <w:spacing w:after="60"/>
            </w:pPr>
            <w:r>
              <w:rPr>
                <w:sz w:val="17"/>
              </w:rPr>
              <w:t>13.38</w:t>
            </w:r>
          </w:p>
        </w:tc>
        <w:tc>
          <w:tcPr>
            <w:tcW w:type="dxa" w:w="1663"/>
          </w:tcPr>
          <w:p>
            <w:pPr>
              <w:spacing w:after="60"/>
            </w:pPr>
            <w:r>
              <w:rPr>
                <w:sz w:val="17"/>
              </w:rPr>
              <w:t>404.8</w:t>
            </w:r>
          </w:p>
        </w:tc>
        <w:tc>
          <w:tcPr>
            <w:tcW w:type="dxa" w:w="1663"/>
          </w:tcPr>
          <w:p>
            <w:pPr>
              <w:spacing w:after="60"/>
            </w:pPr>
            <w:r>
              <w:rPr>
                <w:sz w:val="17"/>
              </w:rPr>
              <w:t>260.8</w:t>
            </w:r>
          </w:p>
        </w:tc>
      </w:tr>
    </w:tbl>
    <w:p>
      <w:r>
        <w:t>2020/2021年的观测产量为17.29/15.86，模型DI为16.804/15.197，C1为16.426/15.067。C1接近95%观测门槛，分别比模型DI低2.25%/0.86%；它们并没有达到观测产量。补充全范围搜索找到的最高产量约16.938/15.250，仍低于观测。</w:t>
      </w:r>
    </w:p>
    <w:p>
      <w:r>
        <w:t>即便要求匹配模型DI产量，既有全范围前沿也找到2020年337.31mm、2021年278.34mm的候选。故过度乐观现象不只是95%门槛带来的表述问题，必须进一步检查水量与根区过程。</w:t>
      </w:r>
    </w:p>
    <w:p>
      <w:pPr>
        <w:pStyle w:val="Heading1"/>
        <w:pageBreakBefore/>
      </w:pPr>
      <w:r>
        <w:t>2 水量闭合：减下来的水主要去了哪里？</w:t>
      </w:r>
    </w:p>
    <w:p>
      <w:r>
        <w:t>逐日按 P + I + CR + GW = Tr + Es + Runoff + DeepPerc + TileDrain + ΔS 核对。每年原DI和C1的降水、初始水、地下水条件相同；两者相减得到：减灌量 = ET减少量 + 季末储水差 + 径流/排水减少量。日残差约10⁻¹³mm，表明数值账目闭合；这不是模型结构正确性的证明。</w:t>
      </w:r>
    </w:p>
    <w:p>
      <w:pPr>
        <w:jc w:val="center"/>
      </w:pPr>
      <w:r>
        <w:drawing>
          <wp:inline xmlns:a="http://schemas.openxmlformats.org/drawingml/2006/main" xmlns:pic="http://schemas.openxmlformats.org/drawingml/2006/picture">
            <wp:extent cx="6300000" cy="2465478"/>
            <wp:docPr id="1" name="Picture 1"/>
            <wp:cNvGraphicFramePr>
              <a:graphicFrameLocks noChangeAspect="1"/>
            </wp:cNvGraphicFramePr>
            <a:graphic>
              <a:graphicData uri="http://schemas.openxmlformats.org/drawingml/2006/picture">
                <pic:pic>
                  <pic:nvPicPr>
                    <pic:cNvPr id="0" name="D01_Water_accounting_four_years.png"/>
                    <pic:cNvPicPr/>
                  </pic:nvPicPr>
                  <pic:blipFill>
                    <a:blip r:embed="rId10"/>
                    <a:stretch>
                      <a:fillRect/>
                    </a:stretch>
                  </pic:blipFill>
                  <pic:spPr>
                    <a:xfrm>
                      <a:off x="0" y="0"/>
                      <a:ext cx="6300000" cy="2465478"/>
                    </a:xfrm>
                    <a:prstGeom prst="rect"/>
                  </pic:spPr>
                </pic:pic>
              </a:graphicData>
            </a:graphic>
          </wp:inline>
        </w:drawing>
      </w:r>
    </w:p>
    <w:p>
      <w:pPr>
        <w:pStyle w:val="Caption"/>
      </w:pPr>
      <w:r>
        <w:t>图D01 · Apparent irrigation reductions and soil-storage accounting</w:t>
      </w:r>
    </w:p>
    <w:p>
      <w:r>
        <w:t>图解：2020/2021年季末储水差解释灌水减少量的93.3%/97.4%；原DI增储而C1耗储。</w:t>
      </w:r>
    </w:p>
    <w:p>
      <w:pPr>
        <w:pStyle w:val="Caption"/>
      </w:pPr>
      <w:r>
        <w:t>解释边界：季末储水差不是全部来自初始深层水；该图不证明盆地尺度净节水。</w:t>
      </w:r>
    </w:p>
    <w:p>
      <w:pPr>
        <w:pStyle w:val="Caption"/>
      </w:pPr>
      <w:r>
        <w:t>数据：Water_reduction_accounting.csv</w:t>
      </w:r>
    </w:p>
    <w:p>
      <w:pPr>
        <w:pStyle w:val="Heading2"/>
      </w:pPr>
      <w:r>
        <w:t>2020/2021年减灌量分解（mm）</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pPr>
              <w:spacing w:after="60"/>
            </w:pPr>
            <w:r>
              <w:rPr>
                <w:sz w:val="17"/>
              </w:rPr>
              <w:t>年份</w:t>
            </w:r>
          </w:p>
        </w:tc>
        <w:tc>
          <w:tcPr>
            <w:tcW w:type="dxa" w:w="1663"/>
          </w:tcPr>
          <w:p>
            <w:pPr>
              <w:spacing w:after="60"/>
            </w:pPr>
            <w:r>
              <w:rPr>
                <w:sz w:val="17"/>
              </w:rPr>
              <w:t>减灌量</w:t>
            </w:r>
          </w:p>
        </w:tc>
        <w:tc>
          <w:tcPr>
            <w:tcW w:type="dxa" w:w="1663"/>
          </w:tcPr>
          <w:p>
            <w:pPr>
              <w:spacing w:after="60"/>
            </w:pPr>
            <w:r>
              <w:rPr>
                <w:sz w:val="17"/>
              </w:rPr>
              <w:t>ET减少</w:t>
            </w:r>
          </w:p>
        </w:tc>
        <w:tc>
          <w:tcPr>
            <w:tcW w:type="dxa" w:w="1663"/>
          </w:tcPr>
          <w:p>
            <w:pPr>
              <w:spacing w:after="60"/>
            </w:pPr>
            <w:r>
              <w:rPr>
                <w:sz w:val="17"/>
              </w:rPr>
              <w:t>季末储水差</w:t>
            </w:r>
          </w:p>
        </w:tc>
        <w:tc>
          <w:tcPr>
            <w:tcW w:type="dxa" w:w="1663"/>
          </w:tcPr>
          <w:p>
            <w:pPr>
              <w:spacing w:after="60"/>
            </w:pPr>
            <w:r>
              <w:rPr>
                <w:sz w:val="17"/>
              </w:rPr>
              <w:t>径流排水差</w:t>
            </w:r>
          </w:p>
        </w:tc>
        <w:tc>
          <w:tcPr>
            <w:tcW w:type="dxa" w:w="1663"/>
          </w:tcPr>
          <w:p>
            <w:pPr>
              <w:spacing w:after="60"/>
            </w:pPr>
            <w:r>
              <w:rPr>
                <w:sz w:val="17"/>
              </w:rPr>
              <w:t>储水占比%</w:t>
            </w:r>
          </w:p>
        </w:tc>
      </w:tr>
      <w:tr>
        <w:trPr>
          <w:cantSplit/>
        </w:trPr>
        <w:tc>
          <w:tcPr>
            <w:tcW w:type="dxa" w:w="1663"/>
          </w:tcPr>
          <w:p>
            <w:pPr>
              <w:spacing w:after="60"/>
            </w:pPr>
            <w:r>
              <w:rPr>
                <w:sz w:val="17"/>
              </w:rPr>
              <w:t>2020</w:t>
            </w:r>
          </w:p>
        </w:tc>
        <w:tc>
          <w:tcPr>
            <w:tcW w:type="dxa" w:w="1663"/>
          </w:tcPr>
          <w:p>
            <w:pPr>
              <w:spacing w:after="60"/>
            </w:pPr>
            <w:r>
              <w:rPr>
                <w:sz w:val="17"/>
              </w:rPr>
              <w:t>247.34</w:t>
            </w:r>
          </w:p>
        </w:tc>
        <w:tc>
          <w:tcPr>
            <w:tcW w:type="dxa" w:w="1663"/>
          </w:tcPr>
          <w:p>
            <w:pPr>
              <w:spacing w:after="60"/>
            </w:pPr>
            <w:r>
              <w:rPr>
                <w:sz w:val="17"/>
              </w:rPr>
              <w:t>15.25</w:t>
            </w:r>
          </w:p>
        </w:tc>
        <w:tc>
          <w:tcPr>
            <w:tcW w:type="dxa" w:w="1663"/>
          </w:tcPr>
          <w:p>
            <w:pPr>
              <w:spacing w:after="60"/>
            </w:pPr>
            <w:r>
              <w:rPr>
                <w:sz w:val="17"/>
              </w:rPr>
              <w:t>230.75</w:t>
            </w:r>
          </w:p>
        </w:tc>
        <w:tc>
          <w:tcPr>
            <w:tcW w:type="dxa" w:w="1663"/>
          </w:tcPr>
          <w:p>
            <w:pPr>
              <w:spacing w:after="60"/>
            </w:pPr>
            <w:r>
              <w:rPr>
                <w:sz w:val="17"/>
              </w:rPr>
              <w:t>1.34</w:t>
            </w:r>
          </w:p>
        </w:tc>
        <w:tc>
          <w:tcPr>
            <w:tcW w:type="dxa" w:w="1663"/>
          </w:tcPr>
          <w:p>
            <w:pPr>
              <w:spacing w:after="60"/>
            </w:pPr>
            <w:r>
              <w:rPr>
                <w:sz w:val="17"/>
              </w:rPr>
              <w:t>93.3</w:t>
            </w:r>
          </w:p>
        </w:tc>
      </w:tr>
      <w:tr>
        <w:trPr>
          <w:cantSplit/>
        </w:trPr>
        <w:tc>
          <w:tcPr>
            <w:tcW w:type="dxa" w:w="1663"/>
          </w:tcPr>
          <w:p>
            <w:pPr>
              <w:spacing w:after="60"/>
            </w:pPr>
            <w:r>
              <w:rPr>
                <w:sz w:val="17"/>
              </w:rPr>
              <w:t>2021</w:t>
            </w:r>
          </w:p>
        </w:tc>
        <w:tc>
          <w:tcPr>
            <w:tcW w:type="dxa" w:w="1663"/>
          </w:tcPr>
          <w:p>
            <w:pPr>
              <w:spacing w:after="60"/>
            </w:pPr>
            <w:r>
              <w:rPr>
                <w:sz w:val="17"/>
              </w:rPr>
              <w:t>366.17</w:t>
            </w:r>
          </w:p>
        </w:tc>
        <w:tc>
          <w:tcPr>
            <w:tcW w:type="dxa" w:w="1663"/>
          </w:tcPr>
          <w:p>
            <w:pPr>
              <w:spacing w:after="60"/>
            </w:pPr>
            <w:r>
              <w:rPr>
                <w:sz w:val="17"/>
              </w:rPr>
              <w:t>8.63</w:t>
            </w:r>
          </w:p>
        </w:tc>
        <w:tc>
          <w:tcPr>
            <w:tcW w:type="dxa" w:w="1663"/>
          </w:tcPr>
          <w:p>
            <w:pPr>
              <w:spacing w:after="60"/>
            </w:pPr>
            <w:r>
              <w:rPr>
                <w:sz w:val="17"/>
              </w:rPr>
              <w:t>356.71</w:t>
            </w:r>
          </w:p>
        </w:tc>
        <w:tc>
          <w:tcPr>
            <w:tcW w:type="dxa" w:w="1663"/>
          </w:tcPr>
          <w:p>
            <w:pPr>
              <w:spacing w:after="60"/>
            </w:pPr>
            <w:r>
              <w:rPr>
                <w:sz w:val="17"/>
              </w:rPr>
              <w:t>0.84</w:t>
            </w:r>
          </w:p>
        </w:tc>
        <w:tc>
          <w:tcPr>
            <w:tcW w:type="dxa" w:w="1663"/>
          </w:tcPr>
          <w:p>
            <w:pPr>
              <w:spacing w:after="60"/>
            </w:pPr>
            <w:r>
              <w:rPr>
                <w:sz w:val="17"/>
              </w:rPr>
              <w:t>97.4</w:t>
            </w:r>
          </w:p>
        </w:tc>
      </w:tr>
    </w:tbl>
    <w:p>
      <w:r>
        <w:t>2020年原DI季内增储61.92mm，C1耗储168.83mm，合成230.75mm季末差；2021年则是原DI增储169.97mm、C1耗储186.74mm，合成356.71mm差。它既包含“少向土壤补蓄”，也包含“额外动用已有储水”，不能全部称为开采初始深层水。</w:t>
      </w:r>
    </w:p>
    <w:p>
      <w:r>
        <w:t>剔除季末储水差后，减灌账中剩余仅16.59/9.46mm，约为原灌水量的2.96%/1.49%。这只是水量账差额，不能直接当作真实可持续节水率：径流、回归水和季后补蓄尚未做完整水文周期核算。</w:t>
      </w:r>
    </w:p>
    <w:p>
      <w:pPr>
        <w:pStyle w:val="Heading1"/>
        <w:pageBreakBefore/>
      </w:pPr>
      <w:r>
        <w:t>3 冠层与胁迫：产量为什么没有随灌水减半？</w:t>
      </w:r>
    </w:p>
    <w:p>
      <w:pPr>
        <w:jc w:val="center"/>
      </w:pPr>
      <w:r>
        <w:drawing>
          <wp:inline xmlns:a="http://schemas.openxmlformats.org/drawingml/2006/main" xmlns:pic="http://schemas.openxmlformats.org/drawingml/2006/picture">
            <wp:extent cx="6300000" cy="5078478"/>
            <wp:docPr id="2" name="Picture 2"/>
            <wp:cNvGraphicFramePr>
              <a:graphicFrameLocks noChangeAspect="1"/>
            </wp:cNvGraphicFramePr>
            <a:graphic>
              <a:graphicData uri="http://schemas.openxmlformats.org/drawingml/2006/picture">
                <pic:pic>
                  <pic:nvPicPr>
                    <pic:cNvPr id="0" name="D02_Daily_storage_canopy_stress.png"/>
                    <pic:cNvPicPr/>
                  </pic:nvPicPr>
                  <pic:blipFill>
                    <a:blip r:embed="rId11"/>
                    <a:stretch>
                      <a:fillRect/>
                    </a:stretch>
                  </pic:blipFill>
                  <pic:spPr>
                    <a:xfrm>
                      <a:off x="0" y="0"/>
                      <a:ext cx="6300000" cy="5078478"/>
                    </a:xfrm>
                    <a:prstGeom prst="rect"/>
                  </pic:spPr>
                </pic:pic>
              </a:graphicData>
            </a:graphic>
          </wp:inline>
        </w:drawing>
      </w:r>
    </w:p>
    <w:p>
      <w:pPr>
        <w:pStyle w:val="Caption"/>
      </w:pPr>
      <w:r>
        <w:t>图D02 · Daily water storage, canopy and stomatal response</w:t>
      </w:r>
    </w:p>
    <w:p>
      <w:r>
        <w:t>图解：C1的主要差异出现在季末储水；冠层峰值接近，模型开花窗口内授粉胁迫系数接近1。</w:t>
      </w:r>
    </w:p>
    <w:p>
      <w:pPr>
        <w:pStyle w:val="Caption"/>
      </w:pPr>
      <w:r>
        <w:t>解释边界：灰色窗为模型日历开花窗口，并非独立田间物候观测；K=1表示该项水分胁迫未触发。</w:t>
      </w:r>
    </w:p>
    <w:p>
      <w:pPr>
        <w:pStyle w:val="Caption"/>
      </w:pPr>
      <w:r>
        <w:t>数据：All_daily_traces.csv.gz, Canopy_stress_diagnostics.csv</w:t>
      </w:r>
    </w:p>
    <w:p>
      <w:r>
        <w:t>2020年原DI/C1冠层峰值为0.925/0.937，C1因前期集中供水甚至略高；2021年两者均为0.953。冠层没有显著损失，开花模型窗口的授粉水分胁迫系数均为1。原DI在冠层&gt;0.1期间没有气孔水分胁迫；C1只有后期部分日子触发，平均线性气孔胁迫系数仍为0.973/0.992。</w:t>
      </w:r>
    </w:p>
    <w:p>
      <w:r>
        <w:t>因而模型仍能维持大部分蒸腾，生物量略减，产量变化很小。本轮没有发现可用来解释原DI低产的缺氧胁迫；两年相应系数均未触发。不能在论文中把“优化避免了水涝”写成已证实原因。</w:t>
      </w:r>
    </w:p>
    <w:p>
      <w:r>
        <w:t>尤其2021年，把每次原灌水直接减半、不运行遗传算法，灌水316.74mm时模型产量仍有15.134t/ha，仅比原DI低0.42%。这说明2021年的高节水潜力首先来自模型的供水—胁迫响应及原制度补蓄，而不只是NSGA-III找到了巧妙时机。2020年同样减半则降产11.73%，对灌水分配更敏感。</w:t>
      </w:r>
    </w:p>
    <w:p>
      <w:pPr>
        <w:pStyle w:val="Heading1"/>
        <w:pageBreakBefore/>
      </w:pPr>
      <w:r>
        <w:t>4 湿度分配：24个土层的水怎样被利用？</w:t>
      </w:r>
    </w:p>
    <w:p>
      <w:pPr>
        <w:jc w:val="center"/>
      </w:pPr>
      <w:r>
        <w:drawing>
          <wp:inline xmlns:a="http://schemas.openxmlformats.org/drawingml/2006/main" xmlns:pic="http://schemas.openxmlformats.org/drawingml/2006/picture">
            <wp:extent cx="6300000" cy="3844119"/>
            <wp:docPr id="3" name="Picture 3"/>
            <wp:cNvGraphicFramePr>
              <a:graphicFrameLocks noChangeAspect="1"/>
            </wp:cNvGraphicFramePr>
            <a:graphic>
              <a:graphicData uri="http://schemas.openxmlformats.org/drawingml/2006/picture">
                <pic:pic>
                  <pic:nvPicPr>
                    <pic:cNvPr id="0" name="D03_Layer_moisture_and_roots.png"/>
                    <pic:cNvPicPr/>
                  </pic:nvPicPr>
                  <pic:blipFill>
                    <a:blip r:embed="rId12"/>
                    <a:stretch>
                      <a:fillRect/>
                    </a:stretch>
                  </pic:blipFill>
                  <pic:spPr>
                    <a:xfrm>
                      <a:off x="0" y="0"/>
                      <a:ext cx="6300000" cy="3844119"/>
                    </a:xfrm>
                    <a:prstGeom prst="rect"/>
                  </pic:spPr>
                </pic:pic>
              </a:graphicData>
            </a:graphic>
          </wp:inline>
        </w:drawing>
      </w:r>
    </w:p>
    <w:p>
      <w:pPr>
        <w:pStyle w:val="Caption"/>
      </w:pPr>
      <w:r>
        <w:t>图D03 · Soil moisture redistribution and modeled root depth</w:t>
      </w:r>
    </w:p>
    <w:p>
      <w:r>
        <w:t>图解：深层在原DI中有显著补蓄；C1减轻补蓄，同时降低表层含水。</w:t>
      </w:r>
    </w:p>
    <w:p>
      <w:pPr>
        <w:pStyle w:val="Caption"/>
      </w:pPr>
      <w:r>
        <w:t>解释边界：色标为田间持水量与萎蔫点之间的相对可利用水，不是饱和度；色标截在0与1.2；深层土壤性质与初始水仍需现场证据。</w:t>
      </w:r>
    </w:p>
    <w:p>
      <w:pPr>
        <w:pStyle w:val="Caption"/>
      </w:pPr>
      <w:r>
        <w:t>数据：All_layer_traces.csv.gz, All_daily_traces.csv.gz</w:t>
      </w:r>
    </w:p>
    <w:p>
      <w:r>
        <w:t>模型默认最大根深2.3m，2020/2021年分别于5月22日、5月29日即超过1m，首次灌水前已有约1.32/1.28m根深。深根域参与储水可用性与水分胁迫判断，使减少后期灌水仍可能维持冠层与蒸腾。这里描述的是模型根深，不是已被田间根系采样证实的根深。</w:t>
      </w:r>
    </w:p>
    <w:p>
      <w:r>
        <w:t>证据弱点在于：土壤水力性质原资料仅支持到1m，1–2.4m沿用末层性质；播种日0–1m初始含水是论文图的近似读取，深层来自ERA5-Land。文件中的LOCKED/FIELD命名表示复现冻结，不等于这些含水已经由原始实测表验证。</w:t>
      </w:r>
    </w:p>
    <w:p>
      <w:r>
        <w:t>若真实滴灌湿润体积、根系分布或限制层不同，模型用整个等效剖面的水支撑冠层，就会高估亏缺灌溉外推能力。AppEff=100%、WetSurf=100%也是原输入约定，不能在没有水表和湿润体调查的情况下当成真实田间效率与滴灌湿润范围。</w:t>
      </w:r>
    </w:p>
    <w:p>
      <w:pPr>
        <w:pStyle w:val="Heading1"/>
        <w:pageBreakBefore/>
      </w:pPr>
      <w:r>
        <w:t>5 逐时期水量：两年的机制不同</w:t>
      </w:r>
    </w:p>
    <w:p>
      <w:pPr>
        <w:jc w:val="center"/>
      </w:pPr>
      <w:r>
        <w:drawing>
          <wp:inline xmlns:a="http://schemas.openxmlformats.org/drawingml/2006/main" xmlns:pic="http://schemas.openxmlformats.org/drawingml/2006/picture">
            <wp:extent cx="5601413" cy="4535999"/>
            <wp:docPr id="4" name="Picture 4"/>
            <wp:cNvGraphicFramePr>
              <a:graphicFrameLocks noChangeAspect="1"/>
            </wp:cNvGraphicFramePr>
            <a:graphic>
              <a:graphicData uri="http://schemas.openxmlformats.org/drawingml/2006/picture">
                <pic:pic>
                  <pic:nvPicPr>
                    <pic:cNvPr id="0" name="D04_Period_water_budgets.png"/>
                    <pic:cNvPicPr/>
                  </pic:nvPicPr>
                  <pic:blipFill>
                    <a:blip r:embed="rId13"/>
                    <a:stretch>
                      <a:fillRect/>
                    </a:stretch>
                  </pic:blipFill>
                  <pic:spPr>
                    <a:xfrm>
                      <a:off x="0" y="0"/>
                      <a:ext cx="5601413" cy="4535999"/>
                    </a:xfrm>
                    <a:prstGeom prst="rect"/>
                  </pic:spPr>
                </pic:pic>
              </a:graphicData>
            </a:graphic>
          </wp:inline>
        </w:drawing>
      </w:r>
    </w:p>
    <w:p>
      <w:pPr>
        <w:pStyle w:val="Caption"/>
      </w:pPr>
      <w:r>
        <w:t>图D04 · Water allocation over model calendar periods</w:t>
      </w:r>
    </w:p>
    <w:p>
      <w:r>
        <w:t>图解：2020年C1几乎全部灌水前置，生殖期依赖储水；2021年原DI后期灌水相当一部分留在土壤。</w:t>
      </w:r>
    </w:p>
    <w:p>
      <w:pPr>
        <w:pStyle w:val="Caption"/>
      </w:pPr>
      <w:r>
        <w:t>解释边界：五个诊断日历时期与四个优化决策窗口不同；不得直接解释成五次田间灌水。</w:t>
      </w:r>
    </w:p>
    <w:p>
      <w:pPr>
        <w:pStyle w:val="Caption"/>
      </w:pPr>
      <w:r>
        <w:t>数据：Period_water_canopy_stress.csv</w:t>
      </w:r>
    </w:p>
    <w:p>
      <w:r>
        <w:t>2020：C1在首次灌水至模型收获指数起始前投入311.85mm，已占全年312.42mm的99.8%；开花窗口仅0.55mm，后续产量形成期约0.02mm。对应开花窗口和后续产量形成期的储水分别减少62.68、176.36mm。它实际上先把水集中存进剖面，再靠根域储水维持生殖期。</w:t>
      </w:r>
    </w:p>
    <w:p>
      <w:r>
        <w:t>2021：开花窗口原DI灌水76.60mm，C1为0；后续产量形成期原DI灌水292.28mm，C1仅87.57mm，而该期原DI储水增加149.38mm、C1减少49.51mm。两者该期蒸腾仍为209.60/205.52mm，模型因此允许大幅削减灌水而几乎不减产。</w:t>
      </w:r>
    </w:p>
    <w:p>
      <w:r>
        <w:t>这里按五个固定模型日历时期对账，不是重定义灌水决策变量。时期从首次灌水、原HI起始、原开花时长与原HIend确定；并非新获得的田间物候记录。完整起止日期与雨、灌、Tr、Es、径流、深渗、ΔS见Excel的Five_periods与Period_definitions页；Period_x_layer_water页另有四年DI/C1每时期×24层的期初、期末、平均含水和取水，共960条记录。</w:t>
      </w:r>
    </w:p>
    <w:p>
      <w:pPr>
        <w:pStyle w:val="Heading1"/>
        <w:pageBreakBefore/>
      </w:pPr>
      <w:r>
        <w:t>6 单次施灌设置：区分日程数值上限与田间能力</w:t>
      </w:r>
    </w:p>
    <w:p>
      <w:pPr>
        <w:jc w:val="center"/>
      </w:pPr>
      <w:r>
        <w:drawing>
          <wp:inline xmlns:a="http://schemas.openxmlformats.org/drawingml/2006/main" xmlns:pic="http://schemas.openxmlformats.org/drawingml/2006/picture">
            <wp:extent cx="6300000" cy="4040184"/>
            <wp:docPr id="5" name="Picture 5"/>
            <wp:cNvGraphicFramePr>
              <a:graphicFrameLocks noChangeAspect="1"/>
            </wp:cNvGraphicFramePr>
            <a:graphic>
              <a:graphicData uri="http://schemas.openxmlformats.org/drawingml/2006/picture">
                <pic:pic>
                  <pic:nvPicPr>
                    <pic:cNvPr id="0" name="D05_Event_allocation_and_original_setting.png"/>
                    <pic:cNvPicPr/>
                  </pic:nvPicPr>
                  <pic:blipFill>
                    <a:blip r:embed="rId14"/>
                    <a:stretch>
                      <a:fillRect/>
                    </a:stretch>
                  </pic:blipFill>
                  <pic:spPr>
                    <a:xfrm>
                      <a:off x="0" y="0"/>
                      <a:ext cx="6300000" cy="4040184"/>
                    </a:xfrm>
                    <a:prstGeom prst="rect"/>
                  </pic:spPr>
                </pic:pic>
              </a:graphicData>
            </a:graphic>
          </wp:inline>
        </w:drawing>
      </w:r>
    </w:p>
    <w:p>
      <w:pPr>
        <w:pStyle w:val="Caption"/>
      </w:pPr>
      <w:r>
        <w:t>图D05 · Actual irrigation events and the original per-event setting</w:t>
      </w:r>
    </w:p>
    <w:p>
      <w:r>
        <w:t>图解：原接口随候选调大MaxIrr，2020年C1单次约180mm超过原日程执行设置84.88mm。</w:t>
      </w:r>
    </w:p>
    <w:p>
      <w:pPr>
        <w:pStyle w:val="Caption"/>
      </w:pPr>
      <w:r>
        <w:t>解释边界：用户已确认原MaxIrr是保障实测日程执行的数值上限，并非设备极限；固定原上限只是受控诊断，不能凭此认定原接口错误。</w:t>
      </w:r>
    </w:p>
    <w:p>
      <w:pPr>
        <w:pStyle w:val="Caption"/>
      </w:pPr>
      <w:r>
        <w:t>数据：Actual_event_schedules_DI_C1.csv, Original_configuration.csv</w:t>
      </w:r>
    </w:p>
    <w:p>
      <w:r>
        <w:t>原four_year_adapter.py第149行把MaxIrr设成候选最大单次灌水加0.1mm，也把季总数值上限随候选调整。2020年C1的最大单次179.89mm因此可以执行，而原DI上限为84.88mm。用户已经确认，这些上限用于保证给定日程完整执行，不是已知现场能力约束；若优化允许改变事件量，随新日程调整执行上限本身不能据此判定为错误。</w:t>
      </w:r>
    </w:p>
    <w:p>
      <w:r>
        <w:t>本轮额外固定原上限，作为“保持原执行设置”的受控敏感性诊断。实现上同时约束候选事件量并核对实际施灌，避免靠模型内部截断、却仍拿计划量作横轴。若研究目的要求现实可实施性，最终应使用由流量、时长、面积及土壤入渗能力证实的上限，不能直接把原实测最大量当成真实设备极限。</w:t>
      </w:r>
    </w:p>
    <w:p>
      <w:r>
        <w:t>固定这组原数值上限后，2020/2021年的诊断减灌比例仍为42.9%/57.8%，储水边界仍是主导因素。2020年180mm集中早灌是否可实施，当前只能标为待核实；只裁掉原候选的大事件而不重新优化，也不能代表有约束条件下的最优结果。</w:t>
      </w:r>
    </w:p>
    <w:p>
      <w:pPr>
        <w:pStyle w:val="Heading1"/>
        <w:pageBreakBefore/>
      </w:pPr>
      <w:r>
        <w:t>7 根深诊断：原方案拟合不能验证减灌外推</w:t>
      </w:r>
    </w:p>
    <w:p>
      <w:pPr>
        <w:jc w:val="center"/>
      </w:pPr>
      <w:r>
        <w:drawing>
          <wp:inline xmlns:a="http://schemas.openxmlformats.org/drawingml/2006/main" xmlns:pic="http://schemas.openxmlformats.org/drawingml/2006/picture">
            <wp:extent cx="6300000" cy="2438408"/>
            <wp:docPr id="6" name="Picture 6"/>
            <wp:cNvGraphicFramePr>
              <a:graphicFrameLocks noChangeAspect="1"/>
            </wp:cNvGraphicFramePr>
            <a:graphic>
              <a:graphicData uri="http://schemas.openxmlformats.org/drawingml/2006/picture">
                <pic:pic>
                  <pic:nvPicPr>
                    <pic:cNvPr id="0" name="D06_Root_depth_hypothesis_test.png"/>
                    <pic:cNvPicPr/>
                  </pic:nvPicPr>
                  <pic:blipFill>
                    <a:blip r:embed="rId15"/>
                    <a:stretch>
                      <a:fillRect/>
                    </a:stretch>
                  </pic:blipFill>
                  <pic:spPr>
                    <a:xfrm>
                      <a:off x="0" y="0"/>
                      <a:ext cx="6300000" cy="2438408"/>
                    </a:xfrm>
                    <a:prstGeom prst="rect"/>
                  </pic:spPr>
                </pic:pic>
              </a:graphicData>
            </a:graphic>
          </wp:inline>
        </w:drawing>
      </w:r>
    </w:p>
    <w:p>
      <w:pPr>
        <w:pStyle w:val="Caption"/>
      </w:pPr>
      <w:r>
        <w:t>图D06 · Root-depth sensitivity of fixed irrigation schedules</w:t>
      </w:r>
    </w:p>
    <w:p>
      <w:r>
        <w:t>图解：原DI拟合良好并不能保证亏缺灌溉外推合理；2020年C1对2.3m根深假设非常敏感。</w:t>
      </w:r>
    </w:p>
    <w:p>
      <w:pPr>
        <w:pStyle w:val="Caption"/>
      </w:pPr>
      <w:r>
        <w:t>解释边界：缩短根深仅是单因素诊断，未重校准；不能选一个更悲观根深充当真实根深。</w:t>
      </w:r>
    </w:p>
    <w:p>
      <w:pPr>
        <w:pStyle w:val="Caption"/>
      </w:pPr>
      <w:r>
        <w:t>数据：Root_depth_hypothesis_test.csv</w:t>
      </w:r>
    </w:p>
    <w:p>
      <w:r>
        <w:t>独立把Zmax设为0.6、1.0、1.5m，与原2.3m比较，其他参数和灌水制度不动。这只是假设敏感性检验，未重校准，也未据此认定真实根深。</w:t>
      </w:r>
    </w:p>
    <w:p>
      <w:r>
        <w:t>2020年Zmax=1m时，原DI仍能得到16.43t/ha，但同一个C1只剩8.38t/ha；原2.3m时两者为16.80/16.43。2021年1m时原DI为14.96，C1为12.57；2.3m时为15.20/15.07。原DI条件下产量拟合尚可，不能排除根域假设对亏缺灌溉外推造成很大偏差。</w:t>
      </w:r>
    </w:p>
    <w:p>
      <w:r>
        <w:t>可辨识性也有缺口：原八个MCMC参数为CCx、CGC_CD、CDC_CD、SenescenceCD、Kcb、WP_early、WP_late、HI0，不包括根深、根系分布和主要水分胁迫阈值/形状。原DI生长活跃期的气孔胁迫系数均为1，现有充分供水数据不能独立验证亏缺灌溉时这些默认响应是否正确。拟合冠层、生物量和产量通过，并不意味着减灌外推也通过。</w:t>
      </w:r>
    </w:p>
    <w:p>
      <w:r>
        <w:t>因此应优先补有效根深、深层土壤性质、田间含水时序与含水下限证据。没有这些数据时，可以把多个有农艺依据的根域情景作为结构不确定性报告；不能为了得到较小的节水率，直接把根深改成1m并沿用原校准参数做最终结论。</w:t>
      </w:r>
    </w:p>
    <w:p>
      <w:pPr>
        <w:pStyle w:val="Heading1"/>
        <w:pageBreakBefore/>
      </w:pPr>
      <w:r>
        <w:t>8 取水通量与净储水：避免新的误判</w:t>
      </w:r>
    </w:p>
    <w:p>
      <w:pPr>
        <w:jc w:val="center"/>
      </w:pPr>
      <w:r>
        <w:drawing>
          <wp:inline xmlns:a="http://schemas.openxmlformats.org/drawingml/2006/main" xmlns:pic="http://schemas.openxmlformats.org/drawingml/2006/picture">
            <wp:extent cx="6300000" cy="3995502"/>
            <wp:docPr id="7" name="Picture 7"/>
            <wp:cNvGraphicFramePr>
              <a:graphicFrameLocks noChangeAspect="1"/>
            </wp:cNvGraphicFramePr>
            <a:graphic>
              <a:graphicData uri="http://schemas.openxmlformats.org/drawingml/2006/picture">
                <pic:pic>
                  <pic:nvPicPr>
                    <pic:cNvPr id="0" name="D07_Depth_uptake_and_storage_change.png"/>
                    <pic:cNvPicPr/>
                  </pic:nvPicPr>
                  <pic:blipFill>
                    <a:blip r:embed="rId16"/>
                    <a:stretch>
                      <a:fillRect/>
                    </a:stretch>
                  </pic:blipFill>
                  <pic:spPr>
                    <a:xfrm>
                      <a:off x="0" y="0"/>
                      <a:ext cx="6300000" cy="3995502"/>
                    </a:xfrm>
                    <a:prstGeom prst="rect"/>
                  </pic:spPr>
                </pic:pic>
              </a:graphicData>
            </a:graphic>
          </wp:inline>
        </w:drawing>
      </w:r>
    </w:p>
    <w:p>
      <w:pPr>
        <w:pStyle w:val="Caption"/>
      </w:pPr>
      <w:r>
        <w:t>图D07 · Depth-resolved uptake and net soil-water storage change</w:t>
      </w:r>
    </w:p>
    <w:p>
      <w:r>
        <w:t>图解：2020年C1在1m以下取水152.8mm，但深层季净储水仍增加22.2mm；不能把深层取水量全部认定为开采初始水。</w:t>
      </w:r>
    </w:p>
    <w:p>
      <w:pPr>
        <w:pStyle w:val="Caption"/>
      </w:pPr>
      <w:r>
        <w:t>解释边界：逐层取水由原引擎蒸腾步骤前后含水差直接记录；未做雨水、灌水、初始水示踪。</w:t>
      </w:r>
    </w:p>
    <w:p>
      <w:pPr>
        <w:pStyle w:val="Caption"/>
      </w:pPr>
      <w:r>
        <w:t>数据：Depth_uptake_and_net_storage.csv</w:t>
      </w:r>
    </w:p>
    <w:p>
      <w:r>
        <w:t>逐层取水直接记录于原蒸腾函数前后：2020年C1在1m以下累计取水152.82mm，但该深度带季内净储水仍增加22.20mm，说明前期水分向下补给与后期深层取水同时存在。不能把152.82mm全部认定为对初始深层水的开采。</w:t>
      </w:r>
    </w:p>
    <w:p>
      <w:r>
        <w:t>2021年C1的1m以下累计取水只有15.36mm，其0–1m净耗储达228.65mm。原DI的深层净增储则达216.33mm；2021年的核心更接近“避免深层补蓄，同时使用上层已有水”，不能简单复制2020年的深层取水解释。</w:t>
      </w:r>
    </w:p>
    <w:p>
      <w:r>
        <w:t>本次追踪能区分层位、通量、时序与净变化，未做灌水/雨水/初始水分子来源示踪。深根也会改变根区总体Dr/TAW和胁迫判断，所以少量直接深层取水不代表根深假设对2021年无影响。</w:t>
      </w:r>
    </w:p>
    <w:p>
      <w:pPr>
        <w:pStyle w:val="Heading1"/>
        <w:pageBreakBefore/>
      </w:pPr>
      <w:r>
        <w:t>9 已完成的约束优化：结果如何收敛？</w:t>
      </w:r>
    </w:p>
    <w:p>
      <w:pPr>
        <w:jc w:val="center"/>
      </w:pPr>
      <w:r>
        <w:drawing>
          <wp:inline xmlns:a="http://schemas.openxmlformats.org/drawingml/2006/main" xmlns:pic="http://schemas.openxmlformats.org/drawingml/2006/picture">
            <wp:extent cx="5883267" cy="3888000"/>
            <wp:docPr id="8" name="Picture 8"/>
            <wp:cNvGraphicFramePr>
              <a:graphicFrameLocks noChangeAspect="1"/>
            </wp:cNvGraphicFramePr>
            <a:graphic>
              <a:graphicData uri="http://schemas.openxmlformats.org/drawingml/2006/picture">
                <pic:pic>
                  <pic:nvPicPr>
                    <pic:cNvPr id="0" name="D08_Constrained_search_comparison.png"/>
                    <pic:cNvPicPr/>
                  </pic:nvPicPr>
                  <pic:blipFill>
                    <a:blip r:embed="rId17"/>
                    <a:stretch>
                      <a:fillRect/>
                    </a:stretch>
                  </pic:blipFill>
                  <pic:spPr>
                    <a:xfrm>
                      <a:off x="0" y="0"/>
                      <a:ext cx="5883267" cy="3888000"/>
                    </a:xfrm>
                    <a:prstGeom prst="rect"/>
                  </pic:spPr>
                </pic:pic>
              </a:graphicData>
            </a:graphic>
          </wp:inline>
        </w:drawing>
      </w:r>
    </w:p>
    <w:p>
      <w:pPr>
        <w:pStyle w:val="Caption"/>
      </w:pPr>
      <w:r>
        <w:t>图D08 · Diagnostic constrained searches and soil-water carryover</w:t>
      </w:r>
    </w:p>
    <w:p>
      <w:r>
        <w:t>图解：控制原单次灌水设置后，若不允许消耗初始储水，2020/2021年最少灌水候选的降幅收敛至12.4%/27.4%。</w:t>
      </w:r>
    </w:p>
    <w:p>
      <w:pPr>
        <w:pStyle w:val="Caption"/>
      </w:pPr>
      <w:r>
        <w:t>解释边界：每年每策略两种子×64个体×50代；黑短线表示种子候选，不是置信区间。仍采用95%观测产量门槛，实际ET可响应变化。</w:t>
      </w:r>
    </w:p>
    <w:p>
      <w:pPr>
        <w:pStyle w:val="Caption"/>
      </w:pPr>
      <w:r>
        <w:t>数据：Constrained_best_found_candidates.csv, Constrained_seed_candidates.csv</w:t>
      </w:r>
    </w:p>
    <w:p>
      <w:r>
        <w:t>新诊断保持两目标：最大化模型产量、最小化实际灌水；仍以Y≥0.95×文献观测产量及季总灌水≤原DI为共同约束。增加原单次灌水设置后，分别比较无季末储水底线、季末不低于初始储水、季末不低于原DI储水三种条件。</w:t>
      </w:r>
    </w:p>
    <w:p>
      <w:pPr>
        <w:pStyle w:val="Heading1"/>
        <w:pageBreakBefore/>
      </w:pPr>
      <w:r>
        <w:t>9.1 诊断搜索设置与完整候选表</w:t>
      </w:r>
    </w:p>
    <w:p>
      <w:r>
        <w:t>2020/2021×3种条件×2个种子，共12组实际NSGA-III搜索，每组64个体×50代=3,200次，总计38,400次。每次评价、每代种群X/F/G/CV均保存；六个最少灌水候选另逐日独立回放。它们是有限预算下找到的可行解，不是全局最优证明，也不是原正式100×100×5实验的替代品。</w:t>
      </w:r>
    </w:p>
    <w:p>
      <w:pPr>
        <w:pStyle w:val="Heading2"/>
      </w:pPr>
      <w:r>
        <w:t>六组最佳已找到候选</w:t>
      </w:r>
    </w:p>
    <w:tbl>
      <w:tblPr>
        <w:tblStyle w:val="LightShading-Accent1"/>
        <w:tblW w:type="auto" w:w="0"/>
        <w:tblLook w:firstColumn="1" w:firstRow="1" w:lastColumn="0" w:lastRow="0" w:noHBand="0" w:noVBand="1" w:val="04A0"/>
      </w:tblPr>
      <w:tblGrid>
        <w:gridCol w:w="1425"/>
        <w:gridCol w:w="1425"/>
        <w:gridCol w:w="1425"/>
        <w:gridCol w:w="1425"/>
        <w:gridCol w:w="1425"/>
        <w:gridCol w:w="1425"/>
        <w:gridCol w:w="1425"/>
      </w:tblGrid>
      <w:tr>
        <w:trPr>
          <w:tblHeader/>
          <w:cantSplit/>
        </w:trPr>
        <w:tc>
          <w:tcPr>
            <w:tcW w:type="dxa" w:w="1425"/>
          </w:tcPr>
          <w:p>
            <w:pPr>
              <w:spacing w:after="60"/>
            </w:pPr>
            <w:r>
              <w:rPr>
                <w:sz w:val="17"/>
              </w:rPr>
              <w:t>年</w:t>
            </w:r>
          </w:p>
        </w:tc>
        <w:tc>
          <w:tcPr>
            <w:tcW w:type="dxa" w:w="1425"/>
          </w:tcPr>
          <w:p>
            <w:pPr>
              <w:spacing w:after="60"/>
            </w:pPr>
            <w:r>
              <w:rPr>
                <w:sz w:val="17"/>
              </w:rPr>
              <w:t>条件</w:t>
            </w:r>
          </w:p>
        </w:tc>
        <w:tc>
          <w:tcPr>
            <w:tcW w:type="dxa" w:w="1425"/>
          </w:tcPr>
          <w:p>
            <w:pPr>
              <w:spacing w:after="60"/>
            </w:pPr>
            <w:r>
              <w:rPr>
                <w:sz w:val="17"/>
              </w:rPr>
              <w:t>灌水mm</w:t>
            </w:r>
          </w:p>
        </w:tc>
        <w:tc>
          <w:tcPr>
            <w:tcW w:type="dxa" w:w="1425"/>
          </w:tcPr>
          <w:p>
            <w:pPr>
              <w:spacing w:after="60"/>
            </w:pPr>
            <w:r>
              <w:rPr>
                <w:sz w:val="17"/>
              </w:rPr>
              <w:t>产量t/ha</w:t>
            </w:r>
          </w:p>
        </w:tc>
        <w:tc>
          <w:tcPr>
            <w:tcW w:type="dxa" w:w="1425"/>
          </w:tcPr>
          <w:p>
            <w:pPr>
              <w:spacing w:after="60"/>
            </w:pPr>
            <w:r>
              <w:rPr>
                <w:sz w:val="17"/>
              </w:rPr>
              <w:t>ET mm</w:t>
            </w:r>
          </w:p>
        </w:tc>
        <w:tc>
          <w:tcPr>
            <w:tcW w:type="dxa" w:w="1425"/>
          </w:tcPr>
          <w:p>
            <w:pPr>
              <w:spacing w:after="60"/>
            </w:pPr>
            <w:r>
              <w:rPr>
                <w:sz w:val="17"/>
              </w:rPr>
              <w:t>季末储水mm</w:t>
            </w:r>
          </w:p>
        </w:tc>
        <w:tc>
          <w:tcPr>
            <w:tcW w:type="dxa" w:w="1425"/>
          </w:tcPr>
          <w:p>
            <w:pPr>
              <w:spacing w:after="60"/>
            </w:pPr>
            <w:r>
              <w:rPr>
                <w:sz w:val="17"/>
              </w:rPr>
              <w:t>减灌%</w:t>
            </w:r>
          </w:p>
        </w:tc>
      </w:tr>
      <w:tr>
        <w:trPr>
          <w:cantSplit/>
        </w:trPr>
        <w:tc>
          <w:tcPr>
            <w:tcW w:type="dxa" w:w="1425"/>
          </w:tcPr>
          <w:p>
            <w:pPr>
              <w:spacing w:after="60"/>
            </w:pPr>
            <w:r>
              <w:rPr>
                <w:sz w:val="17"/>
              </w:rPr>
              <w:t>2020</w:t>
            </w:r>
          </w:p>
        </w:tc>
        <w:tc>
          <w:tcPr>
            <w:tcW w:type="dxa" w:w="1425"/>
          </w:tcPr>
          <w:p>
            <w:pPr>
              <w:spacing w:after="60"/>
            </w:pPr>
            <w:r>
              <w:rPr>
                <w:sz w:val="17"/>
              </w:rPr>
              <w:t>原事件上限</w:t>
            </w:r>
          </w:p>
        </w:tc>
        <w:tc>
          <w:tcPr>
            <w:tcW w:type="dxa" w:w="1425"/>
          </w:tcPr>
          <w:p>
            <w:pPr>
              <w:spacing w:after="60"/>
            </w:pPr>
            <w:r>
              <w:rPr>
                <w:sz w:val="17"/>
              </w:rPr>
              <w:t>319.71</w:t>
            </w:r>
          </w:p>
        </w:tc>
        <w:tc>
          <w:tcPr>
            <w:tcW w:type="dxa" w:w="1425"/>
          </w:tcPr>
          <w:p>
            <w:pPr>
              <w:spacing w:after="60"/>
            </w:pPr>
            <w:r>
              <w:rPr>
                <w:sz w:val="17"/>
              </w:rPr>
              <w:t>16.427</w:t>
            </w:r>
          </w:p>
        </w:tc>
        <w:tc>
          <w:tcPr>
            <w:tcW w:type="dxa" w:w="1425"/>
          </w:tcPr>
          <w:p>
            <w:pPr>
              <w:spacing w:after="60"/>
            </w:pPr>
            <w:r>
              <w:rPr>
                <w:sz w:val="17"/>
              </w:rPr>
              <w:t>598.36</w:t>
            </w:r>
          </w:p>
        </w:tc>
        <w:tc>
          <w:tcPr>
            <w:tcW w:type="dxa" w:w="1425"/>
          </w:tcPr>
          <w:p>
            <w:pPr>
              <w:spacing w:after="60"/>
            </w:pPr>
            <w:r>
              <w:rPr>
                <w:sz w:val="17"/>
              </w:rPr>
              <w:t>324.77</w:t>
            </w:r>
          </w:p>
        </w:tc>
        <w:tc>
          <w:tcPr>
            <w:tcW w:type="dxa" w:w="1425"/>
          </w:tcPr>
          <w:p>
            <w:pPr>
              <w:spacing w:after="60"/>
            </w:pPr>
            <w:r>
              <w:rPr>
                <w:sz w:val="17"/>
              </w:rPr>
              <w:t>42.88</w:t>
            </w:r>
          </w:p>
        </w:tc>
      </w:tr>
      <w:tr>
        <w:trPr>
          <w:cantSplit/>
        </w:trPr>
        <w:tc>
          <w:tcPr>
            <w:tcW w:type="dxa" w:w="1425"/>
          </w:tcPr>
          <w:p>
            <w:pPr>
              <w:spacing w:after="60"/>
            </w:pPr>
            <w:r>
              <w:rPr>
                <w:sz w:val="17"/>
              </w:rPr>
              <w:t>2020</w:t>
            </w:r>
          </w:p>
        </w:tc>
        <w:tc>
          <w:tcPr>
            <w:tcW w:type="dxa" w:w="1425"/>
          </w:tcPr>
          <w:p>
            <w:pPr>
              <w:spacing w:after="60"/>
            </w:pPr>
            <w:r>
              <w:rPr>
                <w:sz w:val="17"/>
              </w:rPr>
              <w:t>不耗初始水</w:t>
            </w:r>
          </w:p>
        </w:tc>
        <w:tc>
          <w:tcPr>
            <w:tcW w:type="dxa" w:w="1425"/>
          </w:tcPr>
          <w:p>
            <w:pPr>
              <w:spacing w:after="60"/>
            </w:pPr>
            <w:r>
              <w:rPr>
                <w:sz w:val="17"/>
              </w:rPr>
              <w:t>490.48</w:t>
            </w:r>
          </w:p>
        </w:tc>
        <w:tc>
          <w:tcPr>
            <w:tcW w:type="dxa" w:w="1425"/>
          </w:tcPr>
          <w:p>
            <w:pPr>
              <w:spacing w:after="60"/>
            </w:pPr>
            <w:r>
              <w:rPr>
                <w:sz w:val="17"/>
              </w:rPr>
              <w:t>16.431</w:t>
            </w:r>
          </w:p>
        </w:tc>
        <w:tc>
          <w:tcPr>
            <w:tcW w:type="dxa" w:w="1425"/>
          </w:tcPr>
          <w:p>
            <w:pPr>
              <w:spacing w:after="60"/>
            </w:pPr>
            <w:r>
              <w:rPr>
                <w:sz w:val="17"/>
              </w:rPr>
              <w:t>602.56</w:t>
            </w:r>
          </w:p>
        </w:tc>
        <w:tc>
          <w:tcPr>
            <w:tcW w:type="dxa" w:w="1425"/>
          </w:tcPr>
          <w:p>
            <w:pPr>
              <w:spacing w:after="60"/>
            </w:pPr>
            <w:r>
              <w:rPr>
                <w:sz w:val="17"/>
              </w:rPr>
              <w:t>490.11</w:t>
            </w:r>
          </w:p>
        </w:tc>
        <w:tc>
          <w:tcPr>
            <w:tcW w:type="dxa" w:w="1425"/>
          </w:tcPr>
          <w:p>
            <w:pPr>
              <w:spacing w:after="60"/>
            </w:pPr>
            <w:r>
              <w:rPr>
                <w:sz w:val="17"/>
              </w:rPr>
              <w:t>12.38</w:t>
            </w:r>
          </w:p>
        </w:tc>
      </w:tr>
      <w:tr>
        <w:trPr>
          <w:cantSplit/>
        </w:trPr>
        <w:tc>
          <w:tcPr>
            <w:tcW w:type="dxa" w:w="1425"/>
          </w:tcPr>
          <w:p>
            <w:pPr>
              <w:spacing w:after="60"/>
            </w:pPr>
            <w:r>
              <w:rPr>
                <w:sz w:val="17"/>
              </w:rPr>
              <w:t>2020</w:t>
            </w:r>
          </w:p>
        </w:tc>
        <w:tc>
          <w:tcPr>
            <w:tcW w:type="dxa" w:w="1425"/>
          </w:tcPr>
          <w:p>
            <w:pPr>
              <w:spacing w:after="60"/>
            </w:pPr>
            <w:r>
              <w:rPr>
                <w:sz w:val="17"/>
              </w:rPr>
              <w:t>同DI期末水</w:t>
            </w:r>
          </w:p>
        </w:tc>
        <w:tc>
          <w:tcPr>
            <w:tcW w:type="dxa" w:w="1425"/>
          </w:tcPr>
          <w:p>
            <w:pPr>
              <w:spacing w:after="60"/>
            </w:pPr>
            <w:r>
              <w:rPr>
                <w:sz w:val="17"/>
              </w:rPr>
              <w:t>557.60</w:t>
            </w:r>
          </w:p>
        </w:tc>
        <w:tc>
          <w:tcPr>
            <w:tcW w:type="dxa" w:w="1425"/>
          </w:tcPr>
          <w:p>
            <w:pPr>
              <w:spacing w:after="60"/>
            </w:pPr>
            <w:r>
              <w:rPr>
                <w:sz w:val="17"/>
              </w:rPr>
              <w:t>16.614</w:t>
            </w:r>
          </w:p>
        </w:tc>
        <w:tc>
          <w:tcPr>
            <w:tcW w:type="dxa" w:w="1425"/>
          </w:tcPr>
          <w:p>
            <w:pPr>
              <w:spacing w:after="60"/>
            </w:pPr>
            <w:r>
              <w:rPr>
                <w:sz w:val="17"/>
              </w:rPr>
              <w:t>607.68</w:t>
            </w:r>
          </w:p>
        </w:tc>
        <w:tc>
          <w:tcPr>
            <w:tcW w:type="dxa" w:w="1425"/>
          </w:tcPr>
          <w:p>
            <w:pPr>
              <w:spacing w:after="60"/>
            </w:pPr>
            <w:r>
              <w:rPr>
                <w:sz w:val="17"/>
              </w:rPr>
              <w:t>552.10</w:t>
            </w:r>
          </w:p>
        </w:tc>
        <w:tc>
          <w:tcPr>
            <w:tcW w:type="dxa" w:w="1425"/>
          </w:tcPr>
          <w:p>
            <w:pPr>
              <w:spacing w:after="60"/>
            </w:pPr>
            <w:r>
              <w:rPr>
                <w:sz w:val="17"/>
              </w:rPr>
              <w:t>0.39</w:t>
            </w:r>
          </w:p>
        </w:tc>
      </w:tr>
      <w:tr>
        <w:trPr>
          <w:cantSplit/>
        </w:trPr>
        <w:tc>
          <w:tcPr>
            <w:tcW w:type="dxa" w:w="1425"/>
          </w:tcPr>
          <w:p>
            <w:pPr>
              <w:spacing w:after="60"/>
            </w:pPr>
            <w:r>
              <w:rPr>
                <w:sz w:val="17"/>
              </w:rPr>
              <w:t>2021</w:t>
            </w:r>
          </w:p>
        </w:tc>
        <w:tc>
          <w:tcPr>
            <w:tcW w:type="dxa" w:w="1425"/>
          </w:tcPr>
          <w:p>
            <w:pPr>
              <w:spacing w:after="60"/>
            </w:pPr>
            <w:r>
              <w:rPr>
                <w:sz w:val="17"/>
              </w:rPr>
              <w:t>原事件上限</w:t>
            </w:r>
          </w:p>
        </w:tc>
        <w:tc>
          <w:tcPr>
            <w:tcW w:type="dxa" w:w="1425"/>
          </w:tcPr>
          <w:p>
            <w:pPr>
              <w:spacing w:after="60"/>
            </w:pPr>
            <w:r>
              <w:rPr>
                <w:sz w:val="17"/>
              </w:rPr>
              <w:t>267.61</w:t>
            </w:r>
          </w:p>
        </w:tc>
        <w:tc>
          <w:tcPr>
            <w:tcW w:type="dxa" w:w="1425"/>
          </w:tcPr>
          <w:p>
            <w:pPr>
              <w:spacing w:after="60"/>
            </w:pPr>
            <w:r>
              <w:rPr>
                <w:sz w:val="17"/>
              </w:rPr>
              <w:t>15.069</w:t>
            </w:r>
          </w:p>
        </w:tc>
        <w:tc>
          <w:tcPr>
            <w:tcW w:type="dxa" w:w="1425"/>
          </w:tcPr>
          <w:p>
            <w:pPr>
              <w:spacing w:after="60"/>
            </w:pPr>
            <w:r>
              <w:rPr>
                <w:sz w:val="17"/>
              </w:rPr>
              <w:t>596.72</w:t>
            </w:r>
          </w:p>
        </w:tc>
        <w:tc>
          <w:tcPr>
            <w:tcW w:type="dxa" w:w="1425"/>
          </w:tcPr>
          <w:p>
            <w:pPr>
              <w:spacing w:after="60"/>
            </w:pPr>
            <w:r>
              <w:rPr>
                <w:sz w:val="17"/>
              </w:rPr>
              <w:t>349.08</w:t>
            </w:r>
          </w:p>
        </w:tc>
        <w:tc>
          <w:tcPr>
            <w:tcW w:type="dxa" w:w="1425"/>
          </w:tcPr>
          <w:p>
            <w:pPr>
              <w:spacing w:after="60"/>
            </w:pPr>
            <w:r>
              <w:rPr>
                <w:sz w:val="17"/>
              </w:rPr>
              <w:t>57.75</w:t>
            </w:r>
          </w:p>
        </w:tc>
      </w:tr>
      <w:tr>
        <w:trPr>
          <w:cantSplit/>
        </w:trPr>
        <w:tc>
          <w:tcPr>
            <w:tcW w:type="dxa" w:w="1425"/>
          </w:tcPr>
          <w:p>
            <w:pPr>
              <w:spacing w:after="60"/>
            </w:pPr>
            <w:r>
              <w:rPr>
                <w:sz w:val="17"/>
              </w:rPr>
              <w:t>2021</w:t>
            </w:r>
          </w:p>
        </w:tc>
        <w:tc>
          <w:tcPr>
            <w:tcW w:type="dxa" w:w="1425"/>
          </w:tcPr>
          <w:p>
            <w:pPr>
              <w:spacing w:after="60"/>
            </w:pPr>
            <w:r>
              <w:rPr>
                <w:sz w:val="17"/>
              </w:rPr>
              <w:t>不耗初始水</w:t>
            </w:r>
          </w:p>
        </w:tc>
        <w:tc>
          <w:tcPr>
            <w:tcW w:type="dxa" w:w="1425"/>
          </w:tcPr>
          <w:p>
            <w:pPr>
              <w:spacing w:after="60"/>
            </w:pPr>
            <w:r>
              <w:rPr>
                <w:sz w:val="17"/>
              </w:rPr>
              <w:t>460.05</w:t>
            </w:r>
          </w:p>
        </w:tc>
        <w:tc>
          <w:tcPr>
            <w:tcW w:type="dxa" w:w="1425"/>
          </w:tcPr>
          <w:p>
            <w:pPr>
              <w:spacing w:after="60"/>
            </w:pPr>
            <w:r>
              <w:rPr>
                <w:sz w:val="17"/>
              </w:rPr>
              <w:t>15.076</w:t>
            </w:r>
          </w:p>
        </w:tc>
        <w:tc>
          <w:tcPr>
            <w:tcW w:type="dxa" w:w="1425"/>
          </w:tcPr>
          <w:p>
            <w:pPr>
              <w:spacing w:after="60"/>
            </w:pPr>
            <w:r>
              <w:rPr>
                <w:sz w:val="17"/>
              </w:rPr>
              <w:t>601.51</w:t>
            </w:r>
          </w:p>
        </w:tc>
        <w:tc>
          <w:tcPr>
            <w:tcW w:type="dxa" w:w="1425"/>
          </w:tcPr>
          <w:p>
            <w:pPr>
              <w:spacing w:after="60"/>
            </w:pPr>
            <w:r>
              <w:rPr>
                <w:sz w:val="17"/>
              </w:rPr>
              <w:t>535.90</w:t>
            </w:r>
          </w:p>
        </w:tc>
        <w:tc>
          <w:tcPr>
            <w:tcW w:type="dxa" w:w="1425"/>
          </w:tcPr>
          <w:p>
            <w:pPr>
              <w:spacing w:after="60"/>
            </w:pPr>
            <w:r>
              <w:rPr>
                <w:sz w:val="17"/>
              </w:rPr>
              <w:t>27.38</w:t>
            </w:r>
          </w:p>
        </w:tc>
      </w:tr>
      <w:tr>
        <w:trPr>
          <w:cantSplit/>
        </w:trPr>
        <w:tc>
          <w:tcPr>
            <w:tcW w:type="dxa" w:w="1425"/>
          </w:tcPr>
          <w:p>
            <w:pPr>
              <w:spacing w:after="60"/>
            </w:pPr>
            <w:r>
              <w:rPr>
                <w:sz w:val="17"/>
              </w:rPr>
              <w:t>2021</w:t>
            </w:r>
          </w:p>
        </w:tc>
        <w:tc>
          <w:tcPr>
            <w:tcW w:type="dxa" w:w="1425"/>
          </w:tcPr>
          <w:p>
            <w:pPr>
              <w:spacing w:after="60"/>
            </w:pPr>
            <w:r>
              <w:rPr>
                <w:sz w:val="17"/>
              </w:rPr>
              <w:t>同DI期末水</w:t>
            </w:r>
          </w:p>
        </w:tc>
        <w:tc>
          <w:tcPr>
            <w:tcW w:type="dxa" w:w="1425"/>
          </w:tcPr>
          <w:p>
            <w:pPr>
              <w:spacing w:after="60"/>
            </w:pPr>
            <w:r>
              <w:rPr>
                <w:sz w:val="17"/>
              </w:rPr>
              <w:t>633.40</w:t>
            </w:r>
          </w:p>
        </w:tc>
        <w:tc>
          <w:tcPr>
            <w:tcW w:type="dxa" w:w="1425"/>
          </w:tcPr>
          <w:p>
            <w:pPr>
              <w:spacing w:after="60"/>
            </w:pPr>
            <w:r>
              <w:rPr>
                <w:sz w:val="17"/>
              </w:rPr>
              <w:t>15.200</w:t>
            </w:r>
          </w:p>
        </w:tc>
        <w:tc>
          <w:tcPr>
            <w:tcW w:type="dxa" w:w="1425"/>
          </w:tcPr>
          <w:p>
            <w:pPr>
              <w:spacing w:after="60"/>
            </w:pPr>
            <w:r>
              <w:rPr>
                <w:sz w:val="17"/>
              </w:rPr>
              <w:t>605.07</w:t>
            </w:r>
          </w:p>
        </w:tc>
        <w:tc>
          <w:tcPr>
            <w:tcW w:type="dxa" w:w="1425"/>
          </w:tcPr>
          <w:p>
            <w:pPr>
              <w:spacing w:after="60"/>
            </w:pPr>
            <w:r>
              <w:rPr>
                <w:sz w:val="17"/>
              </w:rPr>
              <w:t>705.67</w:t>
            </w:r>
          </w:p>
        </w:tc>
        <w:tc>
          <w:tcPr>
            <w:tcW w:type="dxa" w:w="1425"/>
          </w:tcPr>
          <w:p>
            <w:pPr>
              <w:spacing w:after="60"/>
            </w:pPr>
            <w:r>
              <w:rPr>
                <w:sz w:val="17"/>
              </w:rPr>
              <w:t>0.01</w:t>
            </w:r>
          </w:p>
        </w:tc>
      </w:tr>
    </w:tbl>
    <w:p>
      <w:r>
        <w:t>原DI季末储水底线把减灌比例压到0.39%/0.01%，这是有意设置的同储水诊断，不表示真实田间没有节水空间。原DI可能在季末留了过多水，部分水也可能在本模拟日历之后排走；应该按后茬、冬季补蓄和全年水量确定合理储水目标，而不是机械照搬原DI的高储水。</w:t>
      </w:r>
    </w:p>
    <w:p>
      <w:r>
        <w:t>两个种子的最少灌水候选范围也需保留：2020年仅固定事件设置为319.71—320.09mm、不耗初始储水为490.48—496.44mm、同原DI期末储水为557.60—559.51mm；2021年对应267.61—268.79、460.05—461.87、633.395—633.399mm。它们描述本预算下的种子差异，不能当作置信区间或收敛误差上界。</w:t>
      </w:r>
    </w:p>
    <w:p>
      <w:r>
        <w:t>选择标准是先满足共同产量门槛和所列储水条件，再从所有已评价可行点中取实际灌水最少者。因此不同策略的产量与ET不必完全相等；需要排除ET响应差异时，应改看下一节的等ET对照，而不是直接把本表各减灌比例理解为同耗水、同产量下的效率改善。</w:t>
      </w:r>
    </w:p>
    <w:p>
      <w:pPr>
        <w:pStyle w:val="Heading1"/>
        <w:pageBreakBefore/>
      </w:pPr>
      <w:r>
        <w:t>10 按要求保持实际蒸散量相同</w:t>
      </w:r>
    </w:p>
    <w:p>
      <w:pPr>
        <w:jc w:val="center"/>
      </w:pPr>
      <w:r>
        <w:drawing>
          <wp:inline xmlns:a="http://schemas.openxmlformats.org/drawingml/2006/main" xmlns:pic="http://schemas.openxmlformats.org/drawingml/2006/picture">
            <wp:extent cx="6300000" cy="2610130"/>
            <wp:docPr id="9" name="Picture 9"/>
            <wp:cNvGraphicFramePr>
              <a:graphicFrameLocks noChangeAspect="1"/>
            </wp:cNvGraphicFramePr>
            <a:graphic>
              <a:graphicData uri="http://schemas.openxmlformats.org/drawingml/2006/picture">
                <pic:pic>
                  <pic:nvPicPr>
                    <pic:cNvPr id="0" name="D09_Equal_ET_diagnostics.png"/>
                    <pic:cNvPicPr/>
                  </pic:nvPicPr>
                  <pic:blipFill>
                    <a:blip r:embed="rId18"/>
                    <a:stretch>
                      <a:fillRect/>
                    </a:stretch>
                  </pic:blipFill>
                  <pic:spPr>
                    <a:xfrm>
                      <a:off x="0" y="0"/>
                      <a:ext cx="6300000" cy="2610130"/>
                    </a:xfrm>
                    <a:prstGeom prst="rect"/>
                  </pic:spPr>
                </pic:pic>
              </a:graphicData>
            </a:graphic>
          </wp:inline>
        </w:drawing>
      </w:r>
    </w:p>
    <w:p>
      <w:pPr>
        <w:pStyle w:val="Caption"/>
      </w:pPr>
      <w:r>
        <w:t>图D09 · Equal actual-ET comparisons with fixed per-event settings</w:t>
      </w:r>
    </w:p>
    <w:p>
      <w:r>
        <w:t>图解：将季节实际ET精确匹配原DI后，兼顾季末不低于初始储水的诊断点降幅为11.1%/26.8%；保持原DI季末储水时回到原DI。</w:t>
      </w:r>
    </w:p>
    <w:p>
      <w:pPr>
        <w:pStyle w:val="Caption"/>
      </w:pPr>
      <w:r>
        <w:t>解释边界：这些是经模型求根得到的可行对照点，不是新的最小灌水全局最优；只匹配季总ET，不强制每日ET轨迹相同。</w:t>
      </w:r>
    </w:p>
    <w:p>
      <w:pPr>
        <w:pStyle w:val="Caption"/>
      </w:pPr>
      <w:r>
        <w:t>数据：Equal_ET_fixed_management_diagnostics.csv</w:t>
      </w:r>
    </w:p>
    <w:p>
      <w:r>
        <w:t>从新搜索的可行控制量中选锚点，用实际模型求根，令季节ET等于原DI：2020为609.96193mm、2021为605.14336mm。地膜、天气、初始含水、原单次设置不变，另核对产量门槛与储水底线；ET误差小于10⁻⁵mm。这里只匹配季总ET，不宣称每日ET相同。</w:t>
      </w:r>
    </w:p>
    <w:p>
      <w:pPr>
        <w:pStyle w:val="Heading2"/>
      </w:pPr>
      <w:r>
        <w:t>相同实际ET下的诊断点</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tblHeader/>
          <w:cantSplit/>
        </w:trPr>
        <w:tc>
          <w:tcPr>
            <w:tcW w:type="dxa" w:w="1663"/>
          </w:tcPr>
          <w:p>
            <w:pPr>
              <w:spacing w:after="60"/>
            </w:pPr>
            <w:r>
              <w:rPr>
                <w:sz w:val="17"/>
              </w:rPr>
              <w:t>年</w:t>
            </w:r>
          </w:p>
        </w:tc>
        <w:tc>
          <w:tcPr>
            <w:tcW w:type="dxa" w:w="1663"/>
          </w:tcPr>
          <w:p>
            <w:pPr>
              <w:spacing w:after="60"/>
            </w:pPr>
            <w:r>
              <w:rPr>
                <w:sz w:val="17"/>
              </w:rPr>
              <w:t>储水条件</w:t>
            </w:r>
          </w:p>
        </w:tc>
        <w:tc>
          <w:tcPr>
            <w:tcW w:type="dxa" w:w="1663"/>
          </w:tcPr>
          <w:p>
            <w:pPr>
              <w:spacing w:after="60"/>
            </w:pPr>
            <w:r>
              <w:rPr>
                <w:sz w:val="17"/>
              </w:rPr>
              <w:t>灌水mm</w:t>
            </w:r>
          </w:p>
        </w:tc>
        <w:tc>
          <w:tcPr>
            <w:tcW w:type="dxa" w:w="1663"/>
          </w:tcPr>
          <w:p>
            <w:pPr>
              <w:spacing w:after="60"/>
            </w:pPr>
            <w:r>
              <w:rPr>
                <w:sz w:val="17"/>
              </w:rPr>
              <w:t>产量t/ha</w:t>
            </w:r>
          </w:p>
        </w:tc>
        <w:tc>
          <w:tcPr>
            <w:tcW w:type="dxa" w:w="1663"/>
          </w:tcPr>
          <w:p>
            <w:pPr>
              <w:spacing w:after="60"/>
            </w:pPr>
            <w:r>
              <w:rPr>
                <w:sz w:val="17"/>
              </w:rPr>
              <w:t>季末储水mm</w:t>
            </w:r>
          </w:p>
        </w:tc>
        <w:tc>
          <w:tcPr>
            <w:tcW w:type="dxa" w:w="1663"/>
          </w:tcPr>
          <w:p>
            <w:pPr>
              <w:spacing w:after="60"/>
            </w:pPr>
            <w:r>
              <w:rPr>
                <w:sz w:val="17"/>
              </w:rPr>
              <w:t>减灌%</w:t>
            </w:r>
          </w:p>
        </w:tc>
      </w:tr>
      <w:tr>
        <w:trPr>
          <w:cantSplit/>
        </w:trPr>
        <w:tc>
          <w:tcPr>
            <w:tcW w:type="dxa" w:w="1663"/>
          </w:tcPr>
          <w:p>
            <w:pPr>
              <w:spacing w:after="60"/>
            </w:pPr>
            <w:r>
              <w:rPr>
                <w:sz w:val="17"/>
              </w:rPr>
              <w:t>2020</w:t>
            </w:r>
          </w:p>
        </w:tc>
        <w:tc>
          <w:tcPr>
            <w:tcW w:type="dxa" w:w="1663"/>
          </w:tcPr>
          <w:p>
            <w:pPr>
              <w:spacing w:after="60"/>
            </w:pPr>
            <w:r>
              <w:rPr>
                <w:sz w:val="17"/>
              </w:rPr>
              <w:t>原事件上限</w:t>
            </w:r>
          </w:p>
        </w:tc>
        <w:tc>
          <w:tcPr>
            <w:tcW w:type="dxa" w:w="1663"/>
          </w:tcPr>
          <w:p>
            <w:pPr>
              <w:spacing w:after="60"/>
            </w:pPr>
            <w:r>
              <w:rPr>
                <w:sz w:val="17"/>
              </w:rPr>
              <w:t>432.80</w:t>
            </w:r>
          </w:p>
        </w:tc>
        <w:tc>
          <w:tcPr>
            <w:tcW w:type="dxa" w:w="1663"/>
          </w:tcPr>
          <w:p>
            <w:pPr>
              <w:spacing w:after="60"/>
            </w:pPr>
            <w:r>
              <w:rPr>
                <w:sz w:val="17"/>
              </w:rPr>
              <w:t>16.811</w:t>
            </w:r>
          </w:p>
        </w:tc>
        <w:tc>
          <w:tcPr>
            <w:tcW w:type="dxa" w:w="1663"/>
          </w:tcPr>
          <w:p>
            <w:pPr>
              <w:spacing w:after="60"/>
            </w:pPr>
            <w:r>
              <w:rPr>
                <w:sz w:val="17"/>
              </w:rPr>
              <w:t>425.02</w:t>
            </w:r>
          </w:p>
        </w:tc>
        <w:tc>
          <w:tcPr>
            <w:tcW w:type="dxa" w:w="1663"/>
          </w:tcPr>
          <w:p>
            <w:pPr>
              <w:spacing w:after="60"/>
            </w:pPr>
            <w:r>
              <w:rPr>
                <w:sz w:val="17"/>
              </w:rPr>
              <w:t>22.68</w:t>
            </w:r>
          </w:p>
        </w:tc>
      </w:tr>
      <w:tr>
        <w:trPr>
          <w:cantSplit/>
        </w:trPr>
        <w:tc>
          <w:tcPr>
            <w:tcW w:type="dxa" w:w="1663"/>
          </w:tcPr>
          <w:p>
            <w:pPr>
              <w:spacing w:after="60"/>
            </w:pPr>
            <w:r>
              <w:rPr>
                <w:sz w:val="17"/>
              </w:rPr>
              <w:t>2020</w:t>
            </w:r>
          </w:p>
        </w:tc>
        <w:tc>
          <w:tcPr>
            <w:tcW w:type="dxa" w:w="1663"/>
          </w:tcPr>
          <w:p>
            <w:pPr>
              <w:spacing w:after="60"/>
            </w:pPr>
            <w:r>
              <w:rPr>
                <w:sz w:val="17"/>
              </w:rPr>
              <w:t>不耗初始水</w:t>
            </w:r>
          </w:p>
        </w:tc>
        <w:tc>
          <w:tcPr>
            <w:tcW w:type="dxa" w:w="1663"/>
          </w:tcPr>
          <w:p>
            <w:pPr>
              <w:spacing w:after="60"/>
            </w:pPr>
            <w:r>
              <w:rPr>
                <w:sz w:val="17"/>
              </w:rPr>
              <w:t>497.84</w:t>
            </w:r>
          </w:p>
        </w:tc>
        <w:tc>
          <w:tcPr>
            <w:tcW w:type="dxa" w:w="1663"/>
          </w:tcPr>
          <w:p>
            <w:pPr>
              <w:spacing w:after="60"/>
            </w:pPr>
            <w:r>
              <w:rPr>
                <w:sz w:val="17"/>
              </w:rPr>
              <w:t>16.817</w:t>
            </w:r>
          </w:p>
        </w:tc>
        <w:tc>
          <w:tcPr>
            <w:tcW w:type="dxa" w:w="1663"/>
          </w:tcPr>
          <w:p>
            <w:pPr>
              <w:spacing w:after="60"/>
            </w:pPr>
            <w:r>
              <w:rPr>
                <w:sz w:val="17"/>
              </w:rPr>
              <w:t>490.06</w:t>
            </w:r>
          </w:p>
        </w:tc>
        <w:tc>
          <w:tcPr>
            <w:tcW w:type="dxa" w:w="1663"/>
          </w:tcPr>
          <w:p>
            <w:pPr>
              <w:spacing w:after="60"/>
            </w:pPr>
            <w:r>
              <w:rPr>
                <w:sz w:val="17"/>
              </w:rPr>
              <w:t>11.06</w:t>
            </w:r>
          </w:p>
        </w:tc>
      </w:tr>
      <w:tr>
        <w:trPr>
          <w:cantSplit/>
        </w:trPr>
        <w:tc>
          <w:tcPr>
            <w:tcW w:type="dxa" w:w="1663"/>
          </w:tcPr>
          <w:p>
            <w:pPr>
              <w:spacing w:after="60"/>
            </w:pPr>
            <w:r>
              <w:rPr>
                <w:sz w:val="17"/>
              </w:rPr>
              <w:t>2020</w:t>
            </w:r>
          </w:p>
        </w:tc>
        <w:tc>
          <w:tcPr>
            <w:tcW w:type="dxa" w:w="1663"/>
          </w:tcPr>
          <w:p>
            <w:pPr>
              <w:spacing w:after="60"/>
            </w:pPr>
            <w:r>
              <w:rPr>
                <w:sz w:val="17"/>
              </w:rPr>
              <w:t>同DI期末水</w:t>
            </w:r>
          </w:p>
        </w:tc>
        <w:tc>
          <w:tcPr>
            <w:tcW w:type="dxa" w:w="1663"/>
          </w:tcPr>
          <w:p>
            <w:pPr>
              <w:spacing w:after="60"/>
            </w:pPr>
            <w:r>
              <w:rPr>
                <w:sz w:val="17"/>
              </w:rPr>
              <w:t>559.76</w:t>
            </w:r>
          </w:p>
        </w:tc>
        <w:tc>
          <w:tcPr>
            <w:tcW w:type="dxa" w:w="1663"/>
          </w:tcPr>
          <w:p>
            <w:pPr>
              <w:spacing w:after="60"/>
            </w:pPr>
            <w:r>
              <w:rPr>
                <w:sz w:val="17"/>
              </w:rPr>
              <w:t>16.804</w:t>
            </w:r>
          </w:p>
        </w:tc>
        <w:tc>
          <w:tcPr>
            <w:tcW w:type="dxa" w:w="1663"/>
          </w:tcPr>
          <w:p>
            <w:pPr>
              <w:spacing w:after="60"/>
            </w:pPr>
            <w:r>
              <w:rPr>
                <w:sz w:val="17"/>
              </w:rPr>
              <w:t>551.98</w:t>
            </w:r>
          </w:p>
        </w:tc>
        <w:tc>
          <w:tcPr>
            <w:tcW w:type="dxa" w:w="1663"/>
          </w:tcPr>
          <w:p>
            <w:pPr>
              <w:spacing w:after="60"/>
            </w:pPr>
            <w:r>
              <w:rPr>
                <w:sz w:val="17"/>
              </w:rPr>
              <w:t>0.00</w:t>
            </w:r>
          </w:p>
        </w:tc>
      </w:tr>
      <w:tr>
        <w:trPr>
          <w:cantSplit/>
        </w:trPr>
        <w:tc>
          <w:tcPr>
            <w:tcW w:type="dxa" w:w="1663"/>
          </w:tcPr>
          <w:p>
            <w:pPr>
              <w:spacing w:after="60"/>
            </w:pPr>
            <w:r>
              <w:rPr>
                <w:sz w:val="17"/>
              </w:rPr>
              <w:t>2021</w:t>
            </w:r>
          </w:p>
        </w:tc>
        <w:tc>
          <w:tcPr>
            <w:tcW w:type="dxa" w:w="1663"/>
          </w:tcPr>
          <w:p>
            <w:pPr>
              <w:spacing w:after="60"/>
            </w:pPr>
            <w:r>
              <w:rPr>
                <w:sz w:val="17"/>
              </w:rPr>
              <w:t>原事件上限</w:t>
            </w:r>
          </w:p>
        </w:tc>
        <w:tc>
          <w:tcPr>
            <w:tcW w:type="dxa" w:w="1663"/>
          </w:tcPr>
          <w:p>
            <w:pPr>
              <w:spacing w:after="60"/>
            </w:pPr>
            <w:r>
              <w:rPr>
                <w:sz w:val="17"/>
              </w:rPr>
              <w:t>402.41</w:t>
            </w:r>
          </w:p>
        </w:tc>
        <w:tc>
          <w:tcPr>
            <w:tcW w:type="dxa" w:w="1663"/>
          </w:tcPr>
          <w:p>
            <w:pPr>
              <w:spacing w:after="60"/>
            </w:pPr>
            <w:r>
              <w:rPr>
                <w:sz w:val="17"/>
              </w:rPr>
              <w:t>15.131</w:t>
            </w:r>
          </w:p>
        </w:tc>
        <w:tc>
          <w:tcPr>
            <w:tcW w:type="dxa" w:w="1663"/>
          </w:tcPr>
          <w:p>
            <w:pPr>
              <w:spacing w:after="60"/>
            </w:pPr>
            <w:r>
              <w:rPr>
                <w:sz w:val="17"/>
              </w:rPr>
              <w:t>475.02</w:t>
            </w:r>
          </w:p>
        </w:tc>
        <w:tc>
          <w:tcPr>
            <w:tcW w:type="dxa" w:w="1663"/>
          </w:tcPr>
          <w:p>
            <w:pPr>
              <w:spacing w:after="60"/>
            </w:pPr>
            <w:r>
              <w:rPr>
                <w:sz w:val="17"/>
              </w:rPr>
              <w:t>36.48</w:t>
            </w:r>
          </w:p>
        </w:tc>
      </w:tr>
      <w:tr>
        <w:trPr>
          <w:cantSplit/>
        </w:trPr>
        <w:tc>
          <w:tcPr>
            <w:tcW w:type="dxa" w:w="1663"/>
          </w:tcPr>
          <w:p>
            <w:pPr>
              <w:spacing w:after="60"/>
            </w:pPr>
            <w:r>
              <w:rPr>
                <w:sz w:val="17"/>
              </w:rPr>
              <w:t>2021</w:t>
            </w:r>
          </w:p>
        </w:tc>
        <w:tc>
          <w:tcPr>
            <w:tcW w:type="dxa" w:w="1663"/>
          </w:tcPr>
          <w:p>
            <w:pPr>
              <w:spacing w:after="60"/>
            </w:pPr>
            <w:r>
              <w:rPr>
                <w:sz w:val="17"/>
              </w:rPr>
              <w:t>不耗初始水</w:t>
            </w:r>
          </w:p>
        </w:tc>
        <w:tc>
          <w:tcPr>
            <w:tcW w:type="dxa" w:w="1663"/>
          </w:tcPr>
          <w:p>
            <w:pPr>
              <w:spacing w:after="60"/>
            </w:pPr>
            <w:r>
              <w:rPr>
                <w:sz w:val="17"/>
              </w:rPr>
              <w:t>463.57</w:t>
            </w:r>
          </w:p>
        </w:tc>
        <w:tc>
          <w:tcPr>
            <w:tcW w:type="dxa" w:w="1663"/>
          </w:tcPr>
          <w:p>
            <w:pPr>
              <w:spacing w:after="60"/>
            </w:pPr>
            <w:r>
              <w:rPr>
                <w:sz w:val="17"/>
              </w:rPr>
              <w:t>15.130</w:t>
            </w:r>
          </w:p>
        </w:tc>
        <w:tc>
          <w:tcPr>
            <w:tcW w:type="dxa" w:w="1663"/>
          </w:tcPr>
          <w:p>
            <w:pPr>
              <w:spacing w:after="60"/>
            </w:pPr>
            <w:r>
              <w:rPr>
                <w:sz w:val="17"/>
              </w:rPr>
              <w:t>535.79</w:t>
            </w:r>
          </w:p>
        </w:tc>
        <w:tc>
          <w:tcPr>
            <w:tcW w:type="dxa" w:w="1663"/>
          </w:tcPr>
          <w:p>
            <w:pPr>
              <w:spacing w:after="60"/>
            </w:pPr>
            <w:r>
              <w:rPr>
                <w:sz w:val="17"/>
              </w:rPr>
              <w:t>26.82</w:t>
            </w:r>
          </w:p>
        </w:tc>
      </w:tr>
      <w:tr>
        <w:trPr>
          <w:cantSplit/>
        </w:trPr>
        <w:tc>
          <w:tcPr>
            <w:tcW w:type="dxa" w:w="1663"/>
          </w:tcPr>
          <w:p>
            <w:pPr>
              <w:spacing w:after="60"/>
            </w:pPr>
            <w:r>
              <w:rPr>
                <w:sz w:val="17"/>
              </w:rPr>
              <w:t>2021</w:t>
            </w:r>
          </w:p>
        </w:tc>
        <w:tc>
          <w:tcPr>
            <w:tcW w:type="dxa" w:w="1663"/>
          </w:tcPr>
          <w:p>
            <w:pPr>
              <w:spacing w:after="60"/>
            </w:pPr>
            <w:r>
              <w:rPr>
                <w:sz w:val="17"/>
              </w:rPr>
              <w:t>同DI期末水</w:t>
            </w:r>
          </w:p>
        </w:tc>
        <w:tc>
          <w:tcPr>
            <w:tcW w:type="dxa" w:w="1663"/>
          </w:tcPr>
          <w:p>
            <w:pPr>
              <w:spacing w:after="60"/>
            </w:pPr>
            <w:r>
              <w:rPr>
                <w:sz w:val="17"/>
              </w:rPr>
              <w:t>633.47</w:t>
            </w:r>
          </w:p>
        </w:tc>
        <w:tc>
          <w:tcPr>
            <w:tcW w:type="dxa" w:w="1663"/>
          </w:tcPr>
          <w:p>
            <w:pPr>
              <w:spacing w:after="60"/>
            </w:pPr>
            <w:r>
              <w:rPr>
                <w:sz w:val="17"/>
              </w:rPr>
              <w:t>15.197</w:t>
            </w:r>
          </w:p>
        </w:tc>
        <w:tc>
          <w:tcPr>
            <w:tcW w:type="dxa" w:w="1663"/>
          </w:tcPr>
          <w:p>
            <w:pPr>
              <w:spacing w:after="60"/>
            </w:pPr>
            <w:r>
              <w:rPr>
                <w:sz w:val="17"/>
              </w:rPr>
              <w:t>705.67</w:t>
            </w:r>
          </w:p>
        </w:tc>
        <w:tc>
          <w:tcPr>
            <w:tcW w:type="dxa" w:w="1663"/>
          </w:tcPr>
          <w:p>
            <w:pPr>
              <w:spacing w:after="60"/>
            </w:pPr>
            <w:r>
              <w:rPr>
                <w:sz w:val="17"/>
              </w:rPr>
              <w:t>0.00</w:t>
            </w:r>
          </w:p>
        </w:tc>
      </w:tr>
    </w:tbl>
    <w:p>
      <w:r>
        <w:t>等ET本身仍不能消除储水贡献：只有原单次设置时，两年仍能找到减少22.7%/36.5%灌水的等ET点，但季末储水低于原DI。加上不耗初始储水后，得到497.84/463.57mm、减灌11.06%/26.82%的点；若保留原DI季末储水，本次对照回到原DI点。</w:t>
      </w:r>
    </w:p>
    <w:p>
      <w:r>
        <w:t>水量必要下界I≥ET−P为496.50/461.82mm（固定ET、不耗初始储水、忽略排水径流），也支持约11%/27%的数量级，但它不是可行最优解。</w:t>
      </w:r>
    </w:p>
    <w:p>
      <w:pPr>
        <w:pStyle w:val="Heading1"/>
        <w:pageBreakBefore/>
      </w:pPr>
      <w:r>
        <w:t>11 原因排序与可执行的解决方案</w:t>
      </w:r>
    </w:p>
    <w:p>
      <w:pPr>
        <w:pStyle w:val="Heading2"/>
      </w:pPr>
      <w:r>
        <w:t>第一优先：修正优化目标与水量记账</w:t>
      </w:r>
    </w:p>
    <w:p>
      <w:r>
        <w:t>把旧C1重新定位为“允许动用土壤储水的单季模型候选”，暂停用其44%—58%减灌比例作已验证田间节水结论。所有候选同时报告I、Tr、Es、ΔS、径流和深渗。将产量比较基准明确写为观测门槛或模型DI，不再混用。</w:t>
      </w:r>
    </w:p>
    <w:p>
      <w:r>
        <w:t>先声明优化允许的管理范围：保持原日程执行上限只是一种受控比较；若允许改变灌水量和时长，按核实的流量、面积、入渗和管理能力设事件限制，并使模拟器执行设置与该限制一致。保留实际施灌与计划量双向核对。新增季末储水或全水文年水量约束，目标由田间起止含水、后茬需求和冬季有效降水决定。原DI期末储水可作为严格对照，不应自动成为唯一推荐底线。</w:t>
      </w:r>
    </w:p>
    <w:p>
      <w:pPr>
        <w:pStyle w:val="Heading2"/>
      </w:pPr>
      <w:r>
        <w:t>第二优先：验证根域、湿润体和初始水，而非调漂亮曲线</w:t>
      </w:r>
    </w:p>
    <w:p>
      <w:r>
        <w:t>核实有效根深、限制层、0–1m及更深层土壤水力性质；收集各灌水周期前后至少0–20、20–40、40–60、60–100cm以及实际根域内深层含水。核实水表流量×时长/面积与灌水记录，确认净灌水或毛灌水口径。测定滴灌湿润比例、膜完整率及覆盖率；保留地膜面积约束。</w:t>
      </w:r>
    </w:p>
    <w:p>
      <w:r>
        <w:t>若实证要求改变根深、深层土壤、湿润比例、膜效力或灌溉效率，先更新所有方案共同使用的物理模型，再一致地重校准MCMC阶段1和阶段2，并重做Sobol与优化。不能只在优化阶段改参数，也不能凭直觉把f_mulch、ET或WP改成能得到目标节水率的数值。</w:t>
      </w:r>
    </w:p>
    <w:p>
      <w:pPr>
        <w:pStyle w:val="Heading2"/>
      </w:pPr>
      <w:r>
        <w:t>第三优先：检验亏缺灌溉外推与风险</w:t>
      </w:r>
    </w:p>
    <w:p>
      <w:r>
        <w:t>用独立亏缺灌溉处理验证冠层、分层含水、ET和产量；原DI拟合只能说明原供水条件下的拟合。若有独立ET观测，以误差范围设ET一致性约束；若仅有ETo，则保持ETo固定并报告ET响应。需要跨季可持续结论时，扩展至冬季/下一播种日，再检验储水回补是否抵消当季减灌。</w:t>
      </w:r>
    </w:p>
    <w:p>
      <w:r>
        <w:t>储水阈值与现场限制明确后，再按原正式预算100个体×100代×5种子、四年运行；参数不确定性与根域结构情景分开评估，可用Pr(Y≥目标)及Pr(S_end≥阈值)表达风险。此处是下一步方案，不冒充本次已完成的稳健优化。</w:t>
      </w:r>
    </w:p>
    <w:p>
      <w:pPr>
        <w:pStyle w:val="Heading2"/>
      </w:pPr>
      <w:r>
        <w:t>现在可以支持的结论</w:t>
      </w:r>
    </w:p>
    <w:p>
      <w:r>
        <w:t>已有证据足以判定原减灌比例含有显著储水边界收益；2020年的集中施灌还需要现实可执行性验证。原日程数值上限不是硬件极限，其随新日程变化不能单独定性为程序错误。证据尚不足以判定真实田间最终节水率。11%/27%等新数值是固定模型、特定储水/ET条件下的诊断结果，不是通过调低曲线获得的“修正实测”。</w:t>
      </w:r>
    </w:p>
    <w:p>
      <w:pPr>
        <w:pStyle w:val="Heading1"/>
        <w:pageBreakBefore/>
      </w:pPr>
      <w:r>
        <w:t>12 论文中怎样改写这一部分</w:t>
      </w:r>
    </w:p>
    <w:p>
      <w:r>
        <w:t>建议把本节题目改为“灌溉优化的水量分配机制与边界敏感性”，按“产量—灌水前沿 → 水量账分解 → 冠层与分层水分机制 → 约束诊断 → 适用范围”组织。旧R03/N01保留为原条件搜索结果，图注补足允许土壤耗储及单次设置说明；D01、D02、D03、D08是主文优先，D04—D07和D09作为机制补充或附录。</w:t>
      </w:r>
    </w:p>
    <w:p>
      <w:pPr>
        <w:pStyle w:val="Heading2"/>
      </w:pPr>
      <w:r>
        <w:t>可扩写的结果段落</w:t>
      </w:r>
    </w:p>
    <w:p>
      <w:r>
        <w:t>“在原单季目标下，2020和2021年主候选的季节灌水量分别减少247.34和366.17mm，而实际蒸散仅减少15.25和8.63mm。两方案相同初始和外部水量条件下，季末土壤储水差分别占减灌量的93.3%和97.4%。因此，原始减灌比例主要反映了土壤水分跨期分配差异，而不能直接等同为耗水减少。逐日回放显示，候选冠层峰值与原制度接近、模型开花窗口未触发授粉水分胁迫，解释了产量对减灌的弱响应。”</w:t>
      </w:r>
    </w:p>
    <w:p>
      <w:r>
        <w:t>“保持原单次灌水设置并增加季末储水不低于初始值的约束后，有限预算的NSGA-III诊断搜索分别得到12.4%和27.4%的最少灌水候选；进一步匹配原制度季节实际ET后，可行对照点的减灌比例为11.1%和26.8%。这些结果展示了节水评估对储水边界的敏感性，仍需独立根域与亏缺灌溉试验验证，不能视为田间推荐的已验证节水幅度。”</w:t>
      </w:r>
    </w:p>
    <w:p>
      <w:pPr>
        <w:pStyle w:val="Heading2"/>
      </w:pPr>
      <w:r>
        <w:t>必须避免的推断</w:t>
      </w:r>
    </w:p>
    <w:p>
      <w:r>
        <w:t>不写“同产量节水一半已获证明”；不把星号叫实测；不把深层取水通量都叫初始水开采；不把根深假设试验叫重新校准；不把同储水诊断的近零收益当作真实无节水空间；不将原固定膜效力假设写成优化时改变了地膜。</w:t>
      </w:r>
    </w:p>
    <w:p>
      <w:pPr>
        <w:pStyle w:val="Heading1"/>
        <w:pageBreakBefore/>
      </w:pPr>
      <w:r>
        <w:t>附录：可复核记录与复现范围</w:t>
      </w:r>
    </w:p>
    <w:p>
      <w:r>
        <w:t>原始逐日/逐层观测器只复制模型状态并返回原函数结果，原作物方程不变。8组原DI/C1用未加速引擎复核，全部逐日一致，标量最大差1.14×10⁻¹³；四年原C1的日水量与生长序列与既有正式输出一致。加速或新增记录器不是乐观响应的来源。</w:t>
      </w:r>
    </w:p>
    <w:p>
      <w:r>
        <w:t>保留原冻结中央参数、后验样本和four_year_adapter.py的SHA256：验证文件Frozen_inputs_after_replay.json、ACCELERATION_AND_OBSERVER_CHECK.json、CONSTRAINED_RUN_STATUS.json、Equal_ET_checks.json可查看。原正式结果、MCMC文件和主分支均未覆盖。本轮MCMC重新运行次数为0。</w:t>
      </w:r>
    </w:p>
    <w:p>
      <w:r>
        <w:t>ROOT/code含观测器、28组原条件场景及16组根深对照、12组实际搜索、独立回放、等ET求根、图表和本报告生成代码。constrained_runs保存38,400条评价记录、600个逐代种群文件及日志。新约束最小点是每组两个种子中已找到的最佳可行评价，种子间范围不作统计置信区间。</w:t>
      </w:r>
    </w:p>
    <w:p>
      <w:r>
        <w:t>一个并行任务在模型尚未开始评价前遇到原输入审计临时文件竞争，已单独重试并完成；现已序列化初始化写日志，原模型与输入不变。12个完成记录和每代种群均核验通过。</w:t>
      </w:r>
    </w:p>
    <w:p>
      <w:r>
        <w:t>尚需田间信息：有效根深及限制层、原始分层含水实测表、覆膜实际覆盖/完好程度和蒸发证据、灌溉流量时长与效率口径、独立ET或水量观测、亏缺处理产量/冠层，以及收获后至下一播种前的水分回补。缺失数据应明示，不能用图形美化代替验证。</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URP · 灌溉优化机制审计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DejaVu Sans" w:hAnsi="DejaVu Sans"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ejaVu Sans" w:hAnsi="DejaVu Sans" w:eastAsia="Noto Sans CJK SC"/>
      <w:b/>
      <w:bCs/>
      <w:color w:val="275767"/>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ejaVu Sans" w:hAnsi="DejaVu Sans" w:eastAsia="Noto Sans CJK S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ejaVu Sans" w:hAnsi="DejaVu Sans" w:eastAsia="Noto Sans CJK SC"/>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Noto Sans CJK SC"/>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pPr>
    <w:rPr>
      <w:rFonts w:ascii="DejaVu Sans" w:hAnsi="DejaVu Sans" w:eastAsia="Noto Sans CJK SC"/>
      <w:b/>
      <w:bCs/>
      <w:i w:val="0"/>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