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32"/>
        </w:rPr>
        <w:t>论文修改意见落实记录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依据：上传的23页《URP_Manuscript_CN_MCMC诊断口径修订版.pdf》全文与段落旁文字意见；王尚今2023年硕士论文；本次11份上传材料及四年原运行记录。论文参考其“问题—方法—结果—机制解释”的组织方式，采用本项目数据独立撰写。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R1. Point-by-point revision record.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964"/>
        <w:gridCol w:w="2438"/>
        <w:gridCol w:w="6350"/>
      </w:tblGrid>
      <w:tr>
        <w:trPr>
          <w:cantSplit/>
          <w:tblHeader/>
        </w:trPr>
        <w:tc>
          <w:tcPr>
            <w:tcW w:type="dxa" w:w="964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Source page</w:t>
            </w:r>
          </w:p>
        </w:tc>
        <w:tc>
          <w:tcPr>
            <w:tcW w:type="dxa" w:w="2438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Comment</w:t>
            </w:r>
          </w:p>
        </w:tc>
        <w:tc>
          <w:tcPr>
            <w:tcW w:type="dxa" w:w="63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Implementation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全文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文字与图表堆积；反复否定式提醒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正文按对应段落依次插入13张英文图和8张英文三线表；每图每表前给出数据解释；计算口径集中在方法与补充资料。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第1～2页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摘要重写；突出已完成结果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摘要集中报告四年拟合、主要敏感参数、95%观测产量门槛的灌水量及水量来源。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第2页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引言限定为三段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按膜下滴灌优化问题、已有模型与方法依据、本研究方法适配性三段重写；Liu等以正常学术引用介绍。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第3页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三层技术路线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重画三列底纹流程图：资料整理、模型校准、敏感性与优化；使用完整英文标签。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第4页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位置图高清英文，突出试验地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重画矢量站点位置图和400 m×200 m DI面积示意，依据论文坐标和面积；注明示意方向。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第4页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DI土壤表译为英文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按论文表2-1逐层重建6层土壤表，加入砂、粉、黏粒及容重，质地为Silt loam。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第4～6页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年度资料汇总三线表，删除Events列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Table 2汇总灌水、观测产量、CC/B配对数、ET及Es，删除事件数列。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第5页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重新读入气象与CC文件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本次所有上传文件保留并计算SHA256；四年气象原值一致，两份2021遥感文件字节相同；辅助遥感与DI似然数据分别记录。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第6页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建议正文固定fMulch=0.85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四年主结果按实际运行保留fMulch=0；0.85属于2021条件重校准，移至补充资料，不改写为四年主设定。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第7页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公式单列居中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正文12个公式居中编号，水量平衡与差额分解分列；变量定义与使用范围紧随正文。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第7页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MCMC诊断只写指标、含义、要求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方法简述R̂、bulk/tail ESS和τ及判据；算法分组与完整诊断移至补充资料。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第8页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核对四个还是五个时期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源码np.array_split(...,4)为四个管理窗口；五个生育期按田间发育描述；窗口日期和水量列Table S4。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第8页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优化方法重写，说明固定参数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写明NSGA-II/III及四个连续单目标算法，列出固定的作物参数、土壤、初值、气象、覆膜、根系和灌水日期。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第8页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2.7聚焦水量核算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主文2.7只保留剖面平衡与灌水差额分解；根深、地膜、降水补充试验集中移至S6。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第9页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结果重写，补参数、拟合和诊断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Table 4给出8参数4年均值；CC、B、Yield均用原结果。原链R̂和ESS与均值敏感性分别表述。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第1/9页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稿件声称R̂≤1.0048、bulk ESS≥3200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替换为保留时间结构的原链记录：年度最差R̂为1.122～1.181、最小组bulk ESS为17.79～25.34；不以混合walker序列的统计量证明收敛。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第13页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四年生物量线性拟合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重新以观测X、模拟Y计算：斜率0.9979、截距0.2412、OLS R²0.9892、Pearson r0.9946，37对。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第14～16页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Sobol合并图及四年均值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统一2×2输出图，R02合为S1/ST并列，保留年度数值区间和四年均值；以年度平均排序一致解释均值用途。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第17页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帕累托按示例样式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四年2×2，蓝虚线、红解点、四窗口标签，完整0至原灌水范围；所有标签对应真实解。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第18～22页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突出优化结论、减少枝节</w:t>
            </w:r>
          </w:p>
        </w:tc>
        <w:tc>
          <w:tcPr>
            <w:tcW w:type="dxa" w:w="63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正文围绕灌水—产量、水量来源、多算法一致性论述；2021年减少增储169.97 mm与初值耗储186.74 mm分开解释。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Source-page numbering refers to the uploaded annotated manuscript.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结果口径的三个关键决定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fMulch：主文使用已经实际运行的四年设置0；三个地膜条件试验移至补充资料，四年数据不因文字修改被重新标记。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窗口：优化是4维管理分组，田间是5个生育期，明确两者的含义和日期。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采样：均值稳定性与完整分布精度分开报告；将修订稿中的高ESS和小R̂替换为原时间序列诊断表，保留来源。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Noto Serif CJK SC"/>
        <w:b w:val="0"/>
        <w:sz w:val="16"/>
      </w:rPr>
      <w:t>膜下滴灌玉米参数校准与灌溉制度优化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00" w:lineRule="auto"/>
    </w:pPr>
    <w:rPr>
      <w:rFonts w:ascii="Times New Roman" w:hAnsi="Times New Roman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论文修改意见落实记录</dc:title>
  <dc:subject>2019–2022 DI maize; source-linked manuscript revision, 2026-10-22</dc:subject>
  <dc:creator>吴雨臻；李承昊；段璞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