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1118"/>
        <w:gridCol w:w="3099"/>
        <w:gridCol w:w="2413"/>
        <w:gridCol w:w="1133"/>
        <w:gridCol w:w="1274"/>
      </w:tblGrid>
      <w:tr w:rsidR="004551CF" w14:paraId="48380EC5" w14:textId="77777777" w:rsidTr="00C337CD">
        <w:trPr>
          <w:trHeight w:val="605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A2C74" w14:textId="77777777" w:rsidR="004551CF" w:rsidRDefault="004551CF" w:rsidP="00EE2B54">
            <w:pPr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u w:val="single"/>
                <w:lang w:eastAsia="zh-CN"/>
              </w:rPr>
              <w:t xml:space="preserve">             化药1类                 </w:t>
            </w:r>
            <w:r w:rsidRPr="00F03382">
              <w:rPr>
                <w:rFonts w:ascii="等线" w:eastAsia="等线" w:hAnsi="等线"/>
                <w:b/>
                <w:lang w:eastAsia="zh-CN"/>
              </w:rPr>
              <w:t>非临床</w:t>
            </w:r>
            <w:r w:rsidRPr="00F03382">
              <w:rPr>
                <w:rFonts w:ascii="等线" w:eastAsia="等线" w:hAnsi="等线" w:hint="eastAsia"/>
                <w:b/>
                <w:lang w:eastAsia="zh-CN"/>
              </w:rPr>
              <w:t>安全性</w:t>
            </w:r>
            <w:r w:rsidRPr="00F03382">
              <w:rPr>
                <w:rFonts w:ascii="等线" w:eastAsia="等线" w:hAnsi="等线"/>
                <w:b/>
                <w:lang w:eastAsia="zh-CN"/>
              </w:rPr>
              <w:t>研究初步方案和报价</w:t>
            </w:r>
          </w:p>
        </w:tc>
      </w:tr>
      <w:tr w:rsidR="004551CF" w14:paraId="7CEF1BFA" w14:textId="77777777" w:rsidTr="00F95112">
        <w:trPr>
          <w:trHeight w:val="363"/>
          <w:jc w:val="center"/>
        </w:trPr>
        <w:tc>
          <w:tcPr>
            <w:tcW w:w="2461" w:type="pct"/>
            <w:gridSpan w:val="3"/>
            <w:tcBorders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99B70FD" w14:textId="77777777" w:rsidR="004551CF" w:rsidRDefault="004551CF" w:rsidP="00EE2B54">
            <w:pPr>
              <w:ind w:right="40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604239">
              <w:rPr>
                <w:rFonts w:ascii="等线" w:eastAsia="等线" w:hAnsi="等线"/>
                <w:sz w:val="22"/>
                <w:szCs w:val="22"/>
                <w:lang w:eastAsia="zh-CN"/>
              </w:rPr>
              <w:t xml:space="preserve">客户单位/Client： </w:t>
            </w:r>
          </w:p>
        </w:tc>
        <w:tc>
          <w:tcPr>
            <w:tcW w:w="2539" w:type="pct"/>
            <w:gridSpan w:val="3"/>
            <w:tcBorders>
              <w:left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4B4A5015" w14:textId="77777777" w:rsidR="004551CF" w:rsidRDefault="004551CF" w:rsidP="00EE2B54">
            <w:pPr>
              <w:ind w:right="40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1308C5">
              <w:rPr>
                <w:rFonts w:ascii="等线" w:eastAsia="等线" w:hAnsi="等线" w:cstheme="minorHAnsi"/>
                <w:sz w:val="21"/>
                <w:szCs w:val="21"/>
                <w:lang w:eastAsia="zh-CN"/>
              </w:rPr>
              <w:t>报价单位：</w:t>
            </w:r>
            <w:proofErr w:type="gramStart"/>
            <w:r w:rsidRPr="001308C5">
              <w:rPr>
                <w:rFonts w:ascii="等线" w:eastAsia="等线" w:hAnsi="等线" w:cstheme="minorHAnsi"/>
                <w:sz w:val="21"/>
                <w:szCs w:val="21"/>
                <w:lang w:eastAsia="zh-CN"/>
              </w:rPr>
              <w:t>苏州华测生物技术</w:t>
            </w:r>
            <w:proofErr w:type="gramEnd"/>
            <w:r w:rsidRPr="001308C5">
              <w:rPr>
                <w:rFonts w:ascii="等线" w:eastAsia="等线" w:hAnsi="等线" w:cstheme="minorHAnsi"/>
                <w:sz w:val="21"/>
                <w:szCs w:val="21"/>
                <w:lang w:eastAsia="zh-CN"/>
              </w:rPr>
              <w:t>有限公司</w:t>
            </w:r>
          </w:p>
        </w:tc>
      </w:tr>
      <w:tr w:rsidR="004551CF" w14:paraId="11A17AC1" w14:textId="77777777" w:rsidTr="00F95112">
        <w:trPr>
          <w:trHeight w:val="363"/>
          <w:jc w:val="center"/>
        </w:trPr>
        <w:tc>
          <w:tcPr>
            <w:tcW w:w="2461" w:type="pct"/>
            <w:gridSpan w:val="3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7C114AAA" w14:textId="77777777" w:rsidR="004551CF" w:rsidRDefault="004551CF" w:rsidP="00EE2B54">
            <w:pPr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proofErr w:type="spellStart"/>
            <w:r w:rsidRPr="00604239">
              <w:rPr>
                <w:rFonts w:ascii="等线" w:eastAsia="等线" w:hAnsi="等线"/>
                <w:sz w:val="21"/>
                <w:szCs w:val="21"/>
              </w:rPr>
              <w:t>联系人</w:t>
            </w:r>
            <w:proofErr w:type="spellEnd"/>
            <w:r w:rsidRPr="00604239">
              <w:rPr>
                <w:rFonts w:ascii="等线" w:eastAsia="等线" w:hAnsi="等线"/>
                <w:sz w:val="21"/>
                <w:szCs w:val="21"/>
              </w:rPr>
              <w:t>/Contactor：</w:t>
            </w:r>
            <w:r w:rsidRPr="00604239"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39" w:type="pct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3E6A5DE9" w14:textId="77777777" w:rsidR="004551CF" w:rsidRDefault="004551CF" w:rsidP="00EE2B54">
            <w:pPr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proofErr w:type="spellStart"/>
            <w:r w:rsidRPr="001308C5">
              <w:rPr>
                <w:rFonts w:ascii="等线" w:eastAsia="等线" w:hAnsi="等线" w:cstheme="minorHAnsi"/>
                <w:sz w:val="21"/>
                <w:szCs w:val="21"/>
              </w:rPr>
              <w:t>联系人</w:t>
            </w:r>
            <w:proofErr w:type="spellEnd"/>
            <w:r w:rsidRPr="001308C5">
              <w:rPr>
                <w:rFonts w:ascii="等线" w:eastAsia="等线" w:hAnsi="等线" w:cstheme="minorHAnsi"/>
                <w:sz w:val="21"/>
                <w:szCs w:val="21"/>
              </w:rPr>
              <w:t>/Contactor：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551CF" w14:paraId="198B8C68" w14:textId="77777777" w:rsidTr="00F95112">
        <w:trPr>
          <w:trHeight w:val="363"/>
          <w:jc w:val="center"/>
        </w:trPr>
        <w:tc>
          <w:tcPr>
            <w:tcW w:w="2461" w:type="pct"/>
            <w:gridSpan w:val="3"/>
            <w:tcBorders>
              <w:top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7AEF000C" w14:textId="77777777" w:rsidR="004551CF" w:rsidRDefault="004551CF" w:rsidP="00EE2B54">
            <w:pPr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proofErr w:type="spellStart"/>
            <w:r w:rsidRPr="00604239">
              <w:rPr>
                <w:rFonts w:ascii="等线" w:eastAsia="等线" w:hAnsi="等线"/>
                <w:sz w:val="21"/>
                <w:szCs w:val="21"/>
              </w:rPr>
              <w:t>电话</w:t>
            </w:r>
            <w:proofErr w:type="spellEnd"/>
            <w:r w:rsidRPr="00604239">
              <w:rPr>
                <w:rFonts w:ascii="等线" w:eastAsia="等线" w:hAnsi="等线"/>
                <w:sz w:val="21"/>
                <w:szCs w:val="21"/>
              </w:rPr>
              <w:t>/Tel：</w:t>
            </w:r>
          </w:p>
        </w:tc>
        <w:tc>
          <w:tcPr>
            <w:tcW w:w="2539" w:type="pct"/>
            <w:gridSpan w:val="3"/>
            <w:tcBorders>
              <w:top w:val="dashSmallGap" w:sz="4" w:space="0" w:color="auto"/>
              <w:left w:val="dashSmallGap" w:sz="4" w:space="0" w:color="auto"/>
            </w:tcBorders>
            <w:shd w:val="clear" w:color="auto" w:fill="auto"/>
            <w:vAlign w:val="center"/>
          </w:tcPr>
          <w:p w14:paraId="3DE1C691" w14:textId="77777777" w:rsidR="004551CF" w:rsidRDefault="004551CF" w:rsidP="00EE2B54">
            <w:pPr>
              <w:rPr>
                <w:rFonts w:ascii="等线" w:eastAsia="等线" w:hAnsi="等线" w:hint="eastAsia"/>
                <w:sz w:val="21"/>
                <w:szCs w:val="21"/>
              </w:rPr>
            </w:pPr>
            <w:proofErr w:type="spellStart"/>
            <w:r w:rsidRPr="007214A6">
              <w:rPr>
                <w:rFonts w:ascii="等线" w:eastAsia="等线" w:hAnsi="等线"/>
                <w:sz w:val="21"/>
                <w:szCs w:val="21"/>
              </w:rPr>
              <w:t>电话</w:t>
            </w:r>
            <w:proofErr w:type="spellEnd"/>
            <w:r w:rsidRPr="007214A6">
              <w:rPr>
                <w:rFonts w:ascii="等线" w:eastAsia="等线" w:hAnsi="等线"/>
                <w:sz w:val="21"/>
                <w:szCs w:val="21"/>
              </w:rPr>
              <w:t>/Tel：</w:t>
            </w:r>
          </w:p>
        </w:tc>
      </w:tr>
      <w:tr w:rsidR="004551CF" w14:paraId="4A0342F1" w14:textId="77777777" w:rsidTr="00F95112">
        <w:trPr>
          <w:trHeight w:val="363"/>
          <w:jc w:val="center"/>
        </w:trPr>
        <w:tc>
          <w:tcPr>
            <w:tcW w:w="2461" w:type="pct"/>
            <w:gridSpan w:val="3"/>
            <w:tcBorders>
              <w:top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1996428E" w14:textId="77777777" w:rsidR="004551CF" w:rsidRDefault="004551CF" w:rsidP="00EE2B54">
            <w:pPr>
              <w:rPr>
                <w:rFonts w:ascii="等线" w:eastAsia="等线" w:hAnsi="等线" w:hint="eastAsia"/>
                <w:sz w:val="21"/>
                <w:szCs w:val="21"/>
              </w:rPr>
            </w:pPr>
            <w:r w:rsidRPr="00604239">
              <w:rPr>
                <w:rFonts w:ascii="等线" w:eastAsia="等线" w:hAnsi="等线"/>
                <w:sz w:val="21"/>
                <w:szCs w:val="21"/>
              </w:rPr>
              <w:t>E-mail</w:t>
            </w:r>
            <w:r w:rsidRPr="00604239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539" w:type="pct"/>
            <w:gridSpan w:val="3"/>
            <w:tcBorders>
              <w:top w:val="dashSmallGap" w:sz="4" w:space="0" w:color="auto"/>
              <w:left w:val="dashSmallGap" w:sz="4" w:space="0" w:color="auto"/>
            </w:tcBorders>
            <w:shd w:val="clear" w:color="auto" w:fill="auto"/>
            <w:vAlign w:val="center"/>
          </w:tcPr>
          <w:p w14:paraId="34841415" w14:textId="77777777" w:rsidR="004551CF" w:rsidRDefault="004551CF" w:rsidP="00EE2B54">
            <w:pPr>
              <w:rPr>
                <w:rFonts w:ascii="等线" w:eastAsia="等线" w:hAnsi="等线" w:hint="eastAsia"/>
                <w:sz w:val="21"/>
                <w:szCs w:val="21"/>
              </w:rPr>
            </w:pPr>
            <w:r w:rsidRPr="007214A6">
              <w:rPr>
                <w:rFonts w:ascii="等线" w:eastAsia="等线" w:hAnsi="等线"/>
                <w:sz w:val="21"/>
                <w:szCs w:val="21"/>
              </w:rPr>
              <w:t>E-mail</w:t>
            </w:r>
            <w:r w:rsidRPr="007214A6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：</w:t>
            </w:r>
          </w:p>
        </w:tc>
      </w:tr>
      <w:tr w:rsidR="0060308E" w14:paraId="635B3E07" w14:textId="77777777" w:rsidTr="008F0E18">
        <w:trPr>
          <w:trHeight w:val="603"/>
          <w:jc w:val="center"/>
        </w:trPr>
        <w:tc>
          <w:tcPr>
            <w:tcW w:w="240" w:type="pct"/>
            <w:shd w:val="clear" w:color="000000" w:fill="CCFFCC"/>
            <w:vAlign w:val="center"/>
          </w:tcPr>
          <w:p w14:paraId="7A2C052B" w14:textId="77777777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589" w:type="pct"/>
            <w:shd w:val="clear" w:color="000000" w:fill="CCFFCC"/>
            <w:vAlign w:val="center"/>
          </w:tcPr>
          <w:p w14:paraId="6B42EF7E" w14:textId="77777777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试验</w:t>
            </w:r>
            <w:proofErr w:type="spellEnd"/>
          </w:p>
          <w:p w14:paraId="05CF38DD" w14:textId="19B90D61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项目</w:t>
            </w:r>
            <w:proofErr w:type="spellEnd"/>
          </w:p>
        </w:tc>
        <w:tc>
          <w:tcPr>
            <w:tcW w:w="2903" w:type="pct"/>
            <w:gridSpan w:val="2"/>
            <w:shd w:val="clear" w:color="000000" w:fill="CCFFCC"/>
            <w:vAlign w:val="center"/>
          </w:tcPr>
          <w:p w14:paraId="79C51BAC" w14:textId="77777777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基本试验内容</w:t>
            </w:r>
            <w:proofErr w:type="spellEnd"/>
          </w:p>
        </w:tc>
        <w:tc>
          <w:tcPr>
            <w:tcW w:w="597" w:type="pct"/>
            <w:shd w:val="clear" w:color="000000" w:fill="CCFFCC"/>
            <w:vAlign w:val="center"/>
          </w:tcPr>
          <w:p w14:paraId="3584106A" w14:textId="77777777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价格</w:t>
            </w:r>
            <w:proofErr w:type="spellEnd"/>
          </w:p>
          <w:p w14:paraId="19C387D4" w14:textId="40D7E54A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r>
              <w:rPr>
                <w:rFonts w:ascii="等线" w:eastAsia="等线" w:hAnsi="等线"/>
                <w:b/>
                <w:sz w:val="21"/>
                <w:szCs w:val="21"/>
              </w:rPr>
              <w:t>（</w:t>
            </w: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万元</w:t>
            </w:r>
            <w:proofErr w:type="spellEnd"/>
            <w:r>
              <w:rPr>
                <w:rFonts w:ascii="等线" w:eastAsia="等线" w:hAnsi="等线"/>
                <w:b/>
                <w:sz w:val="21"/>
                <w:szCs w:val="21"/>
              </w:rPr>
              <w:t>）</w:t>
            </w:r>
          </w:p>
        </w:tc>
        <w:tc>
          <w:tcPr>
            <w:tcW w:w="672" w:type="pct"/>
            <w:shd w:val="clear" w:color="000000" w:fill="CCFFCC"/>
            <w:vAlign w:val="center"/>
          </w:tcPr>
          <w:p w14:paraId="2BF60F63" w14:textId="77777777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试验</w:t>
            </w:r>
            <w:proofErr w:type="spellEnd"/>
          </w:p>
          <w:p w14:paraId="7D3E8AAE" w14:textId="267685C1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周期</w:t>
            </w:r>
            <w:proofErr w:type="spellEnd"/>
          </w:p>
        </w:tc>
      </w:tr>
      <w:tr w:rsidR="004551CF" w14:paraId="249E1045" w14:textId="77777777" w:rsidTr="00C337CD">
        <w:trPr>
          <w:trHeight w:val="603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E678675" w14:textId="77777777" w:rsidR="004551CF" w:rsidRDefault="004551CF" w:rsidP="00EE2B54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一、安全性评价试验</w:t>
            </w:r>
          </w:p>
        </w:tc>
      </w:tr>
      <w:tr w:rsidR="00C337CD" w14:paraId="0EE86E2F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1FF83E2" w14:textId="55277777" w:rsidR="0046153A" w:rsidRPr="008E278C" w:rsidRDefault="00512180" w:rsidP="006D51C9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 w:rsidRPr="008E278C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273395D" w14:textId="6FA3E848" w:rsidR="0046153A" w:rsidRPr="008E278C" w:rsidRDefault="0046153A" w:rsidP="006D51C9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 w:rsidRPr="008E278C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SD</w:t>
            </w:r>
            <w:proofErr w:type="gramStart"/>
            <w:r w:rsidRPr="008E278C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大鼠单次</w:t>
            </w:r>
            <w:proofErr w:type="gramEnd"/>
            <w:r w:rsidRPr="008E278C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给药毒性试验（GLP）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7E12F762" w14:textId="77777777" w:rsidR="0046153A" w:rsidRPr="008E278C" w:rsidRDefault="0046153A" w:rsidP="0046153A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E278C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SD大鼠</w:t>
            </w:r>
            <w:r w:rsidRPr="008E278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0只，分</w:t>
            </w:r>
            <w:r w:rsidRPr="008E278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8E278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1溶媒对照组+3个剂量供</w:t>
            </w:r>
            <w:proofErr w:type="gramStart"/>
            <w:r w:rsidRPr="008E278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试品组</w:t>
            </w:r>
            <w:proofErr w:type="gramEnd"/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，每组10只，雌雄各半。单次给药后观察14天。</w:t>
            </w:r>
          </w:p>
          <w:p w14:paraId="38A953BA" w14:textId="77777777" w:rsidR="0046153A" w:rsidRPr="008E278C" w:rsidRDefault="0046153A" w:rsidP="0046153A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E278C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：临床观察、体重、摄食量等；</w:t>
            </w:r>
            <w:r w:rsidRPr="008E278C"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观察期结束存活动物进行临床病理检测（血液学+血凝+生化）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，大体解剖、脏器称重（若有异常则记录并进行病理学检查）。</w:t>
            </w:r>
          </w:p>
          <w:p w14:paraId="696C6A77" w14:textId="52FDDA6A" w:rsidR="0046153A" w:rsidRPr="008E278C" w:rsidRDefault="0046153A" w:rsidP="0046153A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具体需由</w:t>
            </w:r>
            <w:r w:rsidRPr="008E278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实际情况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而定，若毒性反应较大，则测LD</w:t>
            </w:r>
            <w:r w:rsidRPr="008E278C">
              <w:rPr>
                <w:rFonts w:ascii="等线" w:eastAsia="等线" w:hAnsi="等线"/>
                <w:sz w:val="21"/>
                <w:szCs w:val="21"/>
                <w:vertAlign w:val="subscript"/>
                <w:lang w:eastAsia="zh-CN"/>
              </w:rPr>
              <w:t>50</w:t>
            </w:r>
            <w:r w:rsidRPr="008E278C">
              <w:rPr>
                <w:rFonts w:ascii="等线" w:eastAsia="等线" w:hAnsi="等线"/>
                <w:sz w:val="21"/>
                <w:szCs w:val="21"/>
                <w:lang w:eastAsia="zh-CN"/>
              </w:rPr>
              <w:t>，若毒性不大，则进行MTD试验。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F3D5495" w14:textId="6FB0F829" w:rsidR="0046153A" w:rsidRPr="008E278C" w:rsidRDefault="0046153A" w:rsidP="0046153A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E278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7.8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EE2D3E8" w14:textId="732D2D0F" w:rsidR="0046153A" w:rsidRPr="008E278C" w:rsidRDefault="0046153A" w:rsidP="0046153A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</w:rPr>
            </w:pPr>
            <w:r w:rsidRPr="008E278C">
              <w:rPr>
                <w:rFonts w:ascii="等线" w:eastAsia="等线" w:hAnsi="等线"/>
                <w:sz w:val="21"/>
                <w:szCs w:val="21"/>
              </w:rPr>
              <w:t>2个月</w:t>
            </w:r>
          </w:p>
        </w:tc>
      </w:tr>
      <w:tr w:rsidR="0060308E" w14:paraId="5EBAB17C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565F3B77" w14:textId="6DDC565C" w:rsidR="00F824E5" w:rsidRPr="00D935B0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E792A5C" w14:textId="77777777" w:rsidR="00F824E5" w:rsidRPr="00D935B0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 w:rsidRPr="00D935B0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比</w:t>
            </w:r>
            <w:proofErr w:type="gramStart"/>
            <w:r w:rsidRPr="00D935B0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格犬单次</w:t>
            </w:r>
            <w:proofErr w:type="gramEnd"/>
            <w:r w:rsidRPr="00D935B0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给药毒性试验（GLP）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295AD501" w14:textId="17BED708" w:rsidR="00F824E5" w:rsidRPr="00D935B0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D935B0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 w:rsidRPr="00D935B0">
              <w:rPr>
                <w:rFonts w:ascii="等线" w:eastAsia="等线" w:hAnsi="等线"/>
                <w:sz w:val="21"/>
                <w:szCs w:val="21"/>
                <w:lang w:eastAsia="zh-CN"/>
              </w:rPr>
              <w:t>比格犬</w:t>
            </w:r>
            <w:r w:rsidR="00D935B0" w:rsidRPr="00D935B0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（</w:t>
            </w:r>
            <w:r w:rsidR="00D935B0" w:rsidRPr="00D935B0">
              <w:rPr>
                <w:rFonts w:ascii="等线" w:eastAsia="等线" w:hAnsi="等线"/>
                <w:bCs/>
                <w:sz w:val="21"/>
                <w:szCs w:val="21"/>
                <w:lang w:eastAsia="zh-CN"/>
              </w:rPr>
              <w:t>naive</w:t>
            </w:r>
            <w:r w:rsidR="00D935B0" w:rsidRPr="00D935B0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）</w:t>
            </w:r>
            <w:r w:rsidRPr="00D935B0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8</w:t>
            </w:r>
            <w:r w:rsidRPr="00D935B0">
              <w:rPr>
                <w:rFonts w:ascii="等线" w:eastAsia="等线" w:hAnsi="等线"/>
                <w:sz w:val="21"/>
                <w:szCs w:val="21"/>
                <w:lang w:eastAsia="zh-CN"/>
              </w:rPr>
              <w:t>只，分</w:t>
            </w:r>
            <w:r w:rsidRPr="00D935B0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 w:rsidRPr="00D935B0">
              <w:rPr>
                <w:rFonts w:ascii="等线" w:eastAsia="等线" w:hAnsi="等线"/>
                <w:sz w:val="21"/>
                <w:szCs w:val="21"/>
                <w:lang w:eastAsia="zh-CN"/>
              </w:rPr>
              <w:t>组：1溶媒对照组+3</w:t>
            </w:r>
            <w:r w:rsidRPr="00D935B0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个剂量供</w:t>
            </w:r>
            <w:proofErr w:type="gramStart"/>
            <w:r w:rsidRPr="00D935B0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</w:t>
            </w:r>
            <w:r w:rsidRPr="00D935B0">
              <w:rPr>
                <w:rFonts w:ascii="等线" w:eastAsia="等线" w:hAnsi="等线"/>
                <w:sz w:val="21"/>
                <w:szCs w:val="21"/>
                <w:lang w:eastAsia="zh-CN"/>
              </w:rPr>
              <w:t>组</w:t>
            </w:r>
            <w:proofErr w:type="gramEnd"/>
            <w:r w:rsidRPr="00D935B0">
              <w:rPr>
                <w:rFonts w:ascii="等线" w:eastAsia="等线" w:hAnsi="等线"/>
                <w:sz w:val="21"/>
                <w:szCs w:val="21"/>
                <w:lang w:eastAsia="zh-CN"/>
              </w:rPr>
              <w:t>，每组2只，雌雄各半。单次给药后观察14天。</w:t>
            </w:r>
          </w:p>
          <w:p w14:paraId="4BC24334" w14:textId="77DD3CB6" w:rsidR="00F824E5" w:rsidRPr="00D935B0" w:rsidRDefault="00F824E5" w:rsidP="002D5CB1">
            <w:pPr>
              <w:pStyle w:val="Default"/>
              <w:spacing w:line="300" w:lineRule="auto"/>
              <w:ind w:firstLineChars="98" w:firstLine="206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 w:rsidRPr="00D935B0">
              <w:rPr>
                <w:rFonts w:ascii="等线" w:eastAsia="等线" w:hAnsi="等线" w:cs="Times New Roman"/>
                <w:b/>
                <w:color w:val="auto"/>
                <w:sz w:val="21"/>
                <w:szCs w:val="21"/>
              </w:rPr>
              <w:t>检测指标</w:t>
            </w:r>
            <w:r w:rsidRPr="00D935B0"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：临床观察、体重、摄食量；健康体检（心电、体温等：给药前1次，给药后视情况而定，至少d2、d14各测 1次）；临床病理（血常规、血凝4项、血生化、尿液：适应期2次，给药后d2、d14各测 1次）；眼科检查（给药前，d14</w:t>
            </w:r>
            <w:proofErr w:type="gramStart"/>
            <w:r w:rsidRPr="00D935B0"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各</w:t>
            </w:r>
            <w:proofErr w:type="gramEnd"/>
            <w:r w:rsidRPr="00D935B0"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1次）；d14大体解剖（若有异常则记录并对肉眼所见异常组织进行病理组织学检查），进行骨髓细胞学检查。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69911E8" w14:textId="77777777" w:rsidR="00F824E5" w:rsidRPr="00D935B0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D935B0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14.5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950E053" w14:textId="77777777" w:rsidR="00F824E5" w:rsidRPr="00D935B0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D935B0">
              <w:rPr>
                <w:rFonts w:ascii="等线" w:eastAsia="等线" w:hAnsi="等线"/>
                <w:sz w:val="21"/>
                <w:szCs w:val="21"/>
              </w:rPr>
              <w:t>2-3个月</w:t>
            </w:r>
          </w:p>
        </w:tc>
      </w:tr>
      <w:tr w:rsidR="00EB0690" w14:paraId="72D7FF81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74C92F56" w14:textId="0128856F" w:rsidR="00EB0690" w:rsidRPr="007126E3" w:rsidRDefault="008F0E18" w:rsidP="00EB0690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529E848" w14:textId="39F1E0B8" w:rsidR="00EB0690" w:rsidRPr="007126E3" w:rsidRDefault="00EB0690" w:rsidP="00EB0690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 w:rsidRPr="007126E3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SD大鼠14天剂量探索性试验（非GLP）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6D77303E" w14:textId="203D5F25" w:rsidR="00EB0690" w:rsidRPr="008F0E18" w:rsidRDefault="00EB0690" w:rsidP="00EB0690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F0E18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SD大鼠</w:t>
            </w:r>
            <w:r w:rsidR="004610AA"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24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只，分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1个溶媒对照组+3个剂量供</w:t>
            </w:r>
            <w:proofErr w:type="gramStart"/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试品组</w:t>
            </w:r>
            <w:proofErr w:type="gramEnd"/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主实验组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每组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6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只，雌雄各半。</w:t>
            </w:r>
            <w:proofErr w:type="gramStart"/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拟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每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天</w:t>
            </w:r>
            <w:proofErr w:type="gramEnd"/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给药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次，连续给药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周。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不设恢复期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3BFC24A9" w14:textId="77777777" w:rsidR="00EB0690" w:rsidRPr="008F0E18" w:rsidRDefault="00EB0690" w:rsidP="00EB0690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F0E18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：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临床观察、体重、摄食量；临床病理（血常规、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u w:val="single"/>
                <w:lang w:eastAsia="zh-CN"/>
              </w:rPr>
              <w:t>血凝4项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、血生化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，适应期和药前、药后7、14天各1次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）；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观察期结束大体解剖，观察动物的脏器组织，有肉眼可见的异常组织进行组织学检查。如果整个实验病理组织超过5个，费用另计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13C0FDAE" w14:textId="0EB3650D" w:rsidR="004610AA" w:rsidRPr="008F0E18" w:rsidRDefault="004610AA" w:rsidP="00EB0690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 w:rsidRPr="008F0E1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lastRenderedPageBreak/>
              <w:t>TK组：</w:t>
            </w:r>
            <w:r w:rsidRPr="008F0E18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设卫星组，每组4只，雌雄各半。首次和末次给药后，每次6个采血点，对照组每次2个点。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DD0C8C9" w14:textId="535937A7" w:rsidR="00EB0690" w:rsidRPr="002D5CB1" w:rsidRDefault="00EB0690" w:rsidP="00EB0690">
            <w:pPr>
              <w:spacing w:line="360" w:lineRule="auto"/>
              <w:jc w:val="center"/>
              <w:rPr>
                <w:rFonts w:ascii="等线" w:eastAsia="等线" w:hAnsi="等线" w:hint="eastAsia"/>
                <w:color w:val="00B0F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lastRenderedPageBreak/>
              <w:t>8.0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DB3B948" w14:textId="0613EE1F" w:rsidR="00EB0690" w:rsidRPr="002D5CB1" w:rsidRDefault="00EB0690" w:rsidP="00EB0690">
            <w:pPr>
              <w:spacing w:line="360" w:lineRule="auto"/>
              <w:jc w:val="center"/>
              <w:rPr>
                <w:rFonts w:ascii="等线" w:eastAsia="等线" w:hAnsi="等线" w:hint="eastAsia"/>
                <w:color w:val="00B0F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1-2个月</w:t>
            </w:r>
          </w:p>
        </w:tc>
      </w:tr>
      <w:tr w:rsidR="00F95112" w14:paraId="4E555E0B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226252D2" w14:textId="5C8A029F" w:rsidR="00EB0690" w:rsidRPr="007126E3" w:rsidRDefault="008F0E18" w:rsidP="00EB0690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10FF7DD" w14:textId="0B5820F3" w:rsidR="00EB0690" w:rsidRPr="007126E3" w:rsidRDefault="00EB0690" w:rsidP="00EB0690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 w:rsidRPr="007126E3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比格犬14天剂量探索性试验（非GLP）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0F866C7D" w14:textId="29450B81" w:rsidR="00EB0690" w:rsidRPr="008F0E18" w:rsidRDefault="00EB0690" w:rsidP="00EB0690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F0E18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比格犬8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只，分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1个溶媒对照组+3个剂量供</w:t>
            </w:r>
            <w:proofErr w:type="gramStart"/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试品组</w:t>
            </w:r>
            <w:proofErr w:type="gramEnd"/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，每组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只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，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雌雄各半。</w:t>
            </w:r>
            <w:proofErr w:type="gramStart"/>
            <w:r w:rsidRPr="008F0E18">
              <w:rPr>
                <w:rFonts w:ascii="等线" w:eastAsia="等线" w:hAnsi="等线" w:hint="eastAsia"/>
                <w:b/>
                <w:color w:val="000000"/>
                <w:sz w:val="21"/>
                <w:szCs w:val="21"/>
                <w:lang w:eastAsia="zh-CN"/>
              </w:rPr>
              <w:t>拟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每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天</w:t>
            </w:r>
            <w:proofErr w:type="gramEnd"/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给药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1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次，连续给药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2</w:t>
            </w:r>
            <w:r w:rsidRPr="008F0E18"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周。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不设恢复期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3CA77E0F" w14:textId="77777777" w:rsidR="00EB0690" w:rsidRPr="008F0E18" w:rsidRDefault="00EB0690" w:rsidP="00EB0690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F0E18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：临床观察、体重、摄食量；眼科检查（给药前、给药期结束各1次）；健康体检（呼吸、体温、心电等；适应期2次，给药期结束1次）；临床病理（血常规、</w:t>
            </w:r>
            <w:r w:rsidRPr="008F0E18"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血凝4项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、血生化、尿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常规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；适应期2次，给药期结束1次）</w:t>
            </w:r>
            <w:r w:rsidRPr="008F0E1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；</w:t>
            </w:r>
            <w:r w:rsidRPr="008F0E18"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观察期结束大体解剖，观察动物的脏器组织，有肉眼可见的异常组织进行组织学检查。如果整个实验病理组织超过5个，费用另计</w:t>
            </w:r>
            <w:r w:rsidRPr="008F0E18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4CA4AE41" w14:textId="54CC041E" w:rsidR="004610AA" w:rsidRPr="008F0E18" w:rsidRDefault="004610AA" w:rsidP="00EB0690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 w:rsidRPr="008F0E1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TK组：</w:t>
            </w:r>
            <w:r w:rsidRPr="008F0E18">
              <w:rPr>
                <w:rFonts w:ascii="等线" w:eastAsia="等线" w:hAnsi="等线"/>
                <w:bCs/>
                <w:sz w:val="21"/>
                <w:szCs w:val="21"/>
                <w:lang w:eastAsia="zh-CN"/>
              </w:rPr>
              <w:t>首次和末次给药后采血，</w:t>
            </w:r>
            <w:r w:rsidRPr="008F0E18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每次6</w:t>
            </w:r>
            <w:r w:rsidRPr="008F0E18">
              <w:rPr>
                <w:rFonts w:ascii="等线" w:eastAsia="等线" w:hAnsi="等线"/>
                <w:bCs/>
                <w:sz w:val="21"/>
                <w:szCs w:val="21"/>
                <w:lang w:eastAsia="zh-CN"/>
              </w:rPr>
              <w:t>个采血点</w:t>
            </w:r>
            <w:r w:rsidRPr="008F0E18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4BDCCB3" w14:textId="745CB306" w:rsidR="00EB0690" w:rsidRPr="002D5CB1" w:rsidRDefault="00EB0690" w:rsidP="00EB0690">
            <w:pPr>
              <w:spacing w:line="360" w:lineRule="auto"/>
              <w:jc w:val="center"/>
              <w:rPr>
                <w:rFonts w:ascii="等线" w:eastAsia="等线" w:hAnsi="等线" w:hint="eastAsia"/>
                <w:color w:val="00B0F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062EE1B" w14:textId="54F74B7E" w:rsidR="00EB0690" w:rsidRPr="002D5CB1" w:rsidRDefault="00EB0690" w:rsidP="00EB0690">
            <w:pPr>
              <w:spacing w:line="360" w:lineRule="auto"/>
              <w:jc w:val="center"/>
              <w:rPr>
                <w:rFonts w:ascii="等线" w:eastAsia="等线" w:hAnsi="等线" w:hint="eastAsia"/>
                <w:color w:val="00B0F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2个月</w:t>
            </w:r>
          </w:p>
        </w:tc>
      </w:tr>
      <w:tr w:rsidR="0060308E" w14:paraId="02EF654E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3B37BA03" w14:textId="72EA814A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3E7E85E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SD大鼠重复给药4周毒性试验（GLP）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6B269F7" w14:textId="0C7D53DC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SD大鼠1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20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只，分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组：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 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1溶媒对照组+3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剂量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供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proofErr w:type="gram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30只/组，雌、雄各半。</w:t>
            </w:r>
            <w:proofErr w:type="gramStart"/>
            <w:r w:rsidR="00EB0690" w:rsidRPr="00EB0690">
              <w:rPr>
                <w:rFonts w:ascii="等线" w:eastAsia="等线" w:hAnsi="等线" w:hint="eastAsia"/>
                <w:bCs/>
                <w:color w:val="000000"/>
                <w:sz w:val="21"/>
                <w:szCs w:val="21"/>
                <w:lang w:eastAsia="zh-CN"/>
              </w:rPr>
              <w:t>拟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每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天</w:t>
            </w:r>
            <w:proofErr w:type="gramEnd"/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给药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次，连续给药4周。</w:t>
            </w:r>
          </w:p>
          <w:p w14:paraId="7597FFCB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给药期结束：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每组剖检20只，雌、雄各半。</w:t>
            </w:r>
          </w:p>
          <w:p w14:paraId="633D117F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恢复期结束：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每组剖检10只，雌、雄各半。给药期结束后恢复4周。</w:t>
            </w:r>
          </w:p>
          <w:p w14:paraId="38D50DA1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：临床观察、体重、摄食量；眼科检查（给药期结束和恢复期结束待解剖动物进行检查）；临床病理（血常规、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u w:val="single"/>
                <w:lang w:eastAsia="zh-CN"/>
              </w:rPr>
              <w:t>血凝4项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血生化、尿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常规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；对给药期结束和恢复期结束剖检的动物进行检测）；给药期结束和恢复期结束全套解剖（主要脏器/组织称重，含骨髓涂片），按指导原则要求进行组织病理学检查。外周血异常时进行骨髓细胞学检查。</w:t>
            </w:r>
          </w:p>
          <w:p w14:paraId="0EBE6F22" w14:textId="5EF2D8DE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 xml:space="preserve">TK试验设计:　</w:t>
            </w:r>
            <w:r w:rsidRPr="004610AA">
              <w:rPr>
                <w:rFonts w:ascii="等线" w:eastAsia="等线" w:hAnsi="等线"/>
                <w:bCs/>
                <w:color w:val="000000"/>
                <w:sz w:val="21"/>
                <w:szCs w:val="21"/>
                <w:lang w:eastAsia="zh-CN"/>
              </w:rPr>
              <w:t>设卫星组，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SD大鼠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32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只，分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组：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 3剂量组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+1对照组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8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只/组，雌、雄各半。</w:t>
            </w:r>
            <w:proofErr w:type="gramStart"/>
            <w:r w:rsidR="006A148B" w:rsidRPr="006A148B">
              <w:rPr>
                <w:rFonts w:ascii="等线" w:eastAsia="等线" w:hAnsi="等线" w:hint="eastAsia"/>
                <w:bCs/>
                <w:color w:val="000000"/>
                <w:sz w:val="21"/>
                <w:szCs w:val="21"/>
                <w:lang w:eastAsia="zh-CN"/>
              </w:rPr>
              <w:t>拟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每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天</w:t>
            </w:r>
            <w:proofErr w:type="gramEnd"/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给药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次，连续给药4周。</w:t>
            </w:r>
          </w:p>
          <w:p w14:paraId="3ABA32D5" w14:textId="2576A9BF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 xml:space="preserve">采血时间点:　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首次和末次给药后，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每次6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个采血点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，对照组每次2个点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143CFA29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如增加额外观察或检测指标，需另外计费。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255B623" w14:textId="78589343" w:rsidR="00F824E5" w:rsidRDefault="00EB0690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60.0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D391BE2" w14:textId="6E8D01F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6个月</w:t>
            </w:r>
          </w:p>
        </w:tc>
      </w:tr>
      <w:tr w:rsidR="0060308E" w14:paraId="48ECAE93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350E0E4B" w14:textId="1DA5A3A0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7472C7C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Beagle犬重复给药4周毒性试验（GLP）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2BA95A65" w14:textId="09733227" w:rsidR="00F824E5" w:rsidRDefault="00F824E5" w:rsidP="006A148B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 xml:space="preserve">试验设计:　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 Beagle犬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0只，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1溶媒对照组+3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剂量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供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proofErr w:type="gramEnd"/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10只/组，雌雄各半。</w:t>
            </w:r>
            <w:proofErr w:type="gramStart"/>
            <w:r w:rsidR="006A148B" w:rsidRPr="006A148B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每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天</w:t>
            </w:r>
            <w:proofErr w:type="gram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给药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次，连续给药4周。</w:t>
            </w:r>
          </w:p>
          <w:p w14:paraId="1AFDA7B7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给药期结束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：每组剖检6只，雌、雄各半。</w:t>
            </w:r>
          </w:p>
          <w:p w14:paraId="1017E05A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lastRenderedPageBreak/>
              <w:t>恢复期结束：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每组剖检4只，雌、雄各半。给药期结束后恢复4周。</w:t>
            </w:r>
          </w:p>
          <w:p w14:paraId="7F0695C0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：临床观察、体重、摄食量；眼科检查（给药前、给药期结束和恢复期结束各1次）；健康体检（呼吸、体温、心电等；适应期2次，给药期结束和恢复期结束各1次）；临床病理（血常规、</w:t>
            </w:r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血凝4项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血生化、尿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常规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；适应期2次，给药期结束和恢复期结束各1次）；给药期结束和恢复期结束进行解剖（主要脏器/组织称重，含骨髓涂片）进行组织病理学检查和骨髓细胞检查。</w:t>
            </w:r>
          </w:p>
          <w:p w14:paraId="3AABE006" w14:textId="13384BD0" w:rsidR="00F824E5" w:rsidRDefault="00F824E5" w:rsidP="00F824E5">
            <w:pPr>
              <w:pStyle w:val="Default"/>
              <w:spacing w:line="300" w:lineRule="auto"/>
              <w:ind w:firstLineChars="98" w:firstLine="206"/>
              <w:rPr>
                <w:rFonts w:ascii="等线" w:eastAsia="等线" w:hAnsi="等线" w:cs="Times New Roman" w:hint="eastAsia"/>
                <w:bCs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b/>
                <w:bCs/>
                <w:color w:val="auto"/>
                <w:sz w:val="21"/>
                <w:szCs w:val="21"/>
              </w:rPr>
              <w:t>TK采血：</w:t>
            </w:r>
            <w:r>
              <w:rPr>
                <w:rFonts w:ascii="等线" w:eastAsia="等线" w:hAnsi="等线" w:cs="Times New Roman"/>
                <w:bCs/>
                <w:color w:val="auto"/>
                <w:sz w:val="21"/>
                <w:szCs w:val="21"/>
              </w:rPr>
              <w:t>首次和末次给药后采血，</w:t>
            </w:r>
            <w:r>
              <w:rPr>
                <w:rFonts w:ascii="等线" w:eastAsia="等线" w:hAnsi="等线" w:cs="Times New Roman" w:hint="eastAsia"/>
                <w:bCs/>
                <w:color w:val="auto"/>
                <w:sz w:val="21"/>
                <w:szCs w:val="21"/>
              </w:rPr>
              <w:t>每次6</w:t>
            </w:r>
            <w:r>
              <w:rPr>
                <w:rFonts w:ascii="等线" w:eastAsia="等线" w:hAnsi="等线" w:cs="Times New Roman"/>
                <w:bCs/>
                <w:color w:val="auto"/>
                <w:sz w:val="21"/>
                <w:szCs w:val="21"/>
              </w:rPr>
              <w:t>个采血点。</w:t>
            </w:r>
            <w:r>
              <w:rPr>
                <w:rFonts w:ascii="等线" w:eastAsia="等线" w:hAnsi="等线" w:cs="Times New Roman"/>
                <w:bCs/>
                <w:color w:val="auto"/>
                <w:sz w:val="21"/>
                <w:szCs w:val="21"/>
              </w:rPr>
              <w:t></w:t>
            </w:r>
          </w:p>
          <w:p w14:paraId="6EBE0C63" w14:textId="77777777" w:rsidR="00F824E5" w:rsidRDefault="00F824E5" w:rsidP="00F824E5">
            <w:pPr>
              <w:pStyle w:val="Default"/>
              <w:spacing w:line="300" w:lineRule="auto"/>
              <w:ind w:firstLineChars="98" w:firstLine="206"/>
              <w:rPr>
                <w:rFonts w:ascii="等线" w:eastAsia="等线" w:hAnsi="等线" w:cs="Times New Roman" w:hint="eastAsia"/>
                <w:b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 w:hint="eastAsia"/>
                <w:bCs/>
                <w:color w:val="auto"/>
                <w:sz w:val="21"/>
                <w:szCs w:val="21"/>
              </w:rPr>
              <w:t>如增加额外观察或检测指标，需另外计费。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BEE1360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lastRenderedPageBreak/>
              <w:t>9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</w:rPr>
              <w:t>.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76A0272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5-6</w:t>
            </w:r>
            <w:r>
              <w:rPr>
                <w:rFonts w:ascii="等线" w:eastAsia="等线" w:hAnsi="等线"/>
                <w:sz w:val="21"/>
                <w:szCs w:val="21"/>
              </w:rPr>
              <w:t>个月</w:t>
            </w:r>
          </w:p>
        </w:tc>
      </w:tr>
      <w:tr w:rsidR="0060308E" w14:paraId="3BBA647B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3AF20B1B" w14:textId="185784CC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2A0CC25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比格</w:t>
            </w:r>
            <w:proofErr w:type="gramStart"/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犬安全</w:t>
            </w:r>
            <w:proofErr w:type="gramEnd"/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药理试验（遥测）（GLP）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1DC49045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拉丁方交叉试验，分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1溶媒对照组+3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剂量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供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proofErr w:type="gramEnd"/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。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拉丁方交叉给药。</w:t>
            </w:r>
          </w:p>
          <w:p w14:paraId="18DF5F0A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 xml:space="preserve">  检测指标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：观察、体重。用遥测系统采集心血管指标 [采集时间为给药前3个点和给药后6-8个点, 观察时间≥5个衰期）]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C4DD068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25.0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0411473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3个月</w:t>
            </w:r>
          </w:p>
        </w:tc>
      </w:tr>
      <w:tr w:rsidR="0060308E" w14:paraId="30110255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78ADA151" w14:textId="1F435320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8128A13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大鼠FOB试验（GLP）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A47D93D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SD大鼠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0只，分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1溶媒对照组+3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剂量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供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proofErr w:type="gramEnd"/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10只/组，雌雄各半。单次给药，观察4个时间点：（1）给药前；（2）给药</w:t>
            </w:r>
            <w:proofErr w:type="gramStart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后包括</w:t>
            </w:r>
            <w:proofErr w:type="spellStart"/>
            <w:proofErr w:type="gram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Tmax</w:t>
            </w:r>
            <w:proofErr w:type="spell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在内2个点；（3）给药后≥5个T</w:t>
            </w:r>
            <w:r>
              <w:rPr>
                <w:rFonts w:ascii="等线" w:eastAsia="等线" w:hAnsi="等线"/>
                <w:sz w:val="21"/>
                <w:szCs w:val="21"/>
                <w:vertAlign w:val="subscript"/>
                <w:lang w:eastAsia="zh-CN"/>
              </w:rPr>
              <w:t>1/2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的1个点。</w:t>
            </w:r>
          </w:p>
          <w:p w14:paraId="7165C6EF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</w:t>
            </w:r>
          </w:p>
          <w:p w14:paraId="688DAD7E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笼内观察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：（1）姿态、（2）竖毛、（3）阵挛性运动（观察是否有癫痫症状）、（4）强直性运动、（5）发声。</w:t>
            </w:r>
          </w:p>
          <w:p w14:paraId="1E459F8E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手持观察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：（1）移出笼的难易程度、（2）对手持的反应、（3）瞳孔、（4）眼睑、（5）眼球、（6）泪液、（7）唾液、（8）呼吸、（9）皮肤颜色。</w:t>
            </w:r>
          </w:p>
          <w:p w14:paraId="7006C9D3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旷</w:t>
            </w:r>
            <w:proofErr w:type="gramEnd"/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场观察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：（1）觉醒、（2）步态、（3）理毛行为、（4）铅刻或异常行为、（5）直立、（6）排尿、（7）排便。</w:t>
            </w:r>
          </w:p>
          <w:p w14:paraId="4F79892E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操作性观察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：（1）钝物逼近反应、（2）接触反应、（3）身体张力、（4）腹部张力、（5）肢体张力、（6）瞳孔反射、（7）短音应答、（8）</w:t>
            </w:r>
            <w:proofErr w:type="gramStart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捏尾反应</w:t>
            </w:r>
            <w:proofErr w:type="gram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、（9）空中翻正反射、（10）前、后肢握力。</w:t>
            </w:r>
          </w:p>
          <w:p w14:paraId="04908859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u w:val="single"/>
                <w:lang w:eastAsia="zh-CN"/>
              </w:rPr>
              <w:t>生理指标检测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：（1）体重、（2）直肠温度。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7CB819E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8.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5386896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1-2个月</w:t>
            </w:r>
          </w:p>
        </w:tc>
      </w:tr>
      <w:tr w:rsidR="0060308E" w14:paraId="1FC8CF5C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793476E" w14:textId="3AB8D375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828048E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大鼠呼吸系统影响</w:t>
            </w: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lastRenderedPageBreak/>
              <w:t>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02437AE8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lastRenderedPageBreak/>
              <w:t>试验设计：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SD大鼠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0只，分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组：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1溶媒对照组+3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剂量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供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试品</w:t>
            </w:r>
            <w:r w:rsidRPr="00C1755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proofErr w:type="gram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，10只/组，雌雄各半。单次给药，观察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lastRenderedPageBreak/>
              <w:t>4个时间点：（1）给药前；（2）给药</w:t>
            </w:r>
            <w:proofErr w:type="gramStart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后包括</w:t>
            </w:r>
            <w:proofErr w:type="spellStart"/>
            <w:proofErr w:type="gram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Tmax</w:t>
            </w:r>
            <w:proofErr w:type="spellEnd"/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在内2个点；（3）给药后≥5个T</w:t>
            </w:r>
            <w:r>
              <w:rPr>
                <w:rFonts w:ascii="等线" w:eastAsia="等线" w:hAnsi="等线"/>
                <w:sz w:val="21"/>
                <w:szCs w:val="21"/>
                <w:vertAlign w:val="subscript"/>
                <w:lang w:eastAsia="zh-CN"/>
              </w:rPr>
              <w:t>1/2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的1个点。</w:t>
            </w:r>
          </w:p>
          <w:p w14:paraId="71CEB60C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：呼吸频率、呼吸节律、潮气量。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22AEB2A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lastRenderedPageBreak/>
              <w:t>8.3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38C7DF3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1-2个月</w:t>
            </w:r>
          </w:p>
        </w:tc>
      </w:tr>
      <w:tr w:rsidR="0060308E" w14:paraId="6A4DF72A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75C7CE77" w14:textId="3E184167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D48A777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 w:rsidRPr="00C17557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体外</w:t>
            </w:r>
            <w:proofErr w:type="spellStart"/>
            <w:r w:rsidRPr="00C17557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hEGR</w:t>
            </w:r>
            <w:proofErr w:type="spellEnd"/>
            <w:r w:rsidRPr="00C17557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74D3A00" w14:textId="6189AD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gramStart"/>
            <w:r w:rsidRPr="00776036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供试品5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浓度</w:t>
            </w:r>
            <w:r w:rsidRPr="00776036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组，3细胞/组。</w:t>
            </w:r>
            <w:r w:rsidR="006A148B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含预实验。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8B6ED90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14.0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0CC485CE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2个月</w:t>
            </w:r>
          </w:p>
        </w:tc>
      </w:tr>
      <w:tr w:rsidR="0060308E" w14:paraId="6FCC1A29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4C100376" w14:textId="188E25B7" w:rsidR="00F824E5" w:rsidRDefault="008F0E18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D61B3B7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遗传毒性试验（GLP）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483831E5" w14:textId="77777777" w:rsidR="00F824E5" w:rsidRDefault="00F824E5" w:rsidP="00F824E5">
            <w:pPr>
              <w:spacing w:line="276" w:lineRule="auto"/>
              <w:ind w:firstLineChars="98" w:firstLine="206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Ames试验：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菌株5种，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分加与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不加S9两种情况，标准平板参入法：至少5个分析浓度，设对照（阴性/赋形剂/阳性）。先进行预实验，正式试验至少重复一次。</w:t>
            </w:r>
          </w:p>
          <w:p w14:paraId="2EDF03CC" w14:textId="77777777" w:rsidR="00F824E5" w:rsidRDefault="00F824E5" w:rsidP="00F824E5">
            <w:pPr>
              <w:spacing w:line="276" w:lineRule="auto"/>
              <w:ind w:firstLineChars="98" w:firstLine="206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体外染色体畸变试验：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CHL细胞，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分加与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不加S9两种情况，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每条件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至少3个可分析浓度；设对照（阴性/赋形剂/阳性），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每条件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2重复。先进行预实验，正式试验至少重复一次。</w:t>
            </w:r>
          </w:p>
          <w:p w14:paraId="3CA16846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体内微核试验：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50只小鼠（或大鼠），分5组：1对照+3供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试品组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+1阳性，每组10只，雌雄各半；每天给药1次，给药1-3次，末次给药后24h采集样本并固定，进行镜检分析。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72A23FE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16.0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6B38397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2-3个月</w:t>
            </w:r>
          </w:p>
        </w:tc>
      </w:tr>
      <w:tr w:rsidR="0060308E" w14:paraId="26C60120" w14:textId="77777777" w:rsidTr="008F0E18">
        <w:trPr>
          <w:trHeight w:val="489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04147CBA" w14:textId="4597C725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</w:t>
            </w:r>
            <w:r w:rsidR="008F0E18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101995B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大鼠、</w:t>
            </w: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犬TK</w:t>
            </w: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分析方法验证和</w:t>
            </w: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指标检测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5564EADC" w14:textId="06C25749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大鼠、犬两</w:t>
            </w:r>
            <w:r w:rsidR="002D717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种属的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TK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分析方法完全验证及血样稳定性考察；</w:t>
            </w:r>
          </w:p>
          <w:p w14:paraId="1B92D99C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仅检测生物基质中的原形药物，不含代谢产物；若需，则费用另计。</w:t>
            </w:r>
          </w:p>
          <w:p w14:paraId="49650B73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单独出具TK检测方法学验证报告。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75264D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42.6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5D4B248C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2个月</w:t>
            </w:r>
          </w:p>
        </w:tc>
      </w:tr>
      <w:tr w:rsidR="0060308E" w14:paraId="3A8F24E0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526028B" w14:textId="55F7760B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</w:t>
            </w:r>
            <w:r w:rsidR="008F0E18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E3C40C5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给药制剂分析（GLP）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578FF0D" w14:textId="32ABFD62" w:rsidR="002D7178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由客户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提供初步的制剂分析方法</w:t>
            </w:r>
            <w:r w:rsidR="002D717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；</w:t>
            </w:r>
          </w:p>
          <w:p w14:paraId="188DC133" w14:textId="295ED0B2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进行制剂分析方法验证和稳定性、均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性考察。</w:t>
            </w:r>
          </w:p>
          <w:p w14:paraId="6860C9F5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正式试验给药前需预留1个月进行方法学验证研究。</w:t>
            </w:r>
          </w:p>
          <w:p w14:paraId="6430B7DC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单独出具方法学验证报告。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C0A566D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等线" w:eastAsia="等线" w:hAnsi="等线"/>
                <w:sz w:val="21"/>
                <w:szCs w:val="21"/>
              </w:rPr>
              <w:t>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3A275D3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1-2个月</w:t>
            </w:r>
          </w:p>
        </w:tc>
      </w:tr>
      <w:tr w:rsidR="00F824E5" w14:paraId="6291B53D" w14:textId="77777777" w:rsidTr="00C337CD">
        <w:trPr>
          <w:trHeight w:val="56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0867DB8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二、</w:t>
            </w:r>
            <w:proofErr w:type="gramStart"/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体内药代试验</w:t>
            </w:r>
            <w:proofErr w:type="gramEnd"/>
          </w:p>
        </w:tc>
      </w:tr>
      <w:tr w:rsidR="0060308E" w14:paraId="4462812C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0AE2C43F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88F6B9F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啮齿类（大鼠）吸收</w:t>
            </w:r>
            <w:proofErr w:type="gramStart"/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预试验</w:t>
            </w:r>
            <w:proofErr w:type="gramEnd"/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71207838" w14:textId="77777777" w:rsidR="00F824E5" w:rsidRPr="00877FDC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77FDC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6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只大鼠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单次灌胃</w:t>
            </w:r>
            <w:proofErr w:type="gramEnd"/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给药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05B0E4CC" w14:textId="77777777" w:rsidR="00F824E5" w:rsidRPr="00877FDC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77FDC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采血：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采血8-1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次（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6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只），尿液收集8次（3只）共计6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个血浆样品+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24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个尿液样品。</w:t>
            </w:r>
          </w:p>
          <w:p w14:paraId="6E4621AD" w14:textId="77777777" w:rsidR="00F824E5" w:rsidRPr="00877FDC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77FDC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：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血药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浓度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、尿液浓度（1个原型或代谢物）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386D333" w14:textId="617A25D3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4</w:t>
            </w:r>
            <w:r w:rsidR="002D7178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6610DFD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1.5个月</w:t>
            </w:r>
          </w:p>
        </w:tc>
      </w:tr>
      <w:tr w:rsidR="0060308E" w14:paraId="4C07069D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2023BCB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7ABCA72B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非啮齿类（犬）吸收</w:t>
            </w:r>
            <w:proofErr w:type="gramStart"/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预试验</w:t>
            </w:r>
            <w:proofErr w:type="gramEnd"/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2662751" w14:textId="77777777" w:rsidR="00F824E5" w:rsidRPr="00877FDC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77FDC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6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只犬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单次灌胃</w:t>
            </w:r>
            <w:proofErr w:type="gramEnd"/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给药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13FF0A4C" w14:textId="77777777" w:rsidR="00F824E5" w:rsidRPr="00877FDC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77FDC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采血：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采血8-1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次（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6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只），共计6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个血浆样品。</w:t>
            </w:r>
          </w:p>
          <w:p w14:paraId="3A3ABE1B" w14:textId="77777777" w:rsidR="00F824E5" w:rsidRPr="00877FDC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77FDC"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：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血药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浓度</w:t>
            </w:r>
            <w:r w:rsidRP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（1个原型或代谢物）</w:t>
            </w:r>
            <w:r w:rsidRPr="00877FDC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A9BE9FF" w14:textId="154B7165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6</w:t>
            </w:r>
            <w:r w:rsidR="00877FDC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A6CD3D2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1.5个月</w:t>
            </w:r>
          </w:p>
        </w:tc>
      </w:tr>
      <w:tr w:rsidR="0060308E" w14:paraId="4F0177C0" w14:textId="77777777" w:rsidTr="008F0E18">
        <w:trPr>
          <w:trHeight w:val="900"/>
          <w:jc w:val="center"/>
        </w:trPr>
        <w:tc>
          <w:tcPr>
            <w:tcW w:w="240" w:type="pct"/>
            <w:vMerge w:val="restart"/>
            <w:shd w:val="clear" w:color="auto" w:fill="auto"/>
            <w:vAlign w:val="center"/>
          </w:tcPr>
          <w:p w14:paraId="4495A162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lastRenderedPageBreak/>
              <w:t>3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3B5CF91B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啮齿类（大鼠）体内药动学吸收试验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78CD45BD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6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只大鼠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雌雄各半，灌胃给药，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拟每天</w:t>
            </w:r>
            <w:proofErr w:type="gramEnd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给药1次，连续7次，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75F9680E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DA7BC7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采血：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给药后每只动物首次和末次采血8-1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次，第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4、5、6次给药后采血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1次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7C19DFC9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血药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浓度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（1个原型或代谢物）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7AB2838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12.7</w:t>
            </w:r>
          </w:p>
        </w:tc>
        <w:tc>
          <w:tcPr>
            <w:tcW w:w="672" w:type="pct"/>
            <w:vMerge w:val="restart"/>
            <w:shd w:val="clear" w:color="auto" w:fill="auto"/>
            <w:noWrap/>
            <w:vAlign w:val="center"/>
          </w:tcPr>
          <w:p w14:paraId="4C32AC1B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2.5个月</w:t>
            </w:r>
          </w:p>
        </w:tc>
      </w:tr>
      <w:tr w:rsidR="0060308E" w14:paraId="68100C2E" w14:textId="77777777" w:rsidTr="008F0E18">
        <w:trPr>
          <w:trHeight w:val="899"/>
          <w:jc w:val="center"/>
        </w:trPr>
        <w:tc>
          <w:tcPr>
            <w:tcW w:w="240" w:type="pct"/>
            <w:vMerge/>
            <w:shd w:val="clear" w:color="auto" w:fill="auto"/>
            <w:vAlign w:val="center"/>
          </w:tcPr>
          <w:p w14:paraId="065BE8D4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0EFFCBF5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06403FAA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24只大鼠，雌雄各半， 单次给药，4组（3个灌胃给药组+静脉注射）。</w:t>
            </w:r>
          </w:p>
          <w:p w14:paraId="69D6FF13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采血：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每只动物采血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8-1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次。</w:t>
            </w:r>
          </w:p>
          <w:p w14:paraId="78045D15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检测指标：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血药浓度（1个原型或代谢物）。</w:t>
            </w: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73DF05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shd w:val="clear" w:color="auto" w:fill="auto"/>
            <w:noWrap/>
            <w:vAlign w:val="center"/>
          </w:tcPr>
          <w:p w14:paraId="2A3FAE57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</w:p>
        </w:tc>
      </w:tr>
      <w:tr w:rsidR="0060308E" w14:paraId="4AA2B34F" w14:textId="77777777" w:rsidTr="008F0E18">
        <w:trPr>
          <w:trHeight w:val="900"/>
          <w:jc w:val="center"/>
        </w:trPr>
        <w:tc>
          <w:tcPr>
            <w:tcW w:w="240" w:type="pct"/>
            <w:vMerge w:val="restart"/>
            <w:shd w:val="clear" w:color="auto" w:fill="auto"/>
            <w:vAlign w:val="center"/>
          </w:tcPr>
          <w:p w14:paraId="4AB032FA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64A07ABB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非啮齿类（犬）体内药动学吸收试验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7B9156EF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6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只犬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，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雌雄各半，灌胃给药，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拟每天</w:t>
            </w:r>
            <w:proofErr w:type="gramEnd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给药1次，连续7次，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组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11C10A76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采血</w:t>
            </w:r>
            <w:r w:rsidRPr="00DA7BC7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：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给药后每只动物首次和末次采血8-1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次，第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4、5、6次给药后采血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1次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  <w:p w14:paraId="35BAF941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血药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浓度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（1个原型或代谢物）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0F908C7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31.4</w:t>
            </w:r>
          </w:p>
        </w:tc>
        <w:tc>
          <w:tcPr>
            <w:tcW w:w="672" w:type="pct"/>
            <w:vMerge w:val="restart"/>
            <w:shd w:val="clear" w:color="auto" w:fill="auto"/>
            <w:noWrap/>
            <w:vAlign w:val="center"/>
          </w:tcPr>
          <w:p w14:paraId="4CD2B626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3个月</w:t>
            </w:r>
          </w:p>
        </w:tc>
      </w:tr>
      <w:tr w:rsidR="0060308E" w14:paraId="59A7791D" w14:textId="77777777" w:rsidTr="008F0E18">
        <w:trPr>
          <w:trHeight w:val="899"/>
          <w:jc w:val="center"/>
        </w:trPr>
        <w:tc>
          <w:tcPr>
            <w:tcW w:w="240" w:type="pct"/>
            <w:vMerge/>
            <w:shd w:val="clear" w:color="auto" w:fill="auto"/>
            <w:vAlign w:val="center"/>
          </w:tcPr>
          <w:p w14:paraId="5EC5BFEE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6360EC51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1856DDFB" w14:textId="02DA5590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24只犬，雌雄各半， 单次</w:t>
            </w:r>
            <w:r w:rsidR="00FB5956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给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药，4组（</w:t>
            </w:r>
            <w:r w:rsidRPr="00754CDB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3个灌胃给药+静脉注射）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。</w:t>
            </w:r>
          </w:p>
          <w:p w14:paraId="578EB801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采血：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每只动物采血</w:t>
            </w:r>
            <w:r w:rsidRPr="00DA7BC7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8-1</w:t>
            </w:r>
            <w:r w:rsidRPr="00DA7BC7"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次。</w:t>
            </w:r>
          </w:p>
          <w:p w14:paraId="1935E5B1" w14:textId="77777777" w:rsidR="00F824E5" w:rsidRDefault="00F824E5" w:rsidP="00F824E5">
            <w:pPr>
              <w:spacing w:line="300" w:lineRule="auto"/>
              <w:ind w:firstLineChars="98" w:firstLine="206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检测指标：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血药浓度（1个原型或代谢物）。</w:t>
            </w: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3B97D49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shd w:val="clear" w:color="auto" w:fill="auto"/>
            <w:noWrap/>
            <w:vAlign w:val="center"/>
          </w:tcPr>
          <w:p w14:paraId="3E082606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</w:p>
        </w:tc>
      </w:tr>
      <w:tr w:rsidR="0060308E" w14:paraId="17ACCC7B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08DE2B93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E3A584E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大</w:t>
            </w:r>
            <w:proofErr w:type="gramStart"/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鼠组织</w:t>
            </w:r>
            <w:proofErr w:type="gramEnd"/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分布试验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2F5A8121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试验设计</w:t>
            </w:r>
            <w:r>
              <w:rPr>
                <w:rFonts w:ascii="等线" w:eastAsia="等线" w:hAnsi="等线" w:hint="eastAsia"/>
                <w:b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大鼠24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只，单次单剂量灌胃给药，4个时间点6只动物，雌雄各半。</w:t>
            </w:r>
          </w:p>
          <w:p w14:paraId="3E188BD5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1"/>
                <w:szCs w:val="21"/>
                <w:lang w:eastAsia="zh-CN"/>
              </w:rPr>
              <w:t>采样：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每只动物采集指导原则要求的1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0~13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个组织+血浆，共计3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60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个左右样品。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 </w:t>
            </w:r>
          </w:p>
          <w:p w14:paraId="4EB930BC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采集生物分析空白基质（1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0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只大</w:t>
            </w:r>
            <w:proofErr w:type="gramStart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鼠组织</w:t>
            </w:r>
            <w:proofErr w:type="gramEnd"/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+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 xml:space="preserve">20 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ml空白血浆）。</w:t>
            </w:r>
          </w:p>
          <w:p w14:paraId="318F8BA4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组织药物浓度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、血浆浓度（1个原型或代谢物）。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AECE945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22.4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DBDDBFA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2个月</w:t>
            </w:r>
          </w:p>
        </w:tc>
      </w:tr>
      <w:tr w:rsidR="0060308E" w14:paraId="0DC7B1C4" w14:textId="77777777" w:rsidTr="008F0E18">
        <w:trPr>
          <w:trHeight w:val="568"/>
          <w:jc w:val="center"/>
        </w:trPr>
        <w:tc>
          <w:tcPr>
            <w:tcW w:w="240" w:type="pct"/>
            <w:vMerge w:val="restart"/>
            <w:shd w:val="clear" w:color="auto" w:fill="auto"/>
            <w:vAlign w:val="center"/>
          </w:tcPr>
          <w:p w14:paraId="5B2D492C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14:paraId="735D098D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大鼠排泄和代谢试验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53446DFE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试验设计</w:t>
            </w:r>
            <w:r>
              <w:rPr>
                <w:rFonts w:ascii="等线" w:eastAsia="等线" w:hAnsi="等线" w:hint="eastAsia"/>
                <w:b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大鼠6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只，单次单剂量灌胃给药，雌雄各半。</w:t>
            </w:r>
          </w:p>
          <w:p w14:paraId="033C8836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1"/>
                <w:szCs w:val="21"/>
                <w:lang w:eastAsia="zh-CN"/>
              </w:rPr>
              <w:t>采样：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每只拟采集8个尿液样品+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8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个粪便样品，共计9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6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个样品。</w:t>
            </w:r>
          </w:p>
          <w:p w14:paraId="4442386A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尿液药品浓度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、粪便药品浓度（1个原型或代谢物）。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B7B0836" w14:textId="4C86750E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</w:t>
            </w:r>
            <w:r w:rsidR="005C6904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.5</w:t>
            </w:r>
          </w:p>
        </w:tc>
        <w:tc>
          <w:tcPr>
            <w:tcW w:w="672" w:type="pct"/>
            <w:vMerge w:val="restart"/>
            <w:shd w:val="clear" w:color="auto" w:fill="auto"/>
            <w:noWrap/>
            <w:vAlign w:val="center"/>
          </w:tcPr>
          <w:p w14:paraId="79F6D7F4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1-2个月</w:t>
            </w:r>
          </w:p>
        </w:tc>
      </w:tr>
      <w:tr w:rsidR="0060308E" w14:paraId="00C4C50A" w14:textId="77777777" w:rsidTr="008F0E18">
        <w:trPr>
          <w:trHeight w:val="568"/>
          <w:jc w:val="center"/>
        </w:trPr>
        <w:tc>
          <w:tcPr>
            <w:tcW w:w="240" w:type="pct"/>
            <w:vMerge/>
            <w:shd w:val="clear" w:color="auto" w:fill="auto"/>
            <w:vAlign w:val="center"/>
          </w:tcPr>
          <w:p w14:paraId="40FB6513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14:paraId="07615E93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D75EA9F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color w:val="000000"/>
                <w:sz w:val="21"/>
                <w:szCs w:val="21"/>
                <w:lang w:eastAsia="zh-CN"/>
              </w:rPr>
              <w:t>试验设计</w:t>
            </w:r>
            <w:r>
              <w:rPr>
                <w:rFonts w:ascii="等线" w:eastAsia="等线" w:hAnsi="等线" w:hint="eastAsia"/>
                <w:b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大鼠10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只，单次单剂量灌胃给药。</w:t>
            </w:r>
          </w:p>
          <w:p w14:paraId="6FB69898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1"/>
                <w:szCs w:val="21"/>
                <w:lang w:eastAsia="zh-CN"/>
              </w:rPr>
              <w:t>采样：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胆管插管动物采集胆汁8个时间点，采集6只动物/时间点，共约48个样品。</w:t>
            </w:r>
          </w:p>
          <w:p w14:paraId="4B090052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检测指标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胆汁</w:t>
            </w:r>
            <w:r>
              <w:rPr>
                <w:rFonts w:ascii="等线" w:eastAsia="等线" w:hAnsi="等线"/>
                <w:sz w:val="21"/>
                <w:szCs w:val="21"/>
                <w:lang w:eastAsia="zh-CN"/>
              </w:rPr>
              <w:t>药物浓度</w:t>
            </w: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（1个原型或代谢物）。</w:t>
            </w: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35E226E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shd w:val="clear" w:color="auto" w:fill="auto"/>
            <w:noWrap/>
            <w:vAlign w:val="center"/>
          </w:tcPr>
          <w:p w14:paraId="3D5BAB3B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</w:p>
        </w:tc>
      </w:tr>
      <w:tr w:rsidR="0060308E" w14:paraId="3EE4D252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7C7B281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lastRenderedPageBreak/>
              <w:t>7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317B63C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生物分析方法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开发和</w:t>
            </w: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验证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1FB70A0E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由委托方转移分析方法。</w:t>
            </w:r>
          </w:p>
          <w:p w14:paraId="4C098C9C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仅分析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一种待测物（原型或代谢物）。</w:t>
            </w:r>
          </w:p>
          <w:p w14:paraId="25640820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验证一个待测物在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五</w:t>
            </w:r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种基质（大鼠血浆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、大鼠尿液、粪便、胆汁和</w:t>
            </w:r>
            <w:proofErr w:type="gramStart"/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犬血浆</w:t>
            </w:r>
            <w:proofErr w:type="gramEnd"/>
            <w:r>
              <w:rPr>
                <w:rFonts w:ascii="等线" w:eastAsia="等线" w:hAnsi="等线"/>
                <w:color w:val="000000"/>
                <w:sz w:val="21"/>
                <w:szCs w:val="21"/>
                <w:lang w:eastAsia="zh-CN"/>
              </w:rPr>
              <w:t>） 的生物分析方法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。</w:t>
            </w:r>
          </w:p>
          <w:p w14:paraId="09988A19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1"/>
                <w:szCs w:val="21"/>
                <w:lang w:eastAsia="zh-CN"/>
              </w:rPr>
              <w:t>考察项：</w:t>
            </w: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选择性、准确度及精密度、稀释验证、短期稳定性、冻融稳定性、 全血稳定性、 PSS（处理后样品稳定性） 、长期稳定性、溶液稳定性、溶血效应、基质效应、回收率。</w:t>
            </w:r>
          </w:p>
          <w:p w14:paraId="3BF685B9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1"/>
                <w:szCs w:val="21"/>
                <w:lang w:eastAsia="zh-CN"/>
              </w:rPr>
              <w:t>单独出具方案和报告。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B74DD39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28.8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D57DDCD" w14:textId="77777777" w:rsidR="00F824E5" w:rsidRDefault="00F824E5" w:rsidP="00F824E5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1-2个月</w:t>
            </w:r>
          </w:p>
        </w:tc>
      </w:tr>
      <w:tr w:rsidR="00F824E5" w14:paraId="2D1D2BCF" w14:textId="77777777" w:rsidTr="00C337CD">
        <w:trPr>
          <w:trHeight w:val="56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B656D40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bookmarkStart w:id="0" w:name="_Hlk166074398"/>
            <w:r w:rsidRPr="00173071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三、体外药</w:t>
            </w:r>
            <w:proofErr w:type="gramStart"/>
            <w:r w:rsidRPr="00173071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代试验</w:t>
            </w:r>
            <w:proofErr w:type="gramEnd"/>
          </w:p>
        </w:tc>
      </w:tr>
      <w:tr w:rsidR="0060308E" w14:paraId="60AEBCE7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53266BE8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406769B" w14:textId="61710AE0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体内代谢产物鉴定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4C1BFB76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目的：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鉴定候选药物体内主要代谢产物，初步推断和鉴定代谢产物结构。</w:t>
            </w:r>
          </w:p>
          <w:p w14:paraId="0700CB30" w14:textId="688AB8E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hint="eastAsia"/>
              </w:rPr>
              <w:t xml:space="preserve"> </w:t>
            </w:r>
            <w:r w:rsidRPr="00FF69C5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LC-TOF-MS 法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7FB0BA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6.0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71ABA390" w14:textId="77777777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4D05CA04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2A91D1D8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72C22D6" w14:textId="51D1093D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肝微粒体代谢种属差异</w:t>
            </w:r>
          </w:p>
        </w:tc>
        <w:tc>
          <w:tcPr>
            <w:tcW w:w="2903" w:type="pct"/>
            <w:gridSpan w:val="2"/>
            <w:shd w:val="clear" w:color="auto" w:fill="auto"/>
          </w:tcPr>
          <w:p w14:paraId="7CAB925E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目的：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评价候选药物在肝细胞代谢过程的种属差异。</w:t>
            </w:r>
          </w:p>
          <w:p w14:paraId="5D1B2213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种属：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人、猴、犬、大鼠，小鼠等；</w:t>
            </w:r>
          </w:p>
          <w:p w14:paraId="74F70B8A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hint="eastAsia"/>
                <w:lang w:eastAsia="zh-CN"/>
              </w:rPr>
              <w:t xml:space="preserve"> </w:t>
            </w:r>
            <w:r w:rsidRPr="00FF69C5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LC-TOF-MS 法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（定性）。</w:t>
            </w:r>
          </w:p>
          <w:p w14:paraId="33413DA4" w14:textId="4482A8C4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备注：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包含一个阳性药物。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8E68482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E765773" w14:textId="77777777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1个月</w:t>
            </w:r>
          </w:p>
        </w:tc>
      </w:tr>
      <w:bookmarkEnd w:id="0"/>
      <w:tr w:rsidR="0060308E" w14:paraId="0EDD0200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7223E360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5D6D79A" w14:textId="595AA352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 w:hint="eastAsia"/>
                <w:b/>
                <w:sz w:val="21"/>
                <w:szCs w:val="21"/>
              </w:rPr>
              <w:t>肝微粒体代谢稳定性</w:t>
            </w:r>
            <w:proofErr w:type="spellEnd"/>
          </w:p>
        </w:tc>
        <w:tc>
          <w:tcPr>
            <w:tcW w:w="2903" w:type="pct"/>
            <w:gridSpan w:val="2"/>
            <w:shd w:val="clear" w:color="auto" w:fill="auto"/>
          </w:tcPr>
          <w:p w14:paraId="5E0523A4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目的：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评价候选药物在体外肝微粒体的代谢稳定性。</w:t>
            </w:r>
          </w:p>
          <w:p w14:paraId="063539DA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种属：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人、猴、犬、大鼠，小鼠等；</w:t>
            </w:r>
          </w:p>
          <w:p w14:paraId="42F9098E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4250D8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LC-MS/MS</w:t>
            </w:r>
            <w:r w:rsidRPr="00FF69C5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法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（半定量）；</w:t>
            </w:r>
          </w:p>
          <w:p w14:paraId="66F0709D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实验组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设计</w:t>
            </w: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空白组+阴性对照+阳性对照组+供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试品组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；3个平行；</w:t>
            </w:r>
          </w:p>
          <w:p w14:paraId="7E1A275A" w14:textId="311D23AF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LC-MS/MS法（半定量）。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C64A3ED" w14:textId="7145FF4D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BF19B3B" w14:textId="768C5F43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2ADC32A3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4FA26C20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251AF552" w14:textId="755E7EED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 w:hint="eastAsia"/>
                <w:b/>
                <w:sz w:val="21"/>
                <w:szCs w:val="21"/>
              </w:rPr>
              <w:t>血浆蛋白结合率测定</w:t>
            </w:r>
            <w:proofErr w:type="spellEnd"/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1BB272C9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目的：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测试候选药物在血浆中的血浆蛋白结合。</w:t>
            </w:r>
          </w:p>
          <w:p w14:paraId="27EA48DC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试验设计：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小鼠、大鼠、犬、猴、人血浆蛋白结合，各三个浓度水平，每一水平至少3个样本。非放射性方法。</w:t>
            </w:r>
          </w:p>
          <w:p w14:paraId="61F9F078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阳性组：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华法林（单一浓度）与小鼠、大鼠、犬、猴、人血浆蛋白结合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率考察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组。</w:t>
            </w:r>
          </w:p>
          <w:p w14:paraId="164221A2" w14:textId="4C8B0F8C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LC-MS/MS法（定量或半定量）。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2110B56" w14:textId="71F19B43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7.0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2ECA0A8" w14:textId="5934FA35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6F21F86B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5C8F6D62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5641E19" w14:textId="36B37ED4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 w:hint="eastAsia"/>
                <w:b/>
                <w:sz w:val="21"/>
                <w:szCs w:val="21"/>
              </w:rPr>
              <w:t>血浆稳定性</w:t>
            </w:r>
            <w:proofErr w:type="spellEnd"/>
          </w:p>
        </w:tc>
        <w:tc>
          <w:tcPr>
            <w:tcW w:w="2903" w:type="pct"/>
            <w:gridSpan w:val="2"/>
            <w:shd w:val="clear" w:color="auto" w:fill="auto"/>
          </w:tcPr>
          <w:p w14:paraId="1243DD50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目的：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测试候选药物在血浆中的稳定性。</w:t>
            </w:r>
          </w:p>
          <w:p w14:paraId="508DFAF6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种属</w:t>
            </w: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人，犬，大鼠，小鼠，猴血浆。</w:t>
            </w:r>
          </w:p>
          <w:p w14:paraId="71E19258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阳性对照：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（小鼠：普鲁卡因；大鼠：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笨氟雷司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；犬：比沙可</w:t>
            </w:r>
            <w:proofErr w:type="gram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啶</w:t>
            </w:r>
            <w:proofErr w:type="gram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；猴：普鲁卡因；人：普鲁卡因）浓度为2uM。</w:t>
            </w:r>
          </w:p>
          <w:p w14:paraId="6CE36239" w14:textId="75B83825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LC-MS/MS 法。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A3C06F0" w14:textId="67D38A72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1BE30420" w14:textId="11F3338D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427D5CFC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054414F0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lastRenderedPageBreak/>
              <w:t>6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1FE3FC9A" w14:textId="2E6109BE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主要</w:t>
            </w: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CYP450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代谢酶表型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28FD6204" w14:textId="5E90FDB5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采用重组酶和化学抑制法（CYP1A2、2B6、2C8、2C9、2C19、2D6、3A4  和  3A5）鉴定主要代谢途径酶表型。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BA5FAA3" w14:textId="787D6D83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6.0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98D081F" w14:textId="548ED31D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22C677ED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5E651393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6ACDB0C" w14:textId="41B97DA6" w:rsidR="0060308E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b/>
                <w:sz w:val="21"/>
                <w:szCs w:val="21"/>
              </w:rPr>
              <w:t>CYP</w:t>
            </w:r>
            <w:r>
              <w:rPr>
                <w:rFonts w:ascii="等线" w:eastAsia="等线" w:hAnsi="等线" w:hint="eastAsia"/>
                <w:b/>
                <w:sz w:val="21"/>
                <w:szCs w:val="21"/>
              </w:rPr>
              <w:t>酶的抑制试验</w:t>
            </w:r>
            <w:proofErr w:type="spellEnd"/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60EA4D21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CYP亚型：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1A2，2B6，2C8，2C9，2C19，2D6和3A4/A5；</w:t>
            </w:r>
          </w:p>
          <w:p w14:paraId="3E9F5E1C" w14:textId="179DCC06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 w:rsidRPr="00853BD4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检测方法：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LC-MS/MS检测代谢产物。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2EA37B6" w14:textId="339850D5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7.0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E67E4EE" w14:textId="43240F33" w:rsidR="0060308E" w:rsidRDefault="0060308E" w:rsidP="0060308E">
            <w:pPr>
              <w:spacing w:line="360" w:lineRule="auto"/>
              <w:rPr>
                <w:rFonts w:ascii="等线" w:eastAsia="等线" w:hAnsi="等线" w:hint="eastAsia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3AAEABB1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32F37413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40B8C07D" w14:textId="04166FA7" w:rsidR="0060308E" w:rsidRPr="006E36FA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CYP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酶的诱导试验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262CEA8C" w14:textId="77777777" w:rsidR="0060308E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测试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候选药物</w:t>
            </w:r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对肝脏药物代谢酶CYP450诱导作用的体外研究（mRNA表达量，三个单供体的</w:t>
            </w:r>
            <w:proofErr w:type="gramStart"/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人原代肝细胞</w:t>
            </w:r>
            <w:proofErr w:type="gramEnd"/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，6个浓度）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；</w:t>
            </w:r>
          </w:p>
          <w:p w14:paraId="1B909487" w14:textId="242ED534" w:rsidR="0060308E" w:rsidRPr="006E36FA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测试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候选药物</w:t>
            </w:r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对肝脏药物代谢酶CYP450诱导作用的体外研究（酶活性，三个单供体的</w:t>
            </w:r>
            <w:proofErr w:type="gramStart"/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人原代肝细胞</w:t>
            </w:r>
            <w:proofErr w:type="gramEnd"/>
            <w:r w:rsidRPr="003506B7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，6个浓度）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49ED118" w14:textId="1F8ABFB0" w:rsidR="0060308E" w:rsidRPr="006E36FA" w:rsidRDefault="00561915" w:rsidP="0060308E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12</w:t>
            </w:r>
            <w:r w:rsidR="0060308E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BC8353A" w14:textId="7642C874" w:rsidR="0060308E" w:rsidRPr="006E36FA" w:rsidRDefault="0060308E" w:rsidP="0060308E">
            <w:pPr>
              <w:spacing w:line="360" w:lineRule="auto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（外包）2-3个月</w:t>
            </w:r>
          </w:p>
        </w:tc>
      </w:tr>
      <w:tr w:rsidR="0060308E" w14:paraId="413E63E2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59FD72ED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B2ECED4" w14:textId="54376CC9" w:rsidR="0060308E" w:rsidRPr="004F427C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Caco-2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细胞渗透性试验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0489C668" w14:textId="7B2F92B1" w:rsidR="0060308E" w:rsidRPr="007512F2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在药物三个浓度下，不加抑制剂和加抑制剂的情况下，考察双侧细胞的渗透性。带阳性底物和阳性抑制剂。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48D35C2" w14:textId="197E0DE4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854333D" w14:textId="398FBB62" w:rsidR="0060308E" w:rsidRPr="006E36FA" w:rsidRDefault="0060308E" w:rsidP="0060308E">
            <w:pPr>
              <w:spacing w:line="360" w:lineRule="auto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660B8664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18A9BD6" w14:textId="77777777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0D892634" w14:textId="5EB394D7" w:rsidR="0060308E" w:rsidRPr="004F427C" w:rsidRDefault="0060308E" w:rsidP="0060308E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转运体转运作用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3A2E0A9A" w14:textId="0AC043E5" w:rsidR="0060308E" w:rsidRPr="007512F2" w:rsidRDefault="0060308E" w:rsidP="0060308E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肠外排ABC转运体MDR1（p-</w:t>
            </w:r>
            <w:proofErr w:type="spellStart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gp</w:t>
            </w:r>
            <w:proofErr w:type="spellEnd"/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）和BCRP对测试物转运作用的体外研究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359915C" w14:textId="548C48CF" w:rsidR="0060308E" w:rsidRDefault="0060308E" w:rsidP="0060308E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E2A40F9" w14:textId="2C1F315F" w:rsidR="0060308E" w:rsidRPr="006E36FA" w:rsidRDefault="0060308E" w:rsidP="0060308E">
            <w:pPr>
              <w:spacing w:line="360" w:lineRule="auto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1个月</w:t>
            </w:r>
          </w:p>
        </w:tc>
      </w:tr>
      <w:tr w:rsidR="00F824E5" w14:paraId="5D98BCDF" w14:textId="77777777" w:rsidTr="00C337CD">
        <w:trPr>
          <w:trHeight w:val="56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4716768" w14:textId="77777777" w:rsidR="00F824E5" w:rsidRPr="006E36FA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BF335B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四、</w:t>
            </w:r>
            <w:proofErr w:type="gramStart"/>
            <w:r w:rsidRPr="00BF335B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非试验</w:t>
            </w:r>
            <w:proofErr w:type="gramEnd"/>
            <w:r w:rsidRPr="00BF335B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部分</w:t>
            </w:r>
          </w:p>
        </w:tc>
      </w:tr>
      <w:tr w:rsidR="0060308E" w14:paraId="2D079001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4792AAC7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0AE601E" w14:textId="77777777" w:rsidR="00F824E5" w:rsidRPr="006E36FA" w:rsidRDefault="00F824E5" w:rsidP="00F824E5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SEND格式转换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1CAA5836" w14:textId="77777777" w:rsidR="00F824E5" w:rsidRPr="00026469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数据转换内容包含：</w:t>
            </w:r>
          </w:p>
          <w:p w14:paraId="4E06C604" w14:textId="77777777" w:rsidR="00F824E5" w:rsidRPr="00026469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1、</w:t>
            </w:r>
            <w:proofErr w:type="gramStart"/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大鼠单次</w:t>
            </w:r>
            <w:proofErr w:type="gramEnd"/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给药毒性试验；</w:t>
            </w:r>
          </w:p>
          <w:p w14:paraId="74E75C58" w14:textId="77777777" w:rsidR="00F824E5" w:rsidRPr="00026469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2、beagle</w:t>
            </w:r>
            <w:proofErr w:type="gramStart"/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犬单次</w:t>
            </w:r>
            <w:proofErr w:type="gramEnd"/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给药毒性试验；</w:t>
            </w:r>
          </w:p>
          <w:p w14:paraId="6ACE9473" w14:textId="77777777" w:rsidR="00F824E5" w:rsidRPr="00026469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3、beagle</w:t>
            </w:r>
            <w:proofErr w:type="gramStart"/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犬安全</w:t>
            </w:r>
            <w:proofErr w:type="gramEnd"/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药理试验；</w:t>
            </w:r>
          </w:p>
          <w:p w14:paraId="122202FB" w14:textId="77777777" w:rsidR="00F824E5" w:rsidRPr="00026469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4、大鼠呼吸系统影响试验</w:t>
            </w:r>
          </w:p>
          <w:p w14:paraId="3DD90CC2" w14:textId="77777777" w:rsidR="00F824E5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5、SD大鼠重复给药4周毒性试验；</w:t>
            </w:r>
          </w:p>
          <w:p w14:paraId="4ACB4372" w14:textId="77777777" w:rsidR="00F824E5" w:rsidRPr="006E36FA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6、</w:t>
            </w: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Beagle犬重复给药4周毒性试验。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2E74580" w14:textId="77777777" w:rsidR="00F824E5" w:rsidRPr="006E36FA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30.0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2D623E94" w14:textId="77777777" w:rsidR="00F824E5" w:rsidRPr="006E36FA" w:rsidRDefault="00F824E5" w:rsidP="00F824E5">
            <w:pPr>
              <w:spacing w:line="360" w:lineRule="auto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1个月</w:t>
            </w:r>
          </w:p>
        </w:tc>
      </w:tr>
      <w:tr w:rsidR="0060308E" w14:paraId="2CBCE854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162C40D8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3AC06713" w14:textId="77777777" w:rsidR="00F824E5" w:rsidRPr="006E36FA" w:rsidRDefault="00F824E5" w:rsidP="00F824E5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英文方案报告翻译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023F1E1F" w14:textId="77777777" w:rsidR="00F824E5" w:rsidRPr="006E36FA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出具英文方案和报告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A73330C" w14:textId="77777777" w:rsidR="00F824E5" w:rsidRPr="006E36FA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16.0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407A3E82" w14:textId="77777777" w:rsidR="00F824E5" w:rsidRPr="006E36FA" w:rsidRDefault="00F824E5" w:rsidP="00F824E5">
            <w:pPr>
              <w:spacing w:line="360" w:lineRule="auto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2个月</w:t>
            </w:r>
          </w:p>
        </w:tc>
      </w:tr>
      <w:tr w:rsidR="0060308E" w14:paraId="7170183E" w14:textId="77777777" w:rsidTr="008F0E18">
        <w:trPr>
          <w:trHeight w:val="568"/>
          <w:jc w:val="center"/>
        </w:trPr>
        <w:tc>
          <w:tcPr>
            <w:tcW w:w="240" w:type="pct"/>
            <w:shd w:val="clear" w:color="auto" w:fill="auto"/>
            <w:vAlign w:val="center"/>
          </w:tcPr>
          <w:p w14:paraId="6629B5F4" w14:textId="77777777" w:rsidR="00F824E5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89" w:type="pct"/>
            <w:shd w:val="clear" w:color="auto" w:fill="auto"/>
            <w:vAlign w:val="center"/>
          </w:tcPr>
          <w:p w14:paraId="693650DE" w14:textId="77777777" w:rsidR="00F824E5" w:rsidRPr="006E36FA" w:rsidRDefault="00F824E5" w:rsidP="00F824E5">
            <w:pPr>
              <w:spacing w:line="300" w:lineRule="auto"/>
              <w:jc w:val="center"/>
              <w:rPr>
                <w:rFonts w:ascii="等线" w:eastAsia="等线" w:hAnsi="等线" w:hint="eastAsia"/>
                <w:b/>
                <w:sz w:val="21"/>
                <w:szCs w:val="21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同行评议</w:t>
            </w:r>
          </w:p>
        </w:tc>
        <w:tc>
          <w:tcPr>
            <w:tcW w:w="2903" w:type="pct"/>
            <w:gridSpan w:val="2"/>
            <w:shd w:val="clear" w:color="auto" w:fill="auto"/>
            <w:vAlign w:val="center"/>
          </w:tcPr>
          <w:p w14:paraId="63C93ED2" w14:textId="77777777" w:rsidR="00F824E5" w:rsidRPr="006E36FA" w:rsidRDefault="00F824E5" w:rsidP="00F824E5">
            <w:pPr>
              <w:spacing w:line="300" w:lineRule="auto"/>
              <w:ind w:firstLineChars="100" w:firstLine="210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毒性病理专家对大鼠和beagle犬的重复给药毒性试验进行毒性病理的同行评议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（</w:t>
            </w:r>
            <w:r w:rsidRPr="004F427C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ACVP或日本兽医病理学家</w:t>
            </w: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）</w:t>
            </w:r>
            <w:r w:rsidRPr="00026469"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A7BE6E4" w14:textId="08367361" w:rsidR="00F824E5" w:rsidRPr="006E36FA" w:rsidRDefault="00F824E5" w:rsidP="00F824E5">
            <w:pPr>
              <w:spacing w:line="360" w:lineRule="auto"/>
              <w:jc w:val="center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35.0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3E55822F" w14:textId="77777777" w:rsidR="00F824E5" w:rsidRPr="006E36FA" w:rsidRDefault="00F824E5" w:rsidP="00F824E5">
            <w:pPr>
              <w:spacing w:line="360" w:lineRule="auto"/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Cs/>
                <w:sz w:val="21"/>
                <w:szCs w:val="21"/>
                <w:lang w:eastAsia="zh-CN"/>
              </w:rPr>
              <w:t>2个月</w:t>
            </w:r>
          </w:p>
        </w:tc>
      </w:tr>
      <w:tr w:rsidR="00F824E5" w14:paraId="79CAC467" w14:textId="77777777" w:rsidTr="00C337CD">
        <w:trPr>
          <w:trHeight w:val="634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45EF430" w14:textId="363B66BF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>总价：</w:t>
            </w: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人民币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 xml:space="preserve">        </w:t>
            </w:r>
            <w:r w:rsidR="0060308E"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万元整</w:t>
            </w:r>
          </w:p>
        </w:tc>
      </w:tr>
      <w:tr w:rsidR="00F824E5" w14:paraId="3BEC1BBC" w14:textId="77777777" w:rsidTr="00C337CD">
        <w:trPr>
          <w:trHeight w:val="556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2DDA411" w14:textId="77777777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优惠价格：人民币</w:t>
            </w:r>
            <w:r>
              <w:rPr>
                <w:rFonts w:ascii="等线" w:eastAsia="等线" w:hAnsi="等线" w:hint="eastAsia"/>
                <w:b/>
                <w:color w:val="FF0000"/>
                <w:sz w:val="21"/>
                <w:szCs w:val="21"/>
                <w:lang w:eastAsia="zh-CN"/>
              </w:rPr>
              <w:t xml:space="preserve">              </w:t>
            </w:r>
            <w:r>
              <w:rPr>
                <w:rFonts w:ascii="等线" w:eastAsia="等线" w:hAnsi="等线"/>
                <w:b/>
                <w:sz w:val="21"/>
                <w:szCs w:val="21"/>
                <w:lang w:eastAsia="zh-CN"/>
              </w:rPr>
              <w:t>万元整（含6%增值税）</w:t>
            </w:r>
          </w:p>
        </w:tc>
      </w:tr>
      <w:tr w:rsidR="00F824E5" w14:paraId="52B2FC3B" w14:textId="77777777" w:rsidTr="00C337CD">
        <w:trPr>
          <w:trHeight w:val="556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BF0C300" w14:textId="77777777" w:rsidR="00F824E5" w:rsidRDefault="00F824E5" w:rsidP="00F824E5">
            <w:pPr>
              <w:pStyle w:val="Default"/>
              <w:spacing w:line="360" w:lineRule="auto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备注：</w:t>
            </w:r>
          </w:p>
          <w:p w14:paraId="0E75D0B0" w14:textId="77777777" w:rsidR="00F824E5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lastRenderedPageBreak/>
              <w:t>1、毒理部分遵循NMPA、FDA</w:t>
            </w:r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、OECD</w:t>
            </w: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的GLP法规和相关技术指导原则；</w:t>
            </w:r>
          </w:p>
          <w:p w14:paraId="58D3A2D0" w14:textId="77777777" w:rsidR="00F824E5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 xml:space="preserve">2、试验周期是指从首次给药起算到提交试验报告草稿的时间，出具中文报告； </w:t>
            </w:r>
          </w:p>
          <w:p w14:paraId="4A19EC37" w14:textId="77777777" w:rsidR="00F824E5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3、</w:t>
            </w:r>
            <w:proofErr w:type="gramStart"/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供试品制剂</w:t>
            </w:r>
            <w:proofErr w:type="gramEnd"/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分析由委托方提供；制剂分析报价仅限于一个</w:t>
            </w:r>
            <w:proofErr w:type="gramStart"/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供试品制剂</w:t>
            </w:r>
            <w:proofErr w:type="gramEnd"/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分析方法的转移和验证；</w:t>
            </w:r>
          </w:p>
          <w:p w14:paraId="5F87CDF9" w14:textId="77777777" w:rsidR="00F824E5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4、试验动物的合格供应商（已考核）： 大鼠</w:t>
            </w:r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、豚鼠</w:t>
            </w: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：维通利华；</w:t>
            </w:r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犬：北京玛斯</w:t>
            </w: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等；</w:t>
            </w:r>
          </w:p>
          <w:p w14:paraId="77F5BB0C" w14:textId="77777777" w:rsidR="00F824E5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5、除了项目中已说明的需委托方提供的试剂盒等外，其余均试剂盒等的购买费用均已包含在报价中；如果需要委托方提供的试剂盒，可以由甲方购买，根据实际情况乙方补充协议支付款项；</w:t>
            </w:r>
          </w:p>
          <w:p w14:paraId="2915A349" w14:textId="77777777" w:rsidR="00F824E5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6、此为初步方案，最终以委托方签字的研究方案为准。</w:t>
            </w:r>
          </w:p>
          <w:p w14:paraId="3E25FEF6" w14:textId="77777777" w:rsidR="00F824E5" w:rsidRPr="00D92314" w:rsidRDefault="00F824E5" w:rsidP="00F824E5">
            <w:pPr>
              <w:pStyle w:val="Default"/>
              <w:spacing w:line="360" w:lineRule="auto"/>
              <w:ind w:firstLineChars="200" w:firstLine="420"/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</w:pP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7、用于PK及TK等生物检测样品保留至检测结束后6个月</w:t>
            </w:r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（免费）</w:t>
            </w: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，</w:t>
            </w:r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如需继续保存，需签订补充协议；</w:t>
            </w:r>
            <w:proofErr w:type="gramStart"/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如需冷链</w:t>
            </w:r>
            <w:proofErr w:type="gramEnd"/>
            <w:r>
              <w:rPr>
                <w:rFonts w:ascii="等线" w:eastAsia="等线" w:hAnsi="等线" w:cs="Times New Roman" w:hint="eastAsia"/>
                <w:color w:val="auto"/>
                <w:sz w:val="21"/>
                <w:szCs w:val="21"/>
              </w:rPr>
              <w:t>寄送，委托方承担</w:t>
            </w:r>
            <w:r>
              <w:rPr>
                <w:rFonts w:ascii="等线" w:eastAsia="等线" w:hAnsi="等线" w:cs="Times New Roman"/>
                <w:color w:val="auto"/>
                <w:sz w:val="21"/>
                <w:szCs w:val="21"/>
              </w:rPr>
              <w:t>。</w:t>
            </w:r>
          </w:p>
        </w:tc>
      </w:tr>
      <w:tr w:rsidR="00F824E5" w14:paraId="43451BE9" w14:textId="77777777" w:rsidTr="00C337CD">
        <w:trPr>
          <w:trHeight w:val="556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7834D9C" w14:textId="0149F5FC" w:rsidR="00F824E5" w:rsidRDefault="00F824E5" w:rsidP="00F824E5">
            <w:pPr>
              <w:spacing w:line="300" w:lineRule="auto"/>
              <w:rPr>
                <w:rFonts w:ascii="等线" w:eastAsia="等线" w:hAnsi="等线" w:hint="eastAsia"/>
                <w:b/>
                <w:sz w:val="21"/>
                <w:szCs w:val="21"/>
                <w:lang w:eastAsia="zh-CN"/>
              </w:rPr>
            </w:pPr>
            <w:r w:rsidRPr="0083038E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lastRenderedPageBreak/>
              <w:t>报价有效期：一个月，报价日期：2024-</w:t>
            </w:r>
            <w:r w:rsidR="006B6204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08</w:t>
            </w:r>
            <w:r w:rsidRPr="0083038E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-</w:t>
            </w:r>
            <w:r w:rsidR="006B6204"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t>15</w:t>
            </w:r>
            <w:r w:rsidRPr="00020C80">
              <w:rPr>
                <w:rFonts w:ascii="等线" w:eastAsia="等线" w:hAnsi="等线" w:hint="eastAsia"/>
                <w:sz w:val="21"/>
                <w:szCs w:val="21"/>
                <w:lang w:eastAsia="zh-CN"/>
              </w:rPr>
              <w:t>。</w:t>
            </w:r>
          </w:p>
        </w:tc>
      </w:tr>
    </w:tbl>
    <w:p w14:paraId="5057706C" w14:textId="77777777" w:rsidR="00D92314" w:rsidRPr="004551CF" w:rsidRDefault="00D92314" w:rsidP="004551CF">
      <w:pPr>
        <w:pStyle w:val="Default"/>
        <w:spacing w:line="360" w:lineRule="auto"/>
        <w:rPr>
          <w:rFonts w:ascii="等线" w:eastAsia="等线" w:hAnsi="等线" w:cs="Times New Roman" w:hint="eastAsia"/>
          <w:color w:val="auto"/>
          <w:sz w:val="21"/>
          <w:szCs w:val="21"/>
        </w:rPr>
      </w:pPr>
    </w:p>
    <w:sectPr w:rsidR="00D92314" w:rsidRPr="004551CF" w:rsidSect="00753A16">
      <w:headerReference w:type="default" r:id="rId6"/>
      <w:footerReference w:type="default" r:id="rId7"/>
      <w:pgSz w:w="11900" w:h="16840"/>
      <w:pgMar w:top="1588" w:right="1440" w:bottom="1588" w:left="1440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BA4C9" w14:textId="77777777" w:rsidR="00D81CF3" w:rsidRDefault="00D81CF3">
      <w:r>
        <w:separator/>
      </w:r>
    </w:p>
  </w:endnote>
  <w:endnote w:type="continuationSeparator" w:id="0">
    <w:p w14:paraId="2C6E1996" w14:textId="77777777" w:rsidR="00D81CF3" w:rsidRDefault="00D8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C9487" w14:textId="77777777" w:rsidR="005B06B9" w:rsidRDefault="00000000">
    <w:pPr>
      <w:pStyle w:val="a8"/>
      <w:jc w:val="center"/>
    </w:pPr>
    <w:r>
      <w:rPr>
        <w:rFonts w:ascii="Century Gothic" w:hAnsi="Century Gothic"/>
        <w:kern w:val="0"/>
      </w:rPr>
      <w:t xml:space="preserve">- </w:t>
    </w:r>
    <w:r>
      <w:rPr>
        <w:rFonts w:ascii="Century Gothic" w:eastAsia="Century Gothic" w:hAnsi="Century Gothic" w:cs="Century Gothic"/>
        <w:kern w:val="0"/>
      </w:rPr>
      <w:fldChar w:fldCharType="begin"/>
    </w:r>
    <w:r>
      <w:rPr>
        <w:rFonts w:ascii="Century Gothic" w:eastAsia="Century Gothic" w:hAnsi="Century Gothic" w:cs="Century Gothic"/>
        <w:kern w:val="0"/>
      </w:rPr>
      <w:instrText xml:space="preserve"> PAGE </w:instrText>
    </w:r>
    <w:r>
      <w:rPr>
        <w:rFonts w:ascii="Century Gothic" w:eastAsia="Century Gothic" w:hAnsi="Century Gothic" w:cs="Century Gothic"/>
        <w:kern w:val="0"/>
      </w:rPr>
      <w:fldChar w:fldCharType="separate"/>
    </w:r>
    <w:r>
      <w:rPr>
        <w:rFonts w:ascii="Century Gothic" w:eastAsia="Century Gothic" w:hAnsi="Century Gothic" w:cs="Century Gothic"/>
        <w:kern w:val="0"/>
      </w:rPr>
      <w:t>7</w:t>
    </w:r>
    <w:r>
      <w:rPr>
        <w:rFonts w:ascii="Century Gothic" w:eastAsia="Century Gothic" w:hAnsi="Century Gothic" w:cs="Century Gothic"/>
        <w:kern w:val="0"/>
      </w:rPr>
      <w:fldChar w:fldCharType="end"/>
    </w:r>
    <w:r>
      <w:rPr>
        <w:rFonts w:ascii="Century Gothic" w:hAnsi="Century Gothic"/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806A4" w14:textId="77777777" w:rsidR="00D81CF3" w:rsidRDefault="00D81CF3">
      <w:r>
        <w:separator/>
      </w:r>
    </w:p>
  </w:footnote>
  <w:footnote w:type="continuationSeparator" w:id="0">
    <w:p w14:paraId="596E0E96" w14:textId="77777777" w:rsidR="00D81CF3" w:rsidRDefault="00D81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B4325" w14:textId="77777777" w:rsidR="00B13B22" w:rsidRPr="00507D8F" w:rsidRDefault="00B13B22" w:rsidP="00B13B22">
    <w:pPr>
      <w:pStyle w:val="a9"/>
      <w:jc w:val="right"/>
      <w:rPr>
        <w:lang w:eastAsia="zh-CN"/>
      </w:rPr>
    </w:pPr>
    <w:proofErr w:type="gramStart"/>
    <w:r w:rsidRPr="00507D8F">
      <w:rPr>
        <w:lang w:eastAsia="zh-CN"/>
      </w:rPr>
      <w:t>苏州华测生物技术</w:t>
    </w:r>
    <w:proofErr w:type="gramEnd"/>
    <w:r w:rsidRPr="00507D8F">
      <w:rPr>
        <w:lang w:eastAsia="zh-CN"/>
      </w:rPr>
      <w:t>有限公司</w:t>
    </w:r>
  </w:p>
  <w:p w14:paraId="714BEA82" w14:textId="77777777" w:rsidR="00B13B22" w:rsidRPr="00507D8F" w:rsidRDefault="00B13B22" w:rsidP="00B13B22">
    <w:pPr>
      <w:pStyle w:val="a9"/>
      <w:wordWrap w:val="0"/>
      <w:jc w:val="right"/>
      <w:rPr>
        <w:lang w:eastAsia="zh-CN"/>
      </w:rPr>
    </w:pPr>
    <w:r w:rsidRPr="00507D8F">
      <w:rPr>
        <w:b/>
        <w:noProof/>
        <w:lang w:eastAsia="zh-CN"/>
      </w:rPr>
      <w:drawing>
        <wp:anchor distT="0" distB="0" distL="114300" distR="114300" simplePos="0" relativeHeight="251659264" behindDoc="0" locked="0" layoutInCell="1" allowOverlap="1" wp14:anchorId="3A0855FC" wp14:editId="0E4A46F5">
          <wp:simplePos x="0" y="0"/>
          <wp:positionH relativeFrom="column">
            <wp:posOffset>-38735</wp:posOffset>
          </wp:positionH>
          <wp:positionV relativeFrom="paragraph">
            <wp:posOffset>54610</wp:posOffset>
          </wp:positionV>
          <wp:extent cx="1247775" cy="390525"/>
          <wp:effectExtent l="0" t="0" r="9525" b="9525"/>
          <wp:wrapNone/>
          <wp:docPr id="3" name="图片 3" descr="文本&#10;&#10;描述已自动生成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文本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07D8F">
      <w:rPr>
        <w:lang w:eastAsia="zh-CN"/>
      </w:rPr>
      <w:t>江苏省昆山市高新区元丰路</w:t>
    </w:r>
    <w:r w:rsidRPr="00507D8F">
      <w:rPr>
        <w:lang w:eastAsia="zh-CN"/>
      </w:rPr>
      <w:t>166</w:t>
    </w:r>
    <w:r w:rsidRPr="00507D8F">
      <w:rPr>
        <w:lang w:eastAsia="zh-CN"/>
      </w:rPr>
      <w:t>号</w:t>
    </w:r>
    <w:r w:rsidRPr="00507D8F">
      <w:rPr>
        <w:lang w:eastAsia="zh-CN"/>
      </w:rPr>
      <w:t xml:space="preserve"> 215300</w:t>
    </w:r>
  </w:p>
  <w:p w14:paraId="0870780A" w14:textId="77777777" w:rsidR="00B13B22" w:rsidRPr="00507D8F" w:rsidRDefault="00B13B22" w:rsidP="00B13B22">
    <w:pPr>
      <w:pStyle w:val="a9"/>
      <w:ind w:firstLineChars="3450" w:firstLine="6210"/>
      <w:jc w:val="right"/>
      <w:rPr>
        <w:lang w:eastAsia="zh-CN"/>
      </w:rPr>
    </w:pPr>
    <w:r w:rsidRPr="00507D8F">
      <w:rPr>
        <w:lang w:eastAsia="zh-CN"/>
      </w:rPr>
      <w:t>电话：</w:t>
    </w:r>
    <w:r w:rsidRPr="00507D8F">
      <w:rPr>
        <w:lang w:eastAsia="zh-CN"/>
      </w:rPr>
      <w:t>+86 512-3680</w:t>
    </w:r>
    <w:r>
      <w:rPr>
        <w:rFonts w:hint="eastAsia"/>
        <w:lang w:eastAsia="zh-CN"/>
      </w:rPr>
      <w:t>16</w:t>
    </w:r>
    <w:r w:rsidRPr="00507D8F">
      <w:rPr>
        <w:lang w:eastAsia="zh-CN"/>
      </w:rPr>
      <w:t>8</w:t>
    </w:r>
    <w:r>
      <w:rPr>
        <w:lang w:eastAsia="zh-CN"/>
      </w:rPr>
      <w:t>8</w:t>
    </w:r>
  </w:p>
  <w:p w14:paraId="5DB9C005" w14:textId="77777777" w:rsidR="00B13B22" w:rsidRPr="00507D8F" w:rsidRDefault="00B13B22" w:rsidP="00B13B22">
    <w:pPr>
      <w:pStyle w:val="a9"/>
      <w:jc w:val="right"/>
      <w:rPr>
        <w:lang w:eastAsia="zh-CN"/>
      </w:rPr>
    </w:pPr>
    <w:r w:rsidRPr="00507D8F">
      <w:rPr>
        <w:lang w:eastAsia="zh-CN"/>
      </w:rPr>
      <w:t>网址</w:t>
    </w:r>
    <w:r w:rsidRPr="00507D8F">
      <w:rPr>
        <w:lang w:eastAsia="zh-CN"/>
      </w:rPr>
      <w:t xml:space="preserve">: </w:t>
    </w:r>
    <w:r>
      <w:rPr>
        <w:rFonts w:hint="eastAsia"/>
        <w:lang w:eastAsia="zh-CN"/>
      </w:rPr>
      <w:t>http://</w:t>
    </w:r>
    <w:r w:rsidRPr="00507D8F">
      <w:rPr>
        <w:lang w:eastAsia="zh-CN"/>
      </w:rPr>
      <w:t>cti-</w:t>
    </w:r>
    <w:r>
      <w:rPr>
        <w:rFonts w:hint="eastAsia"/>
        <w:lang w:eastAsia="zh-CN"/>
      </w:rPr>
      <w:t>b</w:t>
    </w:r>
    <w:r w:rsidRPr="00507D8F">
      <w:rPr>
        <w:lang w:eastAsia="zh-CN"/>
      </w:rPr>
      <w:t>t</w:t>
    </w:r>
    <w:r>
      <w:rPr>
        <w:rFonts w:hint="eastAsia"/>
        <w:lang w:eastAsia="zh-CN"/>
      </w:rPr>
      <w:t>c</w:t>
    </w:r>
    <w:r w:rsidRPr="00507D8F">
      <w:rPr>
        <w:lang w:eastAsia="zh-CN"/>
      </w:rPr>
      <w:t>.com</w:t>
    </w:r>
  </w:p>
  <w:p w14:paraId="133757F1" w14:textId="25926361" w:rsidR="005B06B9" w:rsidRDefault="005B06B9">
    <w:pPr>
      <w:pStyle w:val="a9"/>
      <w:jc w:val="left"/>
      <w:rPr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FiZTQwNWMxNmQ5YTBmMGEyNzY2NzQ1ZTQ5NTNhN2UifQ=="/>
  </w:docVars>
  <w:rsids>
    <w:rsidRoot w:val="00A056C7"/>
    <w:rsid w:val="93BF3D2A"/>
    <w:rsid w:val="99DF2BE8"/>
    <w:rsid w:val="ADBFF87C"/>
    <w:rsid w:val="BCADFE6D"/>
    <w:rsid w:val="BDBB49D6"/>
    <w:rsid w:val="BEEFAA39"/>
    <w:rsid w:val="E7E66C7A"/>
    <w:rsid w:val="F1DFA79F"/>
    <w:rsid w:val="F7D6ED62"/>
    <w:rsid w:val="F7FB4E5C"/>
    <w:rsid w:val="F7FBF6C3"/>
    <w:rsid w:val="FA6DFE4B"/>
    <w:rsid w:val="FEFD846C"/>
    <w:rsid w:val="FFCF56D5"/>
    <w:rsid w:val="00001426"/>
    <w:rsid w:val="000044D5"/>
    <w:rsid w:val="00006252"/>
    <w:rsid w:val="00007A46"/>
    <w:rsid w:val="00010624"/>
    <w:rsid w:val="00017550"/>
    <w:rsid w:val="00020C80"/>
    <w:rsid w:val="00026469"/>
    <w:rsid w:val="00027570"/>
    <w:rsid w:val="0003232A"/>
    <w:rsid w:val="00032913"/>
    <w:rsid w:val="00034000"/>
    <w:rsid w:val="000353ED"/>
    <w:rsid w:val="00036FD2"/>
    <w:rsid w:val="00040B56"/>
    <w:rsid w:val="000531C8"/>
    <w:rsid w:val="000560FC"/>
    <w:rsid w:val="000567C6"/>
    <w:rsid w:val="0006065B"/>
    <w:rsid w:val="000631B7"/>
    <w:rsid w:val="00073979"/>
    <w:rsid w:val="00075050"/>
    <w:rsid w:val="00076782"/>
    <w:rsid w:val="00081890"/>
    <w:rsid w:val="000824B5"/>
    <w:rsid w:val="00082D63"/>
    <w:rsid w:val="00083495"/>
    <w:rsid w:val="000836E4"/>
    <w:rsid w:val="00087059"/>
    <w:rsid w:val="00087934"/>
    <w:rsid w:val="0009486F"/>
    <w:rsid w:val="0009543D"/>
    <w:rsid w:val="000954B5"/>
    <w:rsid w:val="00096FDC"/>
    <w:rsid w:val="0009702B"/>
    <w:rsid w:val="000A0B0E"/>
    <w:rsid w:val="000A4D4E"/>
    <w:rsid w:val="000A76C8"/>
    <w:rsid w:val="000C429D"/>
    <w:rsid w:val="000C4A43"/>
    <w:rsid w:val="000C521C"/>
    <w:rsid w:val="000C5932"/>
    <w:rsid w:val="000C7E8D"/>
    <w:rsid w:val="000D0998"/>
    <w:rsid w:val="000D09F0"/>
    <w:rsid w:val="000D3265"/>
    <w:rsid w:val="000D32C0"/>
    <w:rsid w:val="000D32CE"/>
    <w:rsid w:val="000D33B9"/>
    <w:rsid w:val="000D419D"/>
    <w:rsid w:val="000E13E9"/>
    <w:rsid w:val="000E1BA8"/>
    <w:rsid w:val="000E265F"/>
    <w:rsid w:val="000E2F00"/>
    <w:rsid w:val="000E3094"/>
    <w:rsid w:val="000E7A3E"/>
    <w:rsid w:val="000F2ABC"/>
    <w:rsid w:val="000F398A"/>
    <w:rsid w:val="000F4397"/>
    <w:rsid w:val="000F5078"/>
    <w:rsid w:val="000F64E8"/>
    <w:rsid w:val="000F671A"/>
    <w:rsid w:val="000F68C6"/>
    <w:rsid w:val="00102061"/>
    <w:rsid w:val="00102C6B"/>
    <w:rsid w:val="0010390A"/>
    <w:rsid w:val="00103FDD"/>
    <w:rsid w:val="001047D8"/>
    <w:rsid w:val="00105D80"/>
    <w:rsid w:val="001173DA"/>
    <w:rsid w:val="00122D71"/>
    <w:rsid w:val="00126980"/>
    <w:rsid w:val="00133713"/>
    <w:rsid w:val="00143076"/>
    <w:rsid w:val="0014526D"/>
    <w:rsid w:val="001553F8"/>
    <w:rsid w:val="00166701"/>
    <w:rsid w:val="00171C72"/>
    <w:rsid w:val="00172DEB"/>
    <w:rsid w:val="00173071"/>
    <w:rsid w:val="00176215"/>
    <w:rsid w:val="00177D7E"/>
    <w:rsid w:val="0018292E"/>
    <w:rsid w:val="00182941"/>
    <w:rsid w:val="00183678"/>
    <w:rsid w:val="0018447B"/>
    <w:rsid w:val="0018691B"/>
    <w:rsid w:val="00187E11"/>
    <w:rsid w:val="00192A45"/>
    <w:rsid w:val="00194A52"/>
    <w:rsid w:val="001956EA"/>
    <w:rsid w:val="001A14D6"/>
    <w:rsid w:val="001A3441"/>
    <w:rsid w:val="001A61BE"/>
    <w:rsid w:val="001A7E2D"/>
    <w:rsid w:val="001B2746"/>
    <w:rsid w:val="001B4B55"/>
    <w:rsid w:val="001B586B"/>
    <w:rsid w:val="001C3BC5"/>
    <w:rsid w:val="001D35F0"/>
    <w:rsid w:val="001D7F74"/>
    <w:rsid w:val="001E0642"/>
    <w:rsid w:val="001E15FD"/>
    <w:rsid w:val="001E2C76"/>
    <w:rsid w:val="001E35A8"/>
    <w:rsid w:val="001E3748"/>
    <w:rsid w:val="001E3AA6"/>
    <w:rsid w:val="001E4573"/>
    <w:rsid w:val="001E4C1B"/>
    <w:rsid w:val="001E6203"/>
    <w:rsid w:val="001E75F6"/>
    <w:rsid w:val="001F3611"/>
    <w:rsid w:val="001F3A2C"/>
    <w:rsid w:val="001F52A0"/>
    <w:rsid w:val="001F7530"/>
    <w:rsid w:val="002010B1"/>
    <w:rsid w:val="002018A4"/>
    <w:rsid w:val="00202D08"/>
    <w:rsid w:val="00214825"/>
    <w:rsid w:val="00216286"/>
    <w:rsid w:val="00216458"/>
    <w:rsid w:val="002173B4"/>
    <w:rsid w:val="00217D87"/>
    <w:rsid w:val="002248AA"/>
    <w:rsid w:val="00232150"/>
    <w:rsid w:val="00241928"/>
    <w:rsid w:val="00241CED"/>
    <w:rsid w:val="002443C4"/>
    <w:rsid w:val="0025053C"/>
    <w:rsid w:val="0025236C"/>
    <w:rsid w:val="00255068"/>
    <w:rsid w:val="0026542B"/>
    <w:rsid w:val="00265F51"/>
    <w:rsid w:val="002660AA"/>
    <w:rsid w:val="00267167"/>
    <w:rsid w:val="00271951"/>
    <w:rsid w:val="00273A07"/>
    <w:rsid w:val="00273A4E"/>
    <w:rsid w:val="00276AEC"/>
    <w:rsid w:val="00282B6F"/>
    <w:rsid w:val="00282DB8"/>
    <w:rsid w:val="00285E87"/>
    <w:rsid w:val="00286AFB"/>
    <w:rsid w:val="002923D6"/>
    <w:rsid w:val="0029308A"/>
    <w:rsid w:val="00293DE4"/>
    <w:rsid w:val="00293E0D"/>
    <w:rsid w:val="00294EBA"/>
    <w:rsid w:val="00296EE8"/>
    <w:rsid w:val="002979C0"/>
    <w:rsid w:val="002A1B13"/>
    <w:rsid w:val="002A1C17"/>
    <w:rsid w:val="002A369A"/>
    <w:rsid w:val="002A416C"/>
    <w:rsid w:val="002A43D5"/>
    <w:rsid w:val="002B300A"/>
    <w:rsid w:val="002B5D8C"/>
    <w:rsid w:val="002B72DB"/>
    <w:rsid w:val="002C0163"/>
    <w:rsid w:val="002C07FB"/>
    <w:rsid w:val="002C3743"/>
    <w:rsid w:val="002C4760"/>
    <w:rsid w:val="002C5CC1"/>
    <w:rsid w:val="002D0842"/>
    <w:rsid w:val="002D5CB1"/>
    <w:rsid w:val="002D7178"/>
    <w:rsid w:val="002D7C6C"/>
    <w:rsid w:val="002E04E8"/>
    <w:rsid w:val="002E4459"/>
    <w:rsid w:val="002E4576"/>
    <w:rsid w:val="002E5CF3"/>
    <w:rsid w:val="002F0416"/>
    <w:rsid w:val="002F65E0"/>
    <w:rsid w:val="002F7733"/>
    <w:rsid w:val="00302739"/>
    <w:rsid w:val="00302CA7"/>
    <w:rsid w:val="003059C7"/>
    <w:rsid w:val="00306519"/>
    <w:rsid w:val="00307037"/>
    <w:rsid w:val="0031052C"/>
    <w:rsid w:val="00315AAE"/>
    <w:rsid w:val="00317F92"/>
    <w:rsid w:val="003207FB"/>
    <w:rsid w:val="00321BD7"/>
    <w:rsid w:val="00322E58"/>
    <w:rsid w:val="0032394A"/>
    <w:rsid w:val="00330111"/>
    <w:rsid w:val="00331460"/>
    <w:rsid w:val="0033491B"/>
    <w:rsid w:val="00341755"/>
    <w:rsid w:val="00344135"/>
    <w:rsid w:val="00344A5C"/>
    <w:rsid w:val="0034504D"/>
    <w:rsid w:val="003477AA"/>
    <w:rsid w:val="0035016E"/>
    <w:rsid w:val="00350603"/>
    <w:rsid w:val="00350AAA"/>
    <w:rsid w:val="00351189"/>
    <w:rsid w:val="003515F4"/>
    <w:rsid w:val="00351C8B"/>
    <w:rsid w:val="003531E4"/>
    <w:rsid w:val="00354A57"/>
    <w:rsid w:val="003617EF"/>
    <w:rsid w:val="00361A27"/>
    <w:rsid w:val="003633D3"/>
    <w:rsid w:val="00366C7E"/>
    <w:rsid w:val="003672C5"/>
    <w:rsid w:val="00367D48"/>
    <w:rsid w:val="00371662"/>
    <w:rsid w:val="00372C9C"/>
    <w:rsid w:val="00374CF6"/>
    <w:rsid w:val="003838B1"/>
    <w:rsid w:val="0038395F"/>
    <w:rsid w:val="00385783"/>
    <w:rsid w:val="00385A5D"/>
    <w:rsid w:val="003A1744"/>
    <w:rsid w:val="003A3F28"/>
    <w:rsid w:val="003A6CBB"/>
    <w:rsid w:val="003B0BAD"/>
    <w:rsid w:val="003B0DB4"/>
    <w:rsid w:val="003B0E3F"/>
    <w:rsid w:val="003B237F"/>
    <w:rsid w:val="003B2B1D"/>
    <w:rsid w:val="003B4D4B"/>
    <w:rsid w:val="003B749B"/>
    <w:rsid w:val="003B7B53"/>
    <w:rsid w:val="003C0492"/>
    <w:rsid w:val="003C2DBC"/>
    <w:rsid w:val="003C5A9C"/>
    <w:rsid w:val="003C62DA"/>
    <w:rsid w:val="003D0599"/>
    <w:rsid w:val="003D72BF"/>
    <w:rsid w:val="003E1054"/>
    <w:rsid w:val="003E22BE"/>
    <w:rsid w:val="003F1B9A"/>
    <w:rsid w:val="003F34BC"/>
    <w:rsid w:val="003F6E50"/>
    <w:rsid w:val="00401CDE"/>
    <w:rsid w:val="00401FC6"/>
    <w:rsid w:val="004024FB"/>
    <w:rsid w:val="004047E0"/>
    <w:rsid w:val="004049C5"/>
    <w:rsid w:val="0040507B"/>
    <w:rsid w:val="004071AA"/>
    <w:rsid w:val="0041298E"/>
    <w:rsid w:val="00413E03"/>
    <w:rsid w:val="00416ECB"/>
    <w:rsid w:val="00417AFA"/>
    <w:rsid w:val="00421925"/>
    <w:rsid w:val="00421D44"/>
    <w:rsid w:val="0042201A"/>
    <w:rsid w:val="00423617"/>
    <w:rsid w:val="00424CD7"/>
    <w:rsid w:val="00424F13"/>
    <w:rsid w:val="004274F1"/>
    <w:rsid w:val="00430C6B"/>
    <w:rsid w:val="0043123B"/>
    <w:rsid w:val="004326FB"/>
    <w:rsid w:val="004334DA"/>
    <w:rsid w:val="00433DBF"/>
    <w:rsid w:val="00434229"/>
    <w:rsid w:val="004369A8"/>
    <w:rsid w:val="0044018A"/>
    <w:rsid w:val="00441B69"/>
    <w:rsid w:val="00442012"/>
    <w:rsid w:val="00444258"/>
    <w:rsid w:val="00445510"/>
    <w:rsid w:val="004514EB"/>
    <w:rsid w:val="004537F6"/>
    <w:rsid w:val="00453D65"/>
    <w:rsid w:val="004548C1"/>
    <w:rsid w:val="004551CF"/>
    <w:rsid w:val="004556A9"/>
    <w:rsid w:val="00455E56"/>
    <w:rsid w:val="004573BA"/>
    <w:rsid w:val="004610AA"/>
    <w:rsid w:val="0046153A"/>
    <w:rsid w:val="00465CBF"/>
    <w:rsid w:val="00465F8B"/>
    <w:rsid w:val="00466E65"/>
    <w:rsid w:val="0046732A"/>
    <w:rsid w:val="00467EAF"/>
    <w:rsid w:val="0047067C"/>
    <w:rsid w:val="00475F65"/>
    <w:rsid w:val="004803C7"/>
    <w:rsid w:val="004832ED"/>
    <w:rsid w:val="0048573B"/>
    <w:rsid w:val="00485E1A"/>
    <w:rsid w:val="00487351"/>
    <w:rsid w:val="004876CB"/>
    <w:rsid w:val="004907BC"/>
    <w:rsid w:val="004933D6"/>
    <w:rsid w:val="00494934"/>
    <w:rsid w:val="00494A09"/>
    <w:rsid w:val="0049501D"/>
    <w:rsid w:val="00496138"/>
    <w:rsid w:val="0049616B"/>
    <w:rsid w:val="004A1A1E"/>
    <w:rsid w:val="004A1EA1"/>
    <w:rsid w:val="004A491D"/>
    <w:rsid w:val="004A4B88"/>
    <w:rsid w:val="004A502D"/>
    <w:rsid w:val="004A5E5A"/>
    <w:rsid w:val="004A7AE8"/>
    <w:rsid w:val="004B0D71"/>
    <w:rsid w:val="004B1A63"/>
    <w:rsid w:val="004B2118"/>
    <w:rsid w:val="004B2ACF"/>
    <w:rsid w:val="004B2EBD"/>
    <w:rsid w:val="004B5308"/>
    <w:rsid w:val="004C0F83"/>
    <w:rsid w:val="004C3567"/>
    <w:rsid w:val="004D7B3B"/>
    <w:rsid w:val="004E0AF4"/>
    <w:rsid w:val="004E18FA"/>
    <w:rsid w:val="004E33DB"/>
    <w:rsid w:val="004E4108"/>
    <w:rsid w:val="004F0494"/>
    <w:rsid w:val="004F427C"/>
    <w:rsid w:val="004F5143"/>
    <w:rsid w:val="004F6B29"/>
    <w:rsid w:val="005028FA"/>
    <w:rsid w:val="00502EC5"/>
    <w:rsid w:val="00512180"/>
    <w:rsid w:val="005143F0"/>
    <w:rsid w:val="00514897"/>
    <w:rsid w:val="00514D45"/>
    <w:rsid w:val="005168F6"/>
    <w:rsid w:val="00517B3D"/>
    <w:rsid w:val="00517DE7"/>
    <w:rsid w:val="0052060B"/>
    <w:rsid w:val="0052589D"/>
    <w:rsid w:val="005267BB"/>
    <w:rsid w:val="00531C8B"/>
    <w:rsid w:val="00531F77"/>
    <w:rsid w:val="005327B5"/>
    <w:rsid w:val="00537AFF"/>
    <w:rsid w:val="00541855"/>
    <w:rsid w:val="005435A4"/>
    <w:rsid w:val="00545D48"/>
    <w:rsid w:val="00552DB9"/>
    <w:rsid w:val="00555FCD"/>
    <w:rsid w:val="00561915"/>
    <w:rsid w:val="00561E8E"/>
    <w:rsid w:val="00564E12"/>
    <w:rsid w:val="00571546"/>
    <w:rsid w:val="00577D0D"/>
    <w:rsid w:val="00577E58"/>
    <w:rsid w:val="00581839"/>
    <w:rsid w:val="00581F54"/>
    <w:rsid w:val="00585C45"/>
    <w:rsid w:val="0058606A"/>
    <w:rsid w:val="005923D2"/>
    <w:rsid w:val="005A011A"/>
    <w:rsid w:val="005A0F9E"/>
    <w:rsid w:val="005A162A"/>
    <w:rsid w:val="005A188F"/>
    <w:rsid w:val="005A18BE"/>
    <w:rsid w:val="005A25B0"/>
    <w:rsid w:val="005A68A2"/>
    <w:rsid w:val="005B01D8"/>
    <w:rsid w:val="005B06B9"/>
    <w:rsid w:val="005B11E4"/>
    <w:rsid w:val="005B2968"/>
    <w:rsid w:val="005B3A65"/>
    <w:rsid w:val="005B4553"/>
    <w:rsid w:val="005B47DB"/>
    <w:rsid w:val="005C01A3"/>
    <w:rsid w:val="005C6904"/>
    <w:rsid w:val="005D4947"/>
    <w:rsid w:val="005D5E42"/>
    <w:rsid w:val="005D6D6D"/>
    <w:rsid w:val="005D71A3"/>
    <w:rsid w:val="005E018C"/>
    <w:rsid w:val="005E7393"/>
    <w:rsid w:val="005E7B8C"/>
    <w:rsid w:val="005F1FD2"/>
    <w:rsid w:val="005F411E"/>
    <w:rsid w:val="005F4E19"/>
    <w:rsid w:val="005F5130"/>
    <w:rsid w:val="005F7730"/>
    <w:rsid w:val="00600182"/>
    <w:rsid w:val="0060031D"/>
    <w:rsid w:val="00600B96"/>
    <w:rsid w:val="00601BDD"/>
    <w:rsid w:val="0060308E"/>
    <w:rsid w:val="006030E5"/>
    <w:rsid w:val="00606657"/>
    <w:rsid w:val="00610DB2"/>
    <w:rsid w:val="00611E9D"/>
    <w:rsid w:val="0061650A"/>
    <w:rsid w:val="00617187"/>
    <w:rsid w:val="00620528"/>
    <w:rsid w:val="00622953"/>
    <w:rsid w:val="00623906"/>
    <w:rsid w:val="00627A9B"/>
    <w:rsid w:val="00632381"/>
    <w:rsid w:val="00633D68"/>
    <w:rsid w:val="00643599"/>
    <w:rsid w:val="00650A71"/>
    <w:rsid w:val="00654405"/>
    <w:rsid w:val="00654ADE"/>
    <w:rsid w:val="00655C95"/>
    <w:rsid w:val="006577E5"/>
    <w:rsid w:val="00660E89"/>
    <w:rsid w:val="00661A53"/>
    <w:rsid w:val="0066362F"/>
    <w:rsid w:val="00663AC0"/>
    <w:rsid w:val="00670C6A"/>
    <w:rsid w:val="0067336F"/>
    <w:rsid w:val="00673BF6"/>
    <w:rsid w:val="006744E1"/>
    <w:rsid w:val="00674B6B"/>
    <w:rsid w:val="00675276"/>
    <w:rsid w:val="00675BB5"/>
    <w:rsid w:val="00676245"/>
    <w:rsid w:val="00676C16"/>
    <w:rsid w:val="00677A3D"/>
    <w:rsid w:val="00681166"/>
    <w:rsid w:val="00682BFB"/>
    <w:rsid w:val="00684AE6"/>
    <w:rsid w:val="00685CAB"/>
    <w:rsid w:val="006875F4"/>
    <w:rsid w:val="006901FD"/>
    <w:rsid w:val="00692A78"/>
    <w:rsid w:val="006940E4"/>
    <w:rsid w:val="006944FC"/>
    <w:rsid w:val="006A0551"/>
    <w:rsid w:val="006A148B"/>
    <w:rsid w:val="006B3A02"/>
    <w:rsid w:val="006B592D"/>
    <w:rsid w:val="006B6204"/>
    <w:rsid w:val="006B6403"/>
    <w:rsid w:val="006B6533"/>
    <w:rsid w:val="006C2B75"/>
    <w:rsid w:val="006C4AFA"/>
    <w:rsid w:val="006D1BAA"/>
    <w:rsid w:val="006D34A6"/>
    <w:rsid w:val="006D51C9"/>
    <w:rsid w:val="006D5FB6"/>
    <w:rsid w:val="006E0963"/>
    <w:rsid w:val="006E1F8B"/>
    <w:rsid w:val="006E3251"/>
    <w:rsid w:val="006E568A"/>
    <w:rsid w:val="006E592A"/>
    <w:rsid w:val="006E6DE5"/>
    <w:rsid w:val="006F00D3"/>
    <w:rsid w:val="006F1997"/>
    <w:rsid w:val="006F2D59"/>
    <w:rsid w:val="006F48B8"/>
    <w:rsid w:val="006F57F4"/>
    <w:rsid w:val="006F6CD0"/>
    <w:rsid w:val="00706EFD"/>
    <w:rsid w:val="00707B00"/>
    <w:rsid w:val="007125B3"/>
    <w:rsid w:val="007126E3"/>
    <w:rsid w:val="00713078"/>
    <w:rsid w:val="00713A54"/>
    <w:rsid w:val="00716862"/>
    <w:rsid w:val="007175F9"/>
    <w:rsid w:val="007315AB"/>
    <w:rsid w:val="00734A9F"/>
    <w:rsid w:val="00735BB0"/>
    <w:rsid w:val="007370B0"/>
    <w:rsid w:val="00740021"/>
    <w:rsid w:val="00742BB2"/>
    <w:rsid w:val="007477CA"/>
    <w:rsid w:val="007512F2"/>
    <w:rsid w:val="00751743"/>
    <w:rsid w:val="00753A16"/>
    <w:rsid w:val="00754CDB"/>
    <w:rsid w:val="00757770"/>
    <w:rsid w:val="00757CDE"/>
    <w:rsid w:val="00760138"/>
    <w:rsid w:val="007631EC"/>
    <w:rsid w:val="00767AA5"/>
    <w:rsid w:val="00770AC8"/>
    <w:rsid w:val="0077204B"/>
    <w:rsid w:val="0077389A"/>
    <w:rsid w:val="0077429D"/>
    <w:rsid w:val="00774795"/>
    <w:rsid w:val="0077543C"/>
    <w:rsid w:val="00776036"/>
    <w:rsid w:val="0078009B"/>
    <w:rsid w:val="00783339"/>
    <w:rsid w:val="00784A27"/>
    <w:rsid w:val="00787432"/>
    <w:rsid w:val="00787517"/>
    <w:rsid w:val="007877C5"/>
    <w:rsid w:val="00790704"/>
    <w:rsid w:val="00796823"/>
    <w:rsid w:val="007A2A92"/>
    <w:rsid w:val="007B1299"/>
    <w:rsid w:val="007B6247"/>
    <w:rsid w:val="007C2017"/>
    <w:rsid w:val="007D1127"/>
    <w:rsid w:val="007D43B1"/>
    <w:rsid w:val="007D5441"/>
    <w:rsid w:val="007E23B8"/>
    <w:rsid w:val="007F0289"/>
    <w:rsid w:val="007F17DA"/>
    <w:rsid w:val="007F1C8A"/>
    <w:rsid w:val="007F2B86"/>
    <w:rsid w:val="007F3ABA"/>
    <w:rsid w:val="007F3E53"/>
    <w:rsid w:val="007F5506"/>
    <w:rsid w:val="007F609B"/>
    <w:rsid w:val="00800A2A"/>
    <w:rsid w:val="00801348"/>
    <w:rsid w:val="008016EF"/>
    <w:rsid w:val="00803485"/>
    <w:rsid w:val="00811CAA"/>
    <w:rsid w:val="00814BAD"/>
    <w:rsid w:val="00820591"/>
    <w:rsid w:val="00821A07"/>
    <w:rsid w:val="00825FF4"/>
    <w:rsid w:val="00830279"/>
    <w:rsid w:val="008302F8"/>
    <w:rsid w:val="0083038E"/>
    <w:rsid w:val="008314DD"/>
    <w:rsid w:val="00831BAC"/>
    <w:rsid w:val="008355A7"/>
    <w:rsid w:val="008409FC"/>
    <w:rsid w:val="00841007"/>
    <w:rsid w:val="008433B1"/>
    <w:rsid w:val="00843D07"/>
    <w:rsid w:val="00844EDE"/>
    <w:rsid w:val="00846C48"/>
    <w:rsid w:val="008474AB"/>
    <w:rsid w:val="00850420"/>
    <w:rsid w:val="00853811"/>
    <w:rsid w:val="00854379"/>
    <w:rsid w:val="00860901"/>
    <w:rsid w:val="00861AFF"/>
    <w:rsid w:val="008624A2"/>
    <w:rsid w:val="008639E5"/>
    <w:rsid w:val="0086417C"/>
    <w:rsid w:val="0086457E"/>
    <w:rsid w:val="008667B2"/>
    <w:rsid w:val="00876104"/>
    <w:rsid w:val="00877661"/>
    <w:rsid w:val="00877E75"/>
    <w:rsid w:val="00877FDC"/>
    <w:rsid w:val="008901DB"/>
    <w:rsid w:val="008903CE"/>
    <w:rsid w:val="0089195C"/>
    <w:rsid w:val="008922CB"/>
    <w:rsid w:val="0089730E"/>
    <w:rsid w:val="008A1C05"/>
    <w:rsid w:val="008A20B8"/>
    <w:rsid w:val="008B01D0"/>
    <w:rsid w:val="008B1597"/>
    <w:rsid w:val="008B17B8"/>
    <w:rsid w:val="008C09B2"/>
    <w:rsid w:val="008C43C8"/>
    <w:rsid w:val="008C7669"/>
    <w:rsid w:val="008D0558"/>
    <w:rsid w:val="008D0ADE"/>
    <w:rsid w:val="008D7D7E"/>
    <w:rsid w:val="008E01E6"/>
    <w:rsid w:val="008E0254"/>
    <w:rsid w:val="008E0927"/>
    <w:rsid w:val="008E0C6F"/>
    <w:rsid w:val="008E0E81"/>
    <w:rsid w:val="008E1DA3"/>
    <w:rsid w:val="008E278C"/>
    <w:rsid w:val="008E5D5E"/>
    <w:rsid w:val="008F0E18"/>
    <w:rsid w:val="008F347C"/>
    <w:rsid w:val="008F3808"/>
    <w:rsid w:val="008F7E78"/>
    <w:rsid w:val="0090368A"/>
    <w:rsid w:val="00904FA1"/>
    <w:rsid w:val="00905EBF"/>
    <w:rsid w:val="00911E68"/>
    <w:rsid w:val="009128C6"/>
    <w:rsid w:val="00920199"/>
    <w:rsid w:val="00920408"/>
    <w:rsid w:val="00921A09"/>
    <w:rsid w:val="00923FF6"/>
    <w:rsid w:val="00924BD4"/>
    <w:rsid w:val="009270C6"/>
    <w:rsid w:val="00932126"/>
    <w:rsid w:val="00932A8C"/>
    <w:rsid w:val="0094264C"/>
    <w:rsid w:val="0095108F"/>
    <w:rsid w:val="009521FB"/>
    <w:rsid w:val="009523A2"/>
    <w:rsid w:val="00953E01"/>
    <w:rsid w:val="00956E08"/>
    <w:rsid w:val="009571A5"/>
    <w:rsid w:val="00957409"/>
    <w:rsid w:val="00963A1D"/>
    <w:rsid w:val="00963F32"/>
    <w:rsid w:val="00965F22"/>
    <w:rsid w:val="00967C59"/>
    <w:rsid w:val="00970623"/>
    <w:rsid w:val="00970F5B"/>
    <w:rsid w:val="00971683"/>
    <w:rsid w:val="009738EC"/>
    <w:rsid w:val="0097440F"/>
    <w:rsid w:val="00976B66"/>
    <w:rsid w:val="00977BA5"/>
    <w:rsid w:val="009800B1"/>
    <w:rsid w:val="00983592"/>
    <w:rsid w:val="00984BE4"/>
    <w:rsid w:val="00985378"/>
    <w:rsid w:val="00990A9D"/>
    <w:rsid w:val="00990E7D"/>
    <w:rsid w:val="009934E8"/>
    <w:rsid w:val="009951E5"/>
    <w:rsid w:val="00995710"/>
    <w:rsid w:val="009A1A4B"/>
    <w:rsid w:val="009A287F"/>
    <w:rsid w:val="009A481D"/>
    <w:rsid w:val="009A6A26"/>
    <w:rsid w:val="009A7FD3"/>
    <w:rsid w:val="009B1286"/>
    <w:rsid w:val="009B27B4"/>
    <w:rsid w:val="009B4658"/>
    <w:rsid w:val="009B4A13"/>
    <w:rsid w:val="009B7D93"/>
    <w:rsid w:val="009B7E08"/>
    <w:rsid w:val="009B7E9E"/>
    <w:rsid w:val="009C0098"/>
    <w:rsid w:val="009C1584"/>
    <w:rsid w:val="009C2F08"/>
    <w:rsid w:val="009C754A"/>
    <w:rsid w:val="009D15E0"/>
    <w:rsid w:val="009E1F6D"/>
    <w:rsid w:val="009E40AF"/>
    <w:rsid w:val="009E5077"/>
    <w:rsid w:val="009E5E67"/>
    <w:rsid w:val="009E5F23"/>
    <w:rsid w:val="009E70C2"/>
    <w:rsid w:val="009E75E7"/>
    <w:rsid w:val="009F21A9"/>
    <w:rsid w:val="009F2FC4"/>
    <w:rsid w:val="009F3BDE"/>
    <w:rsid w:val="009F453E"/>
    <w:rsid w:val="00A000CC"/>
    <w:rsid w:val="00A0157B"/>
    <w:rsid w:val="00A056C7"/>
    <w:rsid w:val="00A05FA0"/>
    <w:rsid w:val="00A0677C"/>
    <w:rsid w:val="00A06A1C"/>
    <w:rsid w:val="00A17758"/>
    <w:rsid w:val="00A23B55"/>
    <w:rsid w:val="00A33197"/>
    <w:rsid w:val="00A36100"/>
    <w:rsid w:val="00A36E3D"/>
    <w:rsid w:val="00A374DC"/>
    <w:rsid w:val="00A37A7F"/>
    <w:rsid w:val="00A44554"/>
    <w:rsid w:val="00A455D1"/>
    <w:rsid w:val="00A47C2C"/>
    <w:rsid w:val="00A47EFD"/>
    <w:rsid w:val="00A51820"/>
    <w:rsid w:val="00A54EA4"/>
    <w:rsid w:val="00A55CAF"/>
    <w:rsid w:val="00A57EE6"/>
    <w:rsid w:val="00A61A00"/>
    <w:rsid w:val="00A631D4"/>
    <w:rsid w:val="00A66CAE"/>
    <w:rsid w:val="00A67D06"/>
    <w:rsid w:val="00A70494"/>
    <w:rsid w:val="00A75183"/>
    <w:rsid w:val="00A76E5D"/>
    <w:rsid w:val="00A83E1A"/>
    <w:rsid w:val="00A90786"/>
    <w:rsid w:val="00A91F83"/>
    <w:rsid w:val="00A92515"/>
    <w:rsid w:val="00A93F6A"/>
    <w:rsid w:val="00A94007"/>
    <w:rsid w:val="00AA10FA"/>
    <w:rsid w:val="00AA15EE"/>
    <w:rsid w:val="00AA3153"/>
    <w:rsid w:val="00AA5C59"/>
    <w:rsid w:val="00AB29DF"/>
    <w:rsid w:val="00AB5A81"/>
    <w:rsid w:val="00AB5CE9"/>
    <w:rsid w:val="00AC0A5E"/>
    <w:rsid w:val="00AC132F"/>
    <w:rsid w:val="00AC3F8E"/>
    <w:rsid w:val="00AC7510"/>
    <w:rsid w:val="00AD087D"/>
    <w:rsid w:val="00AD0BEA"/>
    <w:rsid w:val="00AD11C6"/>
    <w:rsid w:val="00AD52AD"/>
    <w:rsid w:val="00AE358D"/>
    <w:rsid w:val="00AE3B89"/>
    <w:rsid w:val="00AE611F"/>
    <w:rsid w:val="00AE65A9"/>
    <w:rsid w:val="00AE7BAF"/>
    <w:rsid w:val="00AF0012"/>
    <w:rsid w:val="00AF1787"/>
    <w:rsid w:val="00AF336D"/>
    <w:rsid w:val="00AF36C1"/>
    <w:rsid w:val="00B01D6F"/>
    <w:rsid w:val="00B053AD"/>
    <w:rsid w:val="00B05E39"/>
    <w:rsid w:val="00B10DC7"/>
    <w:rsid w:val="00B13B22"/>
    <w:rsid w:val="00B14959"/>
    <w:rsid w:val="00B15254"/>
    <w:rsid w:val="00B15615"/>
    <w:rsid w:val="00B16D16"/>
    <w:rsid w:val="00B22824"/>
    <w:rsid w:val="00B228D8"/>
    <w:rsid w:val="00B2437D"/>
    <w:rsid w:val="00B2450F"/>
    <w:rsid w:val="00B27C9B"/>
    <w:rsid w:val="00B27CBB"/>
    <w:rsid w:val="00B31367"/>
    <w:rsid w:val="00B31E35"/>
    <w:rsid w:val="00B41A79"/>
    <w:rsid w:val="00B4237F"/>
    <w:rsid w:val="00B42E52"/>
    <w:rsid w:val="00B437DC"/>
    <w:rsid w:val="00B462E2"/>
    <w:rsid w:val="00B47B0B"/>
    <w:rsid w:val="00B50448"/>
    <w:rsid w:val="00B5130A"/>
    <w:rsid w:val="00B52D51"/>
    <w:rsid w:val="00B54C6E"/>
    <w:rsid w:val="00B55110"/>
    <w:rsid w:val="00B552EA"/>
    <w:rsid w:val="00B563E5"/>
    <w:rsid w:val="00B56803"/>
    <w:rsid w:val="00B60884"/>
    <w:rsid w:val="00B64BA5"/>
    <w:rsid w:val="00B668E8"/>
    <w:rsid w:val="00B719C3"/>
    <w:rsid w:val="00B72DA7"/>
    <w:rsid w:val="00B765AC"/>
    <w:rsid w:val="00B843D6"/>
    <w:rsid w:val="00B9080F"/>
    <w:rsid w:val="00B91CBA"/>
    <w:rsid w:val="00B92BDB"/>
    <w:rsid w:val="00B978C4"/>
    <w:rsid w:val="00BA0D78"/>
    <w:rsid w:val="00BA3064"/>
    <w:rsid w:val="00BA5AAB"/>
    <w:rsid w:val="00BA6E68"/>
    <w:rsid w:val="00BB25AB"/>
    <w:rsid w:val="00BB4D49"/>
    <w:rsid w:val="00BC3ED0"/>
    <w:rsid w:val="00BD0CDC"/>
    <w:rsid w:val="00BD55FD"/>
    <w:rsid w:val="00BD661A"/>
    <w:rsid w:val="00BD6B7D"/>
    <w:rsid w:val="00BE28E4"/>
    <w:rsid w:val="00BE4AB9"/>
    <w:rsid w:val="00BE6962"/>
    <w:rsid w:val="00BF169D"/>
    <w:rsid w:val="00BF3A3C"/>
    <w:rsid w:val="00BF4C3E"/>
    <w:rsid w:val="00BF6C0F"/>
    <w:rsid w:val="00C06330"/>
    <w:rsid w:val="00C1018E"/>
    <w:rsid w:val="00C12D53"/>
    <w:rsid w:val="00C13292"/>
    <w:rsid w:val="00C14000"/>
    <w:rsid w:val="00C14DBE"/>
    <w:rsid w:val="00C17557"/>
    <w:rsid w:val="00C20201"/>
    <w:rsid w:val="00C21DA0"/>
    <w:rsid w:val="00C24D86"/>
    <w:rsid w:val="00C26BCF"/>
    <w:rsid w:val="00C30CA3"/>
    <w:rsid w:val="00C337CD"/>
    <w:rsid w:val="00C33DA7"/>
    <w:rsid w:val="00C364B6"/>
    <w:rsid w:val="00C364D8"/>
    <w:rsid w:val="00C3714B"/>
    <w:rsid w:val="00C40A36"/>
    <w:rsid w:val="00C44D0C"/>
    <w:rsid w:val="00C47063"/>
    <w:rsid w:val="00C503D4"/>
    <w:rsid w:val="00C50CE1"/>
    <w:rsid w:val="00C511A2"/>
    <w:rsid w:val="00C51AD3"/>
    <w:rsid w:val="00C528BF"/>
    <w:rsid w:val="00C60811"/>
    <w:rsid w:val="00C669C6"/>
    <w:rsid w:val="00C66A26"/>
    <w:rsid w:val="00C70D42"/>
    <w:rsid w:val="00C72A60"/>
    <w:rsid w:val="00C72DD1"/>
    <w:rsid w:val="00C76841"/>
    <w:rsid w:val="00C8072F"/>
    <w:rsid w:val="00C82E56"/>
    <w:rsid w:val="00C8550C"/>
    <w:rsid w:val="00C91139"/>
    <w:rsid w:val="00C95DFA"/>
    <w:rsid w:val="00C963A2"/>
    <w:rsid w:val="00C96BE5"/>
    <w:rsid w:val="00C974A3"/>
    <w:rsid w:val="00CA2B4A"/>
    <w:rsid w:val="00CA4096"/>
    <w:rsid w:val="00CA6C54"/>
    <w:rsid w:val="00CB18EA"/>
    <w:rsid w:val="00CB2015"/>
    <w:rsid w:val="00CB201F"/>
    <w:rsid w:val="00CB7D7E"/>
    <w:rsid w:val="00CC3208"/>
    <w:rsid w:val="00CD4A0E"/>
    <w:rsid w:val="00CD4F3D"/>
    <w:rsid w:val="00CD5745"/>
    <w:rsid w:val="00CD6AC4"/>
    <w:rsid w:val="00CE3701"/>
    <w:rsid w:val="00CE4700"/>
    <w:rsid w:val="00CE5379"/>
    <w:rsid w:val="00CE614B"/>
    <w:rsid w:val="00CE7687"/>
    <w:rsid w:val="00CF1972"/>
    <w:rsid w:val="00D00D66"/>
    <w:rsid w:val="00D00D86"/>
    <w:rsid w:val="00D05157"/>
    <w:rsid w:val="00D05B5F"/>
    <w:rsid w:val="00D05B6D"/>
    <w:rsid w:val="00D05D99"/>
    <w:rsid w:val="00D06A0C"/>
    <w:rsid w:val="00D120DF"/>
    <w:rsid w:val="00D130FC"/>
    <w:rsid w:val="00D13188"/>
    <w:rsid w:val="00D15693"/>
    <w:rsid w:val="00D1595D"/>
    <w:rsid w:val="00D21FBF"/>
    <w:rsid w:val="00D23076"/>
    <w:rsid w:val="00D23550"/>
    <w:rsid w:val="00D244BE"/>
    <w:rsid w:val="00D3442C"/>
    <w:rsid w:val="00D37F37"/>
    <w:rsid w:val="00D401BA"/>
    <w:rsid w:val="00D42D4F"/>
    <w:rsid w:val="00D439E0"/>
    <w:rsid w:val="00D50948"/>
    <w:rsid w:val="00D50D33"/>
    <w:rsid w:val="00D529D6"/>
    <w:rsid w:val="00D603F0"/>
    <w:rsid w:val="00D6207C"/>
    <w:rsid w:val="00D63D6A"/>
    <w:rsid w:val="00D64675"/>
    <w:rsid w:val="00D67983"/>
    <w:rsid w:val="00D72C21"/>
    <w:rsid w:val="00D758CD"/>
    <w:rsid w:val="00D75A4D"/>
    <w:rsid w:val="00D76D84"/>
    <w:rsid w:val="00D771EB"/>
    <w:rsid w:val="00D811BA"/>
    <w:rsid w:val="00D81CF3"/>
    <w:rsid w:val="00D82787"/>
    <w:rsid w:val="00D90220"/>
    <w:rsid w:val="00D91EAE"/>
    <w:rsid w:val="00D92314"/>
    <w:rsid w:val="00D935B0"/>
    <w:rsid w:val="00D95B94"/>
    <w:rsid w:val="00D97C81"/>
    <w:rsid w:val="00D97EEA"/>
    <w:rsid w:val="00DA0A1A"/>
    <w:rsid w:val="00DA1D3A"/>
    <w:rsid w:val="00DA66CC"/>
    <w:rsid w:val="00DA7BC7"/>
    <w:rsid w:val="00DB3C94"/>
    <w:rsid w:val="00DB4E5B"/>
    <w:rsid w:val="00DB5835"/>
    <w:rsid w:val="00DC3D56"/>
    <w:rsid w:val="00DC743B"/>
    <w:rsid w:val="00DD0B93"/>
    <w:rsid w:val="00DD11D2"/>
    <w:rsid w:val="00DD19EB"/>
    <w:rsid w:val="00DD43CA"/>
    <w:rsid w:val="00DD7661"/>
    <w:rsid w:val="00DD7EAD"/>
    <w:rsid w:val="00DE0AF5"/>
    <w:rsid w:val="00DF05E8"/>
    <w:rsid w:val="00DF087D"/>
    <w:rsid w:val="00DF5CD9"/>
    <w:rsid w:val="00DF6967"/>
    <w:rsid w:val="00DF78B3"/>
    <w:rsid w:val="00DF79B7"/>
    <w:rsid w:val="00E01C59"/>
    <w:rsid w:val="00E01FE5"/>
    <w:rsid w:val="00E0202A"/>
    <w:rsid w:val="00E04B89"/>
    <w:rsid w:val="00E05A47"/>
    <w:rsid w:val="00E10600"/>
    <w:rsid w:val="00E129E1"/>
    <w:rsid w:val="00E162DA"/>
    <w:rsid w:val="00E17EF1"/>
    <w:rsid w:val="00E2069D"/>
    <w:rsid w:val="00E21AFA"/>
    <w:rsid w:val="00E230F5"/>
    <w:rsid w:val="00E25094"/>
    <w:rsid w:val="00E254A2"/>
    <w:rsid w:val="00E30952"/>
    <w:rsid w:val="00E3403D"/>
    <w:rsid w:val="00E355BE"/>
    <w:rsid w:val="00E37202"/>
    <w:rsid w:val="00E40DDC"/>
    <w:rsid w:val="00E42D00"/>
    <w:rsid w:val="00E43F37"/>
    <w:rsid w:val="00E452BC"/>
    <w:rsid w:val="00E4570B"/>
    <w:rsid w:val="00E46398"/>
    <w:rsid w:val="00E57A0F"/>
    <w:rsid w:val="00E57AE7"/>
    <w:rsid w:val="00E6796F"/>
    <w:rsid w:val="00E715E9"/>
    <w:rsid w:val="00E74C50"/>
    <w:rsid w:val="00E814D4"/>
    <w:rsid w:val="00E817C2"/>
    <w:rsid w:val="00E847DF"/>
    <w:rsid w:val="00E84AD9"/>
    <w:rsid w:val="00E87B33"/>
    <w:rsid w:val="00E920A1"/>
    <w:rsid w:val="00E93A80"/>
    <w:rsid w:val="00EA231A"/>
    <w:rsid w:val="00EA3116"/>
    <w:rsid w:val="00EA34DB"/>
    <w:rsid w:val="00EB0690"/>
    <w:rsid w:val="00EB26FF"/>
    <w:rsid w:val="00EB2D82"/>
    <w:rsid w:val="00EB4FAC"/>
    <w:rsid w:val="00EB5167"/>
    <w:rsid w:val="00EB689B"/>
    <w:rsid w:val="00EC07F7"/>
    <w:rsid w:val="00EC1283"/>
    <w:rsid w:val="00EC3271"/>
    <w:rsid w:val="00EC4892"/>
    <w:rsid w:val="00EC4DC0"/>
    <w:rsid w:val="00EC513D"/>
    <w:rsid w:val="00EC5D4D"/>
    <w:rsid w:val="00ED1F1D"/>
    <w:rsid w:val="00ED6E62"/>
    <w:rsid w:val="00EE1397"/>
    <w:rsid w:val="00EE143C"/>
    <w:rsid w:val="00EE27D0"/>
    <w:rsid w:val="00EE5D99"/>
    <w:rsid w:val="00EE68DA"/>
    <w:rsid w:val="00EE759B"/>
    <w:rsid w:val="00EF3F04"/>
    <w:rsid w:val="00EF4B34"/>
    <w:rsid w:val="00EF7437"/>
    <w:rsid w:val="00F03382"/>
    <w:rsid w:val="00F05911"/>
    <w:rsid w:val="00F05AF7"/>
    <w:rsid w:val="00F06022"/>
    <w:rsid w:val="00F071D8"/>
    <w:rsid w:val="00F11A30"/>
    <w:rsid w:val="00F130FE"/>
    <w:rsid w:val="00F17621"/>
    <w:rsid w:val="00F20FD2"/>
    <w:rsid w:val="00F2188C"/>
    <w:rsid w:val="00F22AA7"/>
    <w:rsid w:val="00F23FBC"/>
    <w:rsid w:val="00F2487C"/>
    <w:rsid w:val="00F3047D"/>
    <w:rsid w:val="00F3241E"/>
    <w:rsid w:val="00F32D85"/>
    <w:rsid w:val="00F353AD"/>
    <w:rsid w:val="00F36079"/>
    <w:rsid w:val="00F438A0"/>
    <w:rsid w:val="00F4659A"/>
    <w:rsid w:val="00F47A13"/>
    <w:rsid w:val="00F47D5F"/>
    <w:rsid w:val="00F503A8"/>
    <w:rsid w:val="00F50D39"/>
    <w:rsid w:val="00F50E09"/>
    <w:rsid w:val="00F524BE"/>
    <w:rsid w:val="00F54C0E"/>
    <w:rsid w:val="00F57978"/>
    <w:rsid w:val="00F61BBB"/>
    <w:rsid w:val="00F632E2"/>
    <w:rsid w:val="00F63A62"/>
    <w:rsid w:val="00F65CE1"/>
    <w:rsid w:val="00F73A4F"/>
    <w:rsid w:val="00F76495"/>
    <w:rsid w:val="00F768FB"/>
    <w:rsid w:val="00F80F00"/>
    <w:rsid w:val="00F819EC"/>
    <w:rsid w:val="00F824E5"/>
    <w:rsid w:val="00F826DB"/>
    <w:rsid w:val="00F828B6"/>
    <w:rsid w:val="00F828BE"/>
    <w:rsid w:val="00F8385D"/>
    <w:rsid w:val="00F8488B"/>
    <w:rsid w:val="00F93137"/>
    <w:rsid w:val="00F95112"/>
    <w:rsid w:val="00F9647C"/>
    <w:rsid w:val="00F96901"/>
    <w:rsid w:val="00FA1A4E"/>
    <w:rsid w:val="00FA38A0"/>
    <w:rsid w:val="00FA6BC5"/>
    <w:rsid w:val="00FA7AF4"/>
    <w:rsid w:val="00FB12A1"/>
    <w:rsid w:val="00FB1E61"/>
    <w:rsid w:val="00FB5956"/>
    <w:rsid w:val="00FB5BD9"/>
    <w:rsid w:val="00FB67A1"/>
    <w:rsid w:val="00FB7E98"/>
    <w:rsid w:val="00FC0EE1"/>
    <w:rsid w:val="00FC5E9C"/>
    <w:rsid w:val="00FC6045"/>
    <w:rsid w:val="00FC6EC9"/>
    <w:rsid w:val="00FD1840"/>
    <w:rsid w:val="00FD57BC"/>
    <w:rsid w:val="00FD7F70"/>
    <w:rsid w:val="00FE3A71"/>
    <w:rsid w:val="00FE5171"/>
    <w:rsid w:val="00FE5F62"/>
    <w:rsid w:val="00FE6E0B"/>
    <w:rsid w:val="00FF0061"/>
    <w:rsid w:val="04224AF9"/>
    <w:rsid w:val="0D7868AD"/>
    <w:rsid w:val="12445622"/>
    <w:rsid w:val="162A573B"/>
    <w:rsid w:val="18C212D3"/>
    <w:rsid w:val="19DB5B5D"/>
    <w:rsid w:val="1CCF5016"/>
    <w:rsid w:val="1CEE43AC"/>
    <w:rsid w:val="1D1F0CFF"/>
    <w:rsid w:val="20212A5D"/>
    <w:rsid w:val="26C11476"/>
    <w:rsid w:val="31F07103"/>
    <w:rsid w:val="337B11BC"/>
    <w:rsid w:val="36BA0810"/>
    <w:rsid w:val="38296EB7"/>
    <w:rsid w:val="39B109A1"/>
    <w:rsid w:val="3BFFB5DA"/>
    <w:rsid w:val="3E965AD8"/>
    <w:rsid w:val="40327C39"/>
    <w:rsid w:val="490D14C9"/>
    <w:rsid w:val="4CF3197D"/>
    <w:rsid w:val="4D1B34FA"/>
    <w:rsid w:val="4E5D6F94"/>
    <w:rsid w:val="50E6B3F3"/>
    <w:rsid w:val="534E6C09"/>
    <w:rsid w:val="554A52C4"/>
    <w:rsid w:val="59F720E2"/>
    <w:rsid w:val="5A917DA0"/>
    <w:rsid w:val="5DEBCB97"/>
    <w:rsid w:val="609146D5"/>
    <w:rsid w:val="66331441"/>
    <w:rsid w:val="6C997D0C"/>
    <w:rsid w:val="75F7062D"/>
    <w:rsid w:val="79FF3AFA"/>
    <w:rsid w:val="7F9BC6F1"/>
    <w:rsid w:val="7FABB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DFAB57"/>
  <w15:docId w15:val="{3B862453-A990-47CA-A8FE-93967FB8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widowControl w:val="0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a5">
    <w:name w:val="Body Text Indent"/>
    <w:qFormat/>
    <w:pPr>
      <w:widowControl w:val="0"/>
      <w:tabs>
        <w:tab w:val="left" w:pos="6990"/>
      </w:tabs>
      <w:spacing w:line="300" w:lineRule="auto"/>
      <w:ind w:firstLine="7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pPr>
      <w:widowControl/>
    </w:pPr>
    <w:rPr>
      <w:rFonts w:ascii="Times New Roman" w:hAnsi="Times New Roman" w:cs="Times New Roman"/>
      <w:b/>
      <w:bCs/>
      <w:kern w:val="0"/>
      <w:sz w:val="24"/>
      <w:szCs w:val="24"/>
      <w:lang w:eastAsia="en-US"/>
    </w:rPr>
  </w:style>
  <w:style w:type="character" w:styleId="ad">
    <w:name w:val="Hyperlink"/>
    <w:uiPriority w:val="99"/>
    <w:qFormat/>
    <w:rPr>
      <w:u w:val="single"/>
    </w:rPr>
  </w:style>
  <w:style w:type="character" w:styleId="ae">
    <w:name w:val="annotation reference"/>
    <w:semiHidden/>
    <w:qFormat/>
    <w:rPr>
      <w:sz w:val="21"/>
      <w:szCs w:val="21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f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Default">
    <w:name w:val="Default"/>
    <w:qFormat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  <w:lang w:eastAsia="en-US"/>
    </w:rPr>
  </w:style>
  <w:style w:type="character" w:customStyle="1" w:styleId="a4">
    <w:name w:val="批注文字 字符"/>
    <w:basedOn w:val="a0"/>
    <w:link w:val="a3"/>
    <w:qFormat/>
    <w:rPr>
      <w:rFonts w:asciiTheme="minorHAnsi" w:hAnsiTheme="minorHAnsi" w:cstheme="minorBidi"/>
      <w:kern w:val="2"/>
      <w:sz w:val="21"/>
      <w:szCs w:val="22"/>
    </w:rPr>
  </w:style>
  <w:style w:type="paragraph" w:customStyle="1" w:styleId="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eastAsia="宋体"/>
      <w:kern w:val="2"/>
      <w:sz w:val="21"/>
      <w:lang w:eastAsia="zh-CN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customStyle="1" w:styleId="2">
    <w:name w:val="列出段落2"/>
    <w:basedOn w:val="a"/>
    <w:uiPriority w:val="34"/>
    <w:unhideWhenUsed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  <w:lang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Theme="minorHAnsi" w:hAnsiTheme="minorHAnsi" w:cstheme="minorBidi"/>
      <w:b/>
      <w:bCs/>
      <w:kern w:val="2"/>
      <w:sz w:val="24"/>
      <w:szCs w:val="24"/>
      <w:lang w:eastAsia="en-US"/>
    </w:rPr>
  </w:style>
  <w:style w:type="paragraph" w:customStyle="1" w:styleId="10">
    <w:name w:val="修订1"/>
    <w:hidden/>
    <w:uiPriority w:val="99"/>
    <w:unhideWhenUsed/>
    <w:qFormat/>
    <w:rPr>
      <w:sz w:val="24"/>
      <w:szCs w:val="24"/>
      <w:lang w:eastAsia="en-US"/>
    </w:rPr>
  </w:style>
  <w:style w:type="paragraph" w:styleId="af1">
    <w:name w:val="Revision"/>
    <w:hidden/>
    <w:uiPriority w:val="99"/>
    <w:unhideWhenUsed/>
    <w:rsid w:val="00754CD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913</Words>
  <Characters>5209</Characters>
  <Application>Microsoft Office Word</Application>
  <DocSecurity>0</DocSecurity>
  <Lines>43</Lines>
  <Paragraphs>12</Paragraphs>
  <ScaleCrop>false</ScaleCrop>
  <Company>SMMU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xiaoyan zhang</cp:lastModifiedBy>
  <cp:revision>44</cp:revision>
  <cp:lastPrinted>2021-01-12T16:31:00Z</cp:lastPrinted>
  <dcterms:created xsi:type="dcterms:W3CDTF">2024-05-16T07:54:00Z</dcterms:created>
  <dcterms:modified xsi:type="dcterms:W3CDTF">2024-08-15T02:30:00Z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C7CC972498E3475C88055CD8F8DAC62B_12</vt:lpwstr>
  </property>
</Properties>
</file>