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85BEF" w14:textId="77777777" w:rsidR="00F41D01" w:rsidRDefault="00F41D01">
      <w:pPr>
        <w:pStyle w:val="WXBodyTextTitle"/>
        <w:rPr>
          <w:rFonts w:ascii="Times New Roman" w:hAnsi="Times New Roman" w:cs="Times New Roman" w:hint="eastAsia"/>
          <w:lang w:eastAsia="zh-CN"/>
        </w:rPr>
      </w:pPr>
    </w:p>
    <w:p w14:paraId="43CBC3C7" w14:textId="77777777" w:rsidR="00F41D01" w:rsidRDefault="00F41D01">
      <w:pPr>
        <w:pStyle w:val="WXBodyText"/>
        <w:spacing w:before="0" w:after="0" w:line="360" w:lineRule="auto"/>
        <w:ind w:left="0"/>
        <w:jc w:val="center"/>
        <w:rPr>
          <w:rFonts w:hint="eastAsia"/>
          <w:b/>
          <w:sz w:val="32"/>
        </w:rPr>
      </w:pPr>
      <w:r>
        <w:t>final report</w:t>
      </w:r>
    </w:p>
    <w:p w14:paraId="7B228EF8" w14:textId="77777777" w:rsidR="00E75DE1" w:rsidRDefault="00C52F08" w:rsidP="00E75DE1">
      <w:pPr>
        <w:pStyle w:val="WXBodyText"/>
        <w:spacing w:before="0" w:after="0" w:line="360" w:lineRule="auto"/>
        <w:ind w:left="0"/>
        <w:jc w:val="center"/>
        <w:rPr>
          <w:rFonts w:hint="eastAsia"/>
          <w:sz w:val="28"/>
          <w:szCs w:val="28"/>
        </w:rPr>
      </w:pPr>
      <w:r>
        <w:t>ICR mice gavage administered sbk002 and potassium dichromate raw material</w:t>
      </w:r>
    </w:p>
    <w:p w14:paraId="77D3AC96" w14:textId="77777777" w:rsidR="00F41D01" w:rsidRDefault="00E75DE1" w:rsidP="00E75DE1">
      <w:pPr>
        <w:pStyle w:val="WXBodyText"/>
        <w:ind w:left="0"/>
        <w:jc w:val="center"/>
        <w:rPr>
          <w:rFonts w:hint="eastAsia"/>
          <w:sz w:val="30"/>
          <w:szCs w:val="30"/>
        </w:rPr>
      </w:pPr>
      <w:r>
        <w:t>Single-dose toxicity studies</w:t>
      </w:r>
    </w:p>
    <w:p w14:paraId="0E90F74C" w14:textId="77777777" w:rsidR="00F41D01" w:rsidRDefault="00F41D01">
      <w:pPr>
        <w:pStyle w:val="WXBodyText"/>
        <w:tabs>
          <w:tab w:val="left" w:pos="6795"/>
        </w:tabs>
        <w:ind w:left="0"/>
        <w:rPr>
          <w:rFonts w:hint="eastAsia"/>
        </w:rPr>
      </w:pPr>
    </w:p>
    <w:p w14:paraId="6A6BDB60" w14:textId="77777777" w:rsidR="00F41D01" w:rsidRDefault="00F41D01">
      <w:pPr>
        <w:pStyle w:val="WXBodyText"/>
        <w:ind w:left="0"/>
        <w:rPr>
          <w:rFonts w:hint="eastAsia"/>
        </w:rPr>
      </w:pPr>
    </w:p>
    <w:p w14:paraId="46CBD7A1" w14:textId="77777777" w:rsidR="00F41D01" w:rsidRDefault="00F41D01">
      <w:pPr>
        <w:pStyle w:val="WXBodyText"/>
        <w:ind w:left="0"/>
        <w:rPr>
          <w:rFonts w:hint="eastAsia"/>
        </w:rPr>
      </w:pPr>
    </w:p>
    <w:p w14:paraId="151C0898" w14:textId="77777777" w:rsidR="00E75DE1" w:rsidRDefault="00E75DE1">
      <w:pPr>
        <w:pStyle w:val="WXBodyText"/>
        <w:ind w:left="0"/>
      </w:pPr>
    </w:p>
    <w:p w14:paraId="6F825F2C" w14:textId="77777777" w:rsidR="00F41D01" w:rsidRDefault="00F41D01">
      <w:pPr>
        <w:pStyle w:val="WXBodyText"/>
        <w:spacing w:before="0" w:after="0" w:line="360" w:lineRule="auto"/>
        <w:ind w:left="0"/>
        <w:jc w:val="center"/>
        <w:rPr>
          <w:rFonts w:cs="Times New Roman" w:hint="eastAsia"/>
          <w:b/>
          <w:sz w:val="32"/>
        </w:rPr>
      </w:pPr>
      <w:r>
        <w:t>Test Facility</w:t>
      </w:r>
    </w:p>
    <w:p w14:paraId="7789FE69" w14:textId="77777777" w:rsidR="00F41D01" w:rsidRDefault="00F41D01">
      <w:pPr>
        <w:pStyle w:val="WXBodyText"/>
        <w:spacing w:before="0" w:after="0" w:line="360" w:lineRule="auto"/>
        <w:ind w:left="0"/>
        <w:jc w:val="center"/>
        <w:rPr>
          <w:rFonts w:cs="Times New Roman"/>
          <w:b/>
          <w:sz w:val="32"/>
        </w:rPr>
      </w:pPr>
    </w:p>
    <w:tbl>
      <w:tblPr>
        <w:tblW w:w="0" w:type="auto"/>
        <w:jc w:val="center"/>
        <w:tblInd w:w="0" w:type="dxa"/>
        <w:tblLayout w:type="fixed"/>
        <w:tblLook w:val="0000" w:firstRow="0" w:lastRow="0" w:firstColumn="0" w:lastColumn="0" w:noHBand="0" w:noVBand="0"/>
      </w:tblPr>
      <w:tblGrid>
        <w:gridCol w:w="1056"/>
        <w:gridCol w:w="4403"/>
      </w:tblGrid>
      <w:tr w:rsidR="00F41D01" w14:paraId="357E3F70" w14:textId="77777777">
        <w:trPr>
          <w:jc w:val="center"/>
        </w:trPr>
        <w:tc>
          <w:tcPr>
            <w:tcW w:w="1056" w:type="dxa"/>
            <w:vAlign w:val="center"/>
          </w:tcPr>
          <w:p w14:paraId="03F203D9" w14:textId="77777777" w:rsidR="00F41D01" w:rsidRDefault="00F41D01">
            <w:pPr>
              <w:pStyle w:val="WXBodyText"/>
              <w:spacing w:before="0" w:after="0" w:line="360" w:lineRule="auto"/>
              <w:ind w:left="0"/>
              <w:rPr>
                <w:rFonts w:cs="Times New Roman"/>
                <w:sz w:val="28"/>
              </w:rPr>
            </w:pPr>
            <w:r>
              <w:t>name:</w:t>
            </w:r>
          </w:p>
        </w:tc>
        <w:tc>
          <w:tcPr>
            <w:tcW w:w="4403" w:type="dxa"/>
            <w:vAlign w:val="center"/>
          </w:tcPr>
          <w:p w14:paraId="768A5F7D" w14:textId="77777777" w:rsidR="00F41D01" w:rsidRDefault="00F41D01">
            <w:pPr>
              <w:pStyle w:val="WXBodyText"/>
              <w:spacing w:before="0" w:after="0" w:line="360" w:lineRule="auto"/>
              <w:ind w:left="0"/>
              <w:rPr>
                <w:sz w:val="28"/>
              </w:rPr>
            </w:pPr>
            <w:r>
              <w:t>Suzhou Huace Biological Technology Co., Ltd.</w:t>
            </w:r>
          </w:p>
        </w:tc>
      </w:tr>
      <w:tr w:rsidR="00F41D01" w14:paraId="7ACA62AD" w14:textId="77777777">
        <w:trPr>
          <w:jc w:val="center"/>
        </w:trPr>
        <w:tc>
          <w:tcPr>
            <w:tcW w:w="1056" w:type="dxa"/>
            <w:vAlign w:val="center"/>
          </w:tcPr>
          <w:p w14:paraId="47547D6F" w14:textId="77777777" w:rsidR="00F41D01" w:rsidRDefault="00F41D01">
            <w:pPr>
              <w:pStyle w:val="WXBodyText"/>
              <w:spacing w:before="0" w:after="0" w:line="360" w:lineRule="auto"/>
              <w:ind w:left="0"/>
              <w:rPr>
                <w:rFonts w:cs="Times New Roman"/>
                <w:sz w:val="28"/>
              </w:rPr>
            </w:pPr>
            <w:r>
              <w:t>Address:</w:t>
            </w:r>
          </w:p>
        </w:tc>
        <w:tc>
          <w:tcPr>
            <w:tcW w:w="4403" w:type="dxa"/>
            <w:vAlign w:val="center"/>
          </w:tcPr>
          <w:p w14:paraId="0F5CEBAF" w14:textId="77777777" w:rsidR="00F41D01" w:rsidRDefault="00F41D01">
            <w:pPr>
              <w:pStyle w:val="WXBodyText"/>
              <w:spacing w:before="0" w:after="0" w:line="360" w:lineRule="auto"/>
              <w:ind w:left="0"/>
              <w:rPr>
                <w:sz w:val="28"/>
              </w:rPr>
            </w:pPr>
            <w:r>
              <w:t>Jiangsu Province, Kunshan City, New &amp; Hi-tech Industrial Development Zone, Yuanfeng Road, No. 166</w:t>
            </w:r>
          </w:p>
        </w:tc>
      </w:tr>
      <w:tr w:rsidR="00F41D01" w14:paraId="76487D16" w14:textId="77777777">
        <w:trPr>
          <w:jc w:val="center"/>
        </w:trPr>
        <w:tc>
          <w:tcPr>
            <w:tcW w:w="1056" w:type="dxa"/>
            <w:vAlign w:val="center"/>
          </w:tcPr>
          <w:p w14:paraId="41387957" w14:textId="77777777" w:rsidR="00F41D01" w:rsidRDefault="00F41D01">
            <w:pPr>
              <w:pStyle w:val="WXBodyText"/>
              <w:spacing w:before="0" w:after="0" w:line="360" w:lineRule="auto"/>
              <w:ind w:left="0"/>
              <w:rPr>
                <w:rFonts w:cs="Times New Roman"/>
                <w:sz w:val="28"/>
              </w:rPr>
            </w:pPr>
            <w:r>
              <w:t>Telephone:</w:t>
            </w:r>
          </w:p>
        </w:tc>
        <w:tc>
          <w:tcPr>
            <w:tcW w:w="4403" w:type="dxa"/>
            <w:vAlign w:val="center"/>
          </w:tcPr>
          <w:p w14:paraId="2E93C710" w14:textId="77777777" w:rsidR="00F41D01" w:rsidRDefault="00F41D01">
            <w:pPr>
              <w:pStyle w:val="WXBodyText"/>
              <w:spacing w:before="0" w:after="0" w:line="360" w:lineRule="auto"/>
              <w:ind w:left="0"/>
              <w:rPr>
                <w:sz w:val="28"/>
              </w:rPr>
            </w:pPr>
            <w:r>
              <w:rPr>
                <w:sz w:val="28"/>
              </w:rPr>
              <w:t>0512-36801688</w:t>
            </w:r>
          </w:p>
        </w:tc>
      </w:tr>
    </w:tbl>
    <w:p w14:paraId="55F3B1BF" w14:textId="77777777" w:rsidR="00F41D01" w:rsidRDefault="00F41D01">
      <w:pPr>
        <w:pStyle w:val="WXBodyText"/>
        <w:spacing w:before="0" w:after="0" w:line="360" w:lineRule="auto"/>
        <w:ind w:left="0"/>
        <w:rPr>
          <w:rFonts w:cs="Times New Roman"/>
          <w:sz w:val="28"/>
        </w:rPr>
      </w:pPr>
    </w:p>
    <w:p w14:paraId="00F6D6DD" w14:textId="77777777" w:rsidR="00F41D01" w:rsidRDefault="00F41D01">
      <w:pPr>
        <w:pStyle w:val="WXBodyText"/>
        <w:spacing w:before="0" w:after="0" w:line="360" w:lineRule="auto"/>
        <w:ind w:left="0"/>
        <w:rPr>
          <w:rFonts w:cs="Times New Roman" w:hint="eastAsia"/>
          <w:sz w:val="28"/>
        </w:rPr>
      </w:pPr>
    </w:p>
    <w:p w14:paraId="189D9409" w14:textId="77777777" w:rsidR="00F41D01" w:rsidRDefault="00F41D01">
      <w:pPr>
        <w:pStyle w:val="WXBodyText"/>
        <w:spacing w:before="0" w:after="0" w:line="360" w:lineRule="auto"/>
        <w:ind w:left="0"/>
        <w:rPr>
          <w:rFonts w:cs="Times New Roman" w:hint="eastAsia"/>
          <w:sz w:val="28"/>
        </w:rPr>
      </w:pPr>
    </w:p>
    <w:p w14:paraId="7044D623" w14:textId="77777777" w:rsidR="00F41D01" w:rsidRDefault="00F41D01">
      <w:pPr>
        <w:pStyle w:val="WXBodyText"/>
        <w:spacing w:before="0" w:after="0" w:line="360" w:lineRule="auto"/>
        <w:ind w:left="0"/>
        <w:rPr>
          <w:rFonts w:cs="Times New Roman"/>
          <w:sz w:val="28"/>
        </w:rPr>
      </w:pPr>
    </w:p>
    <w:p w14:paraId="1BD80340" w14:textId="77777777" w:rsidR="00F41D01" w:rsidRDefault="00F41D01">
      <w:pPr>
        <w:pStyle w:val="WXBodyText"/>
        <w:ind w:left="0"/>
        <w:jc w:val="center"/>
        <w:rPr>
          <w:rFonts w:cs="Times New Roman"/>
          <w:b/>
          <w:sz w:val="32"/>
        </w:rPr>
      </w:pPr>
      <w:r>
        <w:t>Sponsor</w:t>
      </w:r>
    </w:p>
    <w:tbl>
      <w:tblPr>
        <w:tblpPr w:leftFromText="180" w:rightFromText="180" w:vertAnchor="text" w:horzAnchor="margin" w:tblpXSpec="center" w:tblpY="364"/>
        <w:tblW w:w="0" w:type="auto"/>
        <w:tblInd w:w="0" w:type="dxa"/>
        <w:tblLayout w:type="fixed"/>
        <w:tblLook w:val="0000" w:firstRow="0" w:lastRow="0" w:firstColumn="0" w:lastColumn="0" w:noHBand="0" w:noVBand="0"/>
      </w:tblPr>
      <w:tblGrid>
        <w:gridCol w:w="1056"/>
        <w:gridCol w:w="4543"/>
      </w:tblGrid>
      <w:tr w:rsidR="00F41D01" w14:paraId="26817245" w14:textId="77777777">
        <w:tc>
          <w:tcPr>
            <w:tcW w:w="1056" w:type="dxa"/>
            <w:vAlign w:val="center"/>
          </w:tcPr>
          <w:p w14:paraId="49017A27" w14:textId="77777777" w:rsidR="00F41D01" w:rsidRDefault="00F41D01">
            <w:pPr>
              <w:pStyle w:val="WXBodyText"/>
              <w:spacing w:before="0" w:after="0" w:line="360" w:lineRule="auto"/>
              <w:ind w:left="0"/>
              <w:rPr>
                <w:rFonts w:cs="Times New Roman"/>
                <w:sz w:val="28"/>
              </w:rPr>
            </w:pPr>
            <w:r>
              <w:t>name:</w:t>
            </w:r>
          </w:p>
        </w:tc>
        <w:tc>
          <w:tcPr>
            <w:tcW w:w="4543" w:type="dxa"/>
            <w:vAlign w:val="center"/>
          </w:tcPr>
          <w:p w14:paraId="58B80415" w14:textId="77777777" w:rsidR="00F41D01" w:rsidRDefault="00E75DE1">
            <w:pPr>
              <w:pStyle w:val="WXBodyText"/>
              <w:spacing w:before="0" w:after="0" w:line="360" w:lineRule="auto"/>
              <w:ind w:left="0"/>
              <w:jc w:val="left"/>
              <w:rPr>
                <w:rFonts w:cs="Times New Roman"/>
                <w:sz w:val="28"/>
              </w:rPr>
            </w:pPr>
            <w:r>
              <w:t>Chengdu Shibeikang Bio-pharmaceutical Technology Co., Ltd.</w:t>
            </w:r>
          </w:p>
        </w:tc>
      </w:tr>
      <w:tr w:rsidR="00F41D01" w14:paraId="500D39B3" w14:textId="77777777">
        <w:tc>
          <w:tcPr>
            <w:tcW w:w="1056" w:type="dxa"/>
            <w:vAlign w:val="center"/>
          </w:tcPr>
          <w:p w14:paraId="4F099656" w14:textId="77777777" w:rsidR="00F41D01" w:rsidRDefault="00F41D01">
            <w:pPr>
              <w:pStyle w:val="WXBodyText"/>
              <w:spacing w:before="0" w:after="0" w:line="360" w:lineRule="auto"/>
              <w:ind w:left="0"/>
              <w:rPr>
                <w:rFonts w:cs="Times New Roman"/>
                <w:sz w:val="28"/>
              </w:rPr>
            </w:pPr>
            <w:r>
              <w:t>Address:</w:t>
            </w:r>
          </w:p>
        </w:tc>
        <w:tc>
          <w:tcPr>
            <w:tcW w:w="4543" w:type="dxa"/>
            <w:vAlign w:val="center"/>
          </w:tcPr>
          <w:p w14:paraId="3DD92FD8" w14:textId="77777777" w:rsidR="00F41D01" w:rsidRDefault="00E75DE1" w:rsidP="00550166">
            <w:pPr>
              <w:pStyle w:val="WXBodyText"/>
              <w:spacing w:before="0" w:after="0" w:line="360" w:lineRule="auto"/>
              <w:ind w:left="0"/>
              <w:jc w:val="left"/>
              <w:rPr>
                <w:rFonts w:cs="Times New Roman"/>
                <w:sz w:val="28"/>
              </w:rPr>
            </w:pPr>
            <w:r>
              <w:t>No. 17, West Core Avenue, Chengdu Hi-tech Industrial Development Zone</w:t>
            </w:r>
          </w:p>
        </w:tc>
      </w:tr>
      <w:tr w:rsidR="00F41D01" w14:paraId="0854CC7F" w14:textId="77777777">
        <w:tc>
          <w:tcPr>
            <w:tcW w:w="1056" w:type="dxa"/>
            <w:vAlign w:val="center"/>
          </w:tcPr>
          <w:p w14:paraId="266B65C4" w14:textId="77777777" w:rsidR="00F41D01" w:rsidRDefault="00F41D01">
            <w:pPr>
              <w:pStyle w:val="WXBodyText"/>
              <w:spacing w:before="0" w:after="0" w:line="360" w:lineRule="auto"/>
              <w:ind w:left="0"/>
              <w:rPr>
                <w:rFonts w:cs="Times New Roman"/>
                <w:sz w:val="28"/>
              </w:rPr>
            </w:pPr>
            <w:r>
              <w:t>Telephone:</w:t>
            </w:r>
          </w:p>
        </w:tc>
        <w:tc>
          <w:tcPr>
            <w:tcW w:w="4543" w:type="dxa"/>
            <w:vAlign w:val="center"/>
          </w:tcPr>
          <w:p w14:paraId="012BCC99" w14:textId="77777777" w:rsidR="00F41D01" w:rsidRDefault="00E75DE1">
            <w:pPr>
              <w:pStyle w:val="WXBodyText"/>
              <w:spacing w:before="0" w:after="0" w:line="360" w:lineRule="auto"/>
              <w:ind w:left="0"/>
              <w:jc w:val="left"/>
              <w:rPr>
                <w:rFonts w:cs="Times New Roman"/>
              </w:rPr>
            </w:pPr>
            <w:r>
              <w:rPr>
                <w:rFonts w:hint="eastAsia"/>
                <w:bCs w:val="0"/>
                <w:sz w:val="28"/>
              </w:rPr>
              <w:t>028-62532315</w:t>
            </w:r>
          </w:p>
        </w:tc>
      </w:tr>
    </w:tbl>
    <w:p w14:paraId="3835DF7B" w14:textId="77777777" w:rsidR="00F41D01" w:rsidRDefault="00F41D01">
      <w:pPr>
        <w:pStyle w:val="WXBodyText"/>
        <w:spacing w:before="0" w:after="0" w:line="360" w:lineRule="auto"/>
        <w:ind w:left="0"/>
        <w:rPr>
          <w:rFonts w:cs="Times New Roman" w:hint="eastAsia"/>
          <w:sz w:val="28"/>
        </w:rPr>
      </w:pPr>
    </w:p>
    <w:p w14:paraId="05CB51A2" w14:textId="77777777" w:rsidR="00F41D01" w:rsidRDefault="00F41D01">
      <w:pPr>
        <w:pStyle w:val="WXBodyText"/>
        <w:spacing w:before="0" w:after="0" w:line="360" w:lineRule="auto"/>
        <w:ind w:left="0"/>
        <w:rPr>
          <w:rFonts w:cs="Times New Roman"/>
          <w:sz w:val="28"/>
        </w:rPr>
      </w:pPr>
    </w:p>
    <w:p w14:paraId="64076AD9"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0B9AED1D"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518722B0"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484A99C5"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70FA009E"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41F69660"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2BF3A6C9" w14:textId="77777777" w:rsidR="00F41D01" w:rsidRDefault="00F41D01" w:rsidP="00E75DE1">
      <w:pPr>
        <w:pStyle w:val="1"/>
        <w:keepNext w:val="0"/>
        <w:widowControl w:val="0"/>
        <w:kinsoku w:val="0"/>
        <w:overflowPunct w:val="0"/>
        <w:autoSpaceDE w:val="0"/>
        <w:autoSpaceDN w:val="0"/>
        <w:spacing w:line="300" w:lineRule="auto"/>
        <w:rPr>
          <w:rFonts w:hint="eastAsia"/>
          <w:i/>
          <w:iCs/>
          <w:sz w:val="20"/>
          <w:szCs w:val="20"/>
          <w:lang w:eastAsia="zh-CN"/>
        </w:rPr>
      </w:pPr>
    </w:p>
    <w:p w14:paraId="3D52328E" w14:textId="77777777" w:rsidR="00F41D01" w:rsidRPr="004668C5" w:rsidRDefault="00DA4851" w:rsidP="000F07A1">
      <w:pPr>
        <w:jc w:val="center"/>
        <w:rPr>
          <w:rFonts w:hint="eastAsia"/>
          <w:lang w:eastAsia="zh-CN"/>
        </w:rPr>
      </w:pPr>
      <w:r>
        <w:t>study duration: 2018-12-10 ~ 2019- 01-21</w:t>
      </w:r>
    </w:p>
    <w:p w14:paraId="156A3AA5" w14:textId="77777777" w:rsidR="00F41D01" w:rsidRDefault="00F41D01">
      <w:pPr>
        <w:pStyle w:val="1"/>
        <w:keepNext w:val="0"/>
        <w:widowControl w:val="0"/>
        <w:kinsoku w:val="0"/>
        <w:overflowPunct w:val="0"/>
        <w:autoSpaceDE w:val="0"/>
        <w:autoSpaceDN w:val="0"/>
        <w:spacing w:line="300" w:lineRule="auto"/>
        <w:jc w:val="center"/>
        <w:rPr>
          <w:rFonts w:hint="eastAsia"/>
          <w:i/>
          <w:iCs/>
          <w:sz w:val="20"/>
          <w:szCs w:val="20"/>
          <w:lang w:eastAsia="zh-CN"/>
        </w:rPr>
      </w:pPr>
    </w:p>
    <w:p w14:paraId="2758833E" w14:textId="77777777" w:rsidR="000F07A1" w:rsidRPr="000F07A1" w:rsidRDefault="000F07A1" w:rsidP="000F07A1">
      <w:pPr>
        <w:rPr>
          <w:rFonts w:hint="eastAsia"/>
          <w:lang w:val="x-none" w:eastAsia="zh-CN"/>
        </w:rPr>
      </w:pPr>
    </w:p>
    <w:p w14:paraId="09AF96F3" w14:textId="77777777" w:rsidR="00F41D01" w:rsidRDefault="00F41D01">
      <w:pPr>
        <w:pStyle w:val="1"/>
        <w:keepNext w:val="0"/>
        <w:widowControl w:val="0"/>
        <w:kinsoku w:val="0"/>
        <w:overflowPunct w:val="0"/>
        <w:autoSpaceDE w:val="0"/>
        <w:autoSpaceDN w:val="0"/>
        <w:spacing w:line="300" w:lineRule="auto"/>
        <w:jc w:val="center"/>
        <w:rPr>
          <w:lang w:eastAsia="zh-CN"/>
        </w:rPr>
      </w:pPr>
      <w:r>
        <w:t>signature page</w:t>
      </w:r>
    </w:p>
    <w:bookmarkEnd w:id="13"/>
    <w:bookmarkEnd w:id="14"/>
    <w:bookmarkEnd w:id="15"/>
    <w:bookmarkEnd w:id="16"/>
    <w:p w14:paraId="303EAF50" w14:textId="77777777" w:rsidR="00F41D01" w:rsidRDefault="00F41D01">
      <w:pPr>
        <w:widowControl w:val="0"/>
        <w:spacing w:line="480" w:lineRule="auto"/>
        <w:jc w:val="both"/>
        <w:rPr>
          <w:kern w:val="2"/>
          <w:sz w:val="21"/>
          <w:szCs w:val="20"/>
          <w:lang w:eastAsia="zh-CN"/>
        </w:rPr>
      </w:pPr>
    </w:p>
    <w:p w14:paraId="6FD84B07" w14:textId="77777777" w:rsidR="00F41D01" w:rsidRDefault="00F41D01">
      <w:pPr>
        <w:widowControl w:val="0"/>
        <w:spacing w:line="480" w:lineRule="auto"/>
        <w:jc w:val="both"/>
        <w:rPr>
          <w:kern w:val="2"/>
          <w:sz w:val="21"/>
          <w:szCs w:val="20"/>
          <w:lang w:eastAsia="zh-CN"/>
        </w:rPr>
      </w:pPr>
    </w:p>
    <w:p w14:paraId="57C349DF" w14:textId="77777777" w:rsidR="00F41D01" w:rsidRDefault="00F41D01">
      <w:pPr>
        <w:widowControl w:val="0"/>
        <w:spacing w:line="480" w:lineRule="auto"/>
        <w:jc w:val="both"/>
        <w:rPr>
          <w:kern w:val="2"/>
          <w:sz w:val="21"/>
          <w:szCs w:val="20"/>
          <w:lang w:eastAsia="zh-CN"/>
        </w:rPr>
      </w:pPr>
    </w:p>
    <w:p w14:paraId="79F5D370" w14:textId="77777777" w:rsidR="00F41D01" w:rsidRDefault="00F41D01">
      <w:pPr>
        <w:widowControl w:val="0"/>
        <w:spacing w:line="480" w:lineRule="auto"/>
        <w:jc w:val="both"/>
        <w:rPr>
          <w:kern w:val="2"/>
          <w:sz w:val="21"/>
          <w:szCs w:val="20"/>
          <w:lang w:eastAsia="zh-CN"/>
        </w:rPr>
      </w:pPr>
    </w:p>
    <w:p w14:paraId="66BD7150" w14:textId="77777777" w:rsidR="00F41D01" w:rsidRDefault="00F41D01">
      <w:pPr>
        <w:widowControl w:val="0"/>
        <w:spacing w:line="480" w:lineRule="auto"/>
        <w:jc w:val="both"/>
        <w:rPr>
          <w:kern w:val="2"/>
          <w:sz w:val="21"/>
          <w:szCs w:val="20"/>
          <w:lang w:eastAsia="zh-CN"/>
        </w:rPr>
      </w:pPr>
    </w:p>
    <w:p w14:paraId="0CB0ED32" w14:textId="77777777" w:rsidR="00F41D01" w:rsidRDefault="00F41D01">
      <w:pPr>
        <w:widowControl w:val="0"/>
        <w:spacing w:line="480" w:lineRule="auto"/>
        <w:jc w:val="both"/>
        <w:rPr>
          <w:kern w:val="2"/>
          <w:sz w:val="21"/>
          <w:szCs w:val="20"/>
          <w:lang w:eastAsia="zh-CN"/>
        </w:rPr>
      </w:pPr>
    </w:p>
    <w:p w14:paraId="7A88568D" w14:textId="77777777" w:rsidR="00F41D01" w:rsidRDefault="00F41D01">
      <w:pPr>
        <w:widowControl w:val="0"/>
        <w:spacing w:line="480" w:lineRule="auto"/>
        <w:jc w:val="both"/>
        <w:rPr>
          <w:kern w:val="2"/>
          <w:sz w:val="21"/>
          <w:szCs w:val="20"/>
          <w:lang w:eastAsia="zh-CN"/>
        </w:rPr>
      </w:pPr>
    </w:p>
    <w:p w14:paraId="5B6D52B0" w14:textId="77777777" w:rsidR="00F41D01" w:rsidRDefault="00F41D01">
      <w:pPr>
        <w:widowControl w:val="0"/>
        <w:spacing w:line="480" w:lineRule="auto"/>
        <w:jc w:val="both"/>
        <w:rPr>
          <w:kern w:val="2"/>
          <w:sz w:val="21"/>
          <w:szCs w:val="20"/>
          <w:lang w:eastAsia="zh-CN"/>
        </w:rPr>
      </w:pPr>
    </w:p>
    <w:p w14:paraId="0C0A0055" w14:textId="77777777" w:rsidR="00F41D01" w:rsidRDefault="00F41D01">
      <w:pPr>
        <w:widowControl w:val="0"/>
        <w:spacing w:line="360" w:lineRule="auto"/>
        <w:jc w:val="both"/>
        <w:rPr>
          <w:kern w:val="2"/>
          <w:sz w:val="21"/>
          <w:szCs w:val="20"/>
          <w:lang w:eastAsia="zh-CN"/>
        </w:rPr>
      </w:pPr>
      <w:r>
        <w:rPr>
          <w:lang w:val="en-US" w:eastAsia="zh-CN"/>
        </w:rPr>
        <w:pict w14:anchorId="4C9DC96D">
          <v:line id="Line 4" o:spid="_x0000_s2062" style="position:absolute;left:0;text-align:left;z-index:1" from="243pt,12.3pt" to="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fqFQIAACs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K/F0gpEi&#10;LWi0FYqjPLSmM64Aj5Xa2VAcPatXs9X0u0NKrxqiDjxSfLsYCMtCRPIQEjbOQIJ990Uz8CFHr2Of&#10;zrVtAyR0AJ2jHJe7HPzsEYXDUTqe5imoRuFu8jSO+KS4hRrr/GeuWxSMEktgHaHJaet8oEKKm0vI&#10;pPRGSBn1lgp1JZ6PR+MY4LQULFwGN2cP+5W06ETCxMSvz/vgZvVRsQjWcMLWve2JkFcbkksV8KAY&#10;oNNb15H4MU/n69l6lg/y0WQ9yNOqGnzarPLBZJNNx9VTtVpV2c9ALcuLRjDGVWB3G88s/zv5+4dy&#10;Haz7gN7bkDyix34B2ds/ko5qBgGvo7DX7LKzN5VhIqNz/3rCyL/fg/3+jS9/AQAA//8DAFBLAwQU&#10;AAYACAAAACEAO8W5t94AAAAJAQAADwAAAGRycy9kb3ducmV2LnhtbEyPwU7DMBBE70j8g7VIXKrW&#10;bqjSKMSpEJAbFwqIqxsvSUS8TmO3DXw921M57uxo5k2xmVwvjjiGzpOG5UKBQKq97ajR8P5WzTMQ&#10;IRqypveEGn4wwKa8vipMbv2JXvG4jY3gEAq50dDGOORShrpFZ8LCD0j8+/KjM5HPsZF2NCcOd71M&#10;lEqlMx1xQ2sGfGyx/t4enIZQfeC++p3VM/V513hM9k8vz0br25vp4R5ExClezHDGZ3QomWnnD2SD&#10;6DWsspS3RA3JKgXBhmypWNidhTXIspD/F5R/AAAA//8DAFBLAQItABQABgAIAAAAIQC2gziS/gAA&#10;AOEBAAATAAAAAAAAAAAAAAAAAAAAAABbQ29udGVudF9UeXBlc10ueG1sUEsBAi0AFAAGAAgAAAAh&#10;ADj9If/WAAAAlAEAAAsAAAAAAAAAAAAAAAAALwEAAF9yZWxzLy5yZWxzUEsBAi0AFAAGAAgAAAAh&#10;AEB/t+oVAgAAKwQAAA4AAAAAAAAAAAAAAAAALgIAAGRycy9lMm9Eb2MueG1sUEsBAi0AFAAGAAgA&#10;AAAhADvFubfeAAAACQEAAA8AAAAAAAAAAAAAAAAAbwQAAGRycy9kb3ducmV2LnhtbFBLBQYAAAAA&#10;BAAEAPMAAAB6BQAAAAA=&#10;"/>
        </w:pict>
      </w:r>
      <w:r>
        <w:rPr>
          <w:lang w:val="en-US" w:eastAsia="zh-CN"/>
        </w:rPr>
        <w:pict w14:anchorId="5C453B07">
          <v:line id="Line 5" o:spid="_x0000_s2061" style="position:absolute;left:0;text-align:left;z-index:2"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ZMtFgIAACs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g6xkiR&#10;DjTaCMXROLSmN66AiEptbSiOntSr2Wj63SGlq5aoPY8U384G0rKQkbxLCRtn4IJd/0UziCEHr2Of&#10;To3tAiR0AJ2iHOe7HPzkEYXDUTqe5imoRsE3eYqMElLcUo11/jPXHQpGiSWwjtDkuHE+UCHFLSTc&#10;pPRaSBn1lgr1JZ6PR+OY4LQULDhDmLP7XSUtOpIwMfGLdYHnMczqg2IRrOWEra62J0JebLhcqoAH&#10;xQCdq3UZiR/zdL6arWb5IB9NVoM8revBp3WVDybrbDqun+qqqrOfgVqWF61gjKvA7jaeWf538l8f&#10;ymWw7gN6b0PyHj32C8je/pF0VDMIeBmFnWbnrb2pDBMZg6+vJ4z84x7sxze+/AUAAP//AwBQSwME&#10;FAAGAAgAAAAhALb33vvbAAAABgEAAA8AAABkcnMvZG93bnJldi54bWxMj8FOwzAQRO9I/IO1SFyq&#10;1iGFCIU4FQJy40IB9bqNlyQiXqex2wa+nu2pHGdmNfO2WE2uVwcaQ+fZwM0iAUVce9txY+DjvZrf&#10;gwoR2WLvmQz8UIBVeXlRYG79kd/osI6NkhIOORpoYxxyrUPdksOw8AOxZF9+dBhFjo22Ix6l3PU6&#10;TZJMO+xYFloc6Kml+nu9dwZC9Um76ndWz5LNsvGU7p5fX9CY66vp8QFUpCmej+GEL+hQCtPW79kG&#10;1RuQR6KBNLsDJekyvRVjezIy0GWh/+OXfwAAAP//AwBQSwECLQAUAAYACAAAACEAtoM4kv4AAADh&#10;AQAAEwAAAAAAAAAAAAAAAAAAAAAAW0NvbnRlbnRfVHlwZXNdLnhtbFBLAQItABQABgAIAAAAIQA4&#10;/SH/1gAAAJQBAAALAAAAAAAAAAAAAAAAAC8BAABfcmVscy8ucmVsc1BLAQItABQABgAIAAAAIQA3&#10;oZMtFgIAACsEAAAOAAAAAAAAAAAAAAAAAC4CAABkcnMvZTJvRG9jLnhtbFBLAQItABQABgAIAAAA&#10;IQC299772wAAAAYBAAAPAAAAAAAAAAAAAAAAAHAEAABkcnMvZG93bnJldi54bWxQSwUGAAAAAAQA&#10;BADzAAAAeAUAAAAA&#10;"/>
        </w:pict>
      </w:r>
    </w:p>
    <w:p w14:paraId="76BB80E9" w14:textId="77777777" w:rsidR="00F41D01" w:rsidRDefault="00F41D01">
      <w:pPr>
        <w:widowControl w:val="0"/>
        <w:spacing w:line="360" w:lineRule="auto"/>
        <w:jc w:val="both"/>
        <w:rPr>
          <w:bCs/>
          <w:kern w:val="2"/>
          <w:sz w:val="21"/>
          <w:szCs w:val="28"/>
          <w:lang w:eastAsia="zh-CN"/>
        </w:rPr>
      </w:pPr>
      <w:r>
        <w:t>Gao Momo, M.M.                                                                    Date</w:t>
      </w:r>
    </w:p>
    <w:p w14:paraId="124D6827" w14:textId="77777777" w:rsidR="00F41D01" w:rsidRDefault="00F41D01">
      <w:pPr>
        <w:widowControl w:val="0"/>
        <w:spacing w:line="360" w:lineRule="auto"/>
        <w:jc w:val="both"/>
        <w:rPr>
          <w:bCs/>
          <w:kern w:val="2"/>
          <w:sz w:val="21"/>
          <w:szCs w:val="28"/>
          <w:lang w:eastAsia="zh-CN"/>
        </w:rPr>
      </w:pPr>
      <w:r>
        <w:t>study director</w:t>
      </w:r>
    </w:p>
    <w:p w14:paraId="3EA15D3C" w14:textId="77777777" w:rsidR="00F41D01" w:rsidRDefault="00F41D01">
      <w:pPr>
        <w:widowControl w:val="0"/>
        <w:spacing w:line="360" w:lineRule="auto"/>
        <w:jc w:val="both"/>
        <w:rPr>
          <w:b/>
          <w:kern w:val="2"/>
          <w:sz w:val="28"/>
          <w:szCs w:val="28"/>
          <w:lang w:eastAsia="zh-CN"/>
        </w:rPr>
      </w:pPr>
    </w:p>
    <w:p w14:paraId="4F82A20F" w14:textId="77777777" w:rsidR="00F41D01" w:rsidRDefault="00F41D01">
      <w:pPr>
        <w:widowControl w:val="0"/>
        <w:spacing w:line="360" w:lineRule="auto"/>
        <w:jc w:val="both"/>
        <w:rPr>
          <w:b/>
          <w:kern w:val="2"/>
          <w:sz w:val="28"/>
          <w:szCs w:val="28"/>
          <w:lang w:eastAsia="zh-CN"/>
        </w:rPr>
      </w:pPr>
    </w:p>
    <w:p w14:paraId="618FFC6E" w14:textId="77777777" w:rsidR="00F41D01" w:rsidRDefault="00F41D01">
      <w:pPr>
        <w:widowControl w:val="0"/>
        <w:spacing w:line="360" w:lineRule="auto"/>
        <w:jc w:val="both"/>
        <w:rPr>
          <w:b/>
          <w:kern w:val="2"/>
          <w:sz w:val="28"/>
          <w:szCs w:val="28"/>
          <w:lang w:eastAsia="zh-CN"/>
        </w:rPr>
      </w:pPr>
    </w:p>
    <w:p w14:paraId="6BD3DFC6" w14:textId="77777777" w:rsidR="00F41D01" w:rsidRDefault="00F41D01">
      <w:pPr>
        <w:widowControl w:val="0"/>
        <w:spacing w:line="360" w:lineRule="auto"/>
        <w:jc w:val="both"/>
        <w:rPr>
          <w:b/>
          <w:kern w:val="2"/>
          <w:sz w:val="28"/>
          <w:szCs w:val="28"/>
          <w:lang w:eastAsia="zh-CN"/>
        </w:rPr>
      </w:pPr>
    </w:p>
    <w:p w14:paraId="3A3CAAA3" w14:textId="77777777" w:rsidR="00F41D01" w:rsidRDefault="00F41D01">
      <w:pPr>
        <w:widowControl w:val="0"/>
        <w:spacing w:line="360" w:lineRule="auto"/>
        <w:jc w:val="both"/>
        <w:rPr>
          <w:b/>
          <w:kern w:val="2"/>
          <w:sz w:val="28"/>
          <w:szCs w:val="28"/>
          <w:lang w:eastAsia="zh-CN"/>
        </w:rPr>
      </w:pPr>
    </w:p>
    <w:p w14:paraId="446B04DC" w14:textId="77777777" w:rsidR="00F41D01" w:rsidRDefault="00F41D01">
      <w:pPr>
        <w:widowControl w:val="0"/>
        <w:spacing w:line="360" w:lineRule="auto"/>
        <w:jc w:val="both"/>
        <w:rPr>
          <w:b/>
          <w:kern w:val="2"/>
          <w:sz w:val="28"/>
          <w:szCs w:val="28"/>
          <w:lang w:eastAsia="zh-CN"/>
        </w:rPr>
      </w:pPr>
    </w:p>
    <w:p w14:paraId="58A63700" w14:textId="77777777" w:rsidR="00F41D01" w:rsidRDefault="00F41D01">
      <w:pPr>
        <w:widowControl w:val="0"/>
        <w:spacing w:line="360" w:lineRule="auto"/>
        <w:jc w:val="both"/>
        <w:rPr>
          <w:b/>
          <w:kern w:val="2"/>
          <w:sz w:val="28"/>
          <w:szCs w:val="28"/>
          <w:lang w:eastAsia="zh-CN"/>
        </w:rPr>
      </w:pPr>
    </w:p>
    <w:p w14:paraId="7B98D4FC" w14:textId="77777777" w:rsidR="00F41D01" w:rsidRDefault="00F41D01">
      <w:pPr>
        <w:widowControl w:val="0"/>
        <w:spacing w:line="360" w:lineRule="auto"/>
        <w:jc w:val="both"/>
        <w:rPr>
          <w:bCs/>
          <w:kern w:val="2"/>
          <w:sz w:val="21"/>
          <w:szCs w:val="28"/>
          <w:lang w:eastAsia="zh-CN"/>
        </w:rPr>
      </w:pPr>
      <w:r>
        <w:rPr>
          <w:lang w:val="en-US" w:eastAsia="zh-CN"/>
        </w:rPr>
        <w:pict w14:anchorId="66F672FA">
          <v:line id="Line 6" o:spid="_x0000_s2060" style="position:absolute;left:0;text-align:left;z-index:3" from="243pt,17.5pt" to="4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zFQIAACs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K/E0x0iR&#10;FjTaCsXRJLSmM64Aj5Xa2VAcPatXs9X0u0NKrxqiDjxSfLsYCMtCRPIQEjbOQIJ990Uz8CFHr2Of&#10;zrVtAyR0AJ2jHJe7HPzsEYXDUTqe5imoRuFu8jSO+KS4hRrr/GeuWxSMEktgHaHJaet8oEKKm0vI&#10;pPRGSBn1lgp1JZ6PR+MY4LQULFwGN2cP+5W06ETCxMSvz/vgZvVRsQjWcMLWve2JkFcbkksV8KAY&#10;oNNb15H4MU/n69l6lg/y0WQ9yNOqGnzarPLBZJNNx9VTtVpV2c9ALcuLRjDGVWB3G88s/zv5+4dy&#10;Haz7gN7bkDyix34B2ds/ko5qBgGvo7DX7LKzN5VhIqNz/3rCyL/fg/3+jS9/AQAA//8DAFBLAwQU&#10;AAYACAAAACEA8WtgFN0AAAAJAQAADwAAAGRycy9kb3ducmV2LnhtbEyPzU7DMBCE70i8g7VIXCrq&#10;pIUqCnEqBOTGhQLiuo2XJCJep7HbBp6e7amc9m80+02xnlyvDjSGzrOBdJ6AIq697bgx8P5W3WSg&#10;QkS22HsmAz8UYF1eXhSYW3/kVzpsYqPEhEOOBtoYh1zrULfkMMz9QCy3Lz86jDKOjbYjHsXc9XqR&#10;JCvtsGP50OJAjy3V35u9MxCqD9pVv7N6lnwuG0+L3dPLMxpzfTU93IOKNMWzGE74gg6lMG39nm1Q&#10;vYHbbCVZooHlnVQRZGkizfa0SEGXhf6foPwDAAD//wMAUEsBAi0AFAAGAAgAAAAhALaDOJL+AAAA&#10;4QEAABMAAAAAAAAAAAAAAAAAAAAAAFtDb250ZW50X1R5cGVzXS54bWxQSwECLQAUAAYACAAAACEA&#10;OP0h/9YAAACUAQAACwAAAAAAAAAAAAAAAAAvAQAAX3JlbHMvLnJlbHNQSwECLQAUAAYACAAAACEA&#10;HC3yMxUCAAArBAAADgAAAAAAAAAAAAAAAAAuAgAAZHJzL2Uyb0RvYy54bWxQSwECLQAUAAYACAAA&#10;ACEA8WtgFN0AAAAJAQAADwAAAAAAAAAAAAAAAABvBAAAZHJzL2Rvd25yZXYueG1sUEsFBgAAAAAE&#10;AAQA8wAAAHkFAAAAAA==&#10;"/>
        </w:pict>
      </w:r>
      <w:r>
        <w:rPr>
          <w:lang w:val="en-US" w:eastAsia="zh-CN"/>
        </w:rPr>
        <w:pict w14:anchorId="17A5CF31">
          <v:line id="Line 7" o:spid="_x0000_s2059" style="position:absolute;left:0;text-align:left;z-index:4" from="0,15.8pt" to="16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6t4FQIAACsEAAAOAAAAZHJzL2Uyb0RvYy54bWysU02P2jAQvVfqf7B8hyQQviLCqiLQy7aL&#10;tNsfYGyHWHVsyzYEVPW/d2wCWtpLVTUHZ2zPvHkzb7x8OrcSnbh1QqsSZ8MUI66oZkIdSvztbTuY&#10;Y+Q8UYxIrXiJL9zhp9XHD8vOFHykGy0ZtwhAlCs6U+LGe1MkiaMNb4kbasMVXNbatsTD1h4SZkkH&#10;6K1MRmk6TTptmbGacufgtLpe4lXEr2tO/UtdO+6RLDFw83G1cd2HNVktSXGwxDSC9jTIP7BoiVCQ&#10;9A5VEU/Q0Yo/oFpBrXa69kOq20TXtaA81gDVZOlv1bw2xPBYCzTHmXub3P+DpV9PO4sEK/FsjJEi&#10;LWj0LBRHs9CazrgCPNZqZ0Nx9KxezbOm3x1Set0QdeCR4tvFQFgWIpKHkLBxBhLsuy+agQ85eh37&#10;dK5tGyChA+gc5bjc5eBnjygcjtLJLE9BNQp30/Ek4pPiFmqs85+5blEwSiyBdYQmp2fnAxVS3FxC&#10;JqW3Qsqot1SoK/FiMprEAKelYOEyuDl72K+lRScSJiZ+fd4HN6uPikWwhhO26W1PhLzakFyqgAfF&#10;AJ3euo7Ej0W62Mw383yQj6abQZ5W1eDTdp0PpttsNqnG1XpdZT8DtSwvGsEYV4HdbTyz/O/k7x/K&#10;dbDuA3pvQ/KIHvsFZG//SDqqGQS8jsJes8vO3lSGiYzO/esJI/9+D/b7N776BQAA//8DAFBLAwQU&#10;AAYACAAAACEAIL34j9sAAAAGAQAADwAAAGRycy9kb3ducmV2LnhtbEyPwU7DMBBE70j8g7VIXCrq&#10;NEEtCnEqBOTGhULFdRsvSUS8TmO3DXw92xMcZ2Y187ZYT65XRxpD59nAYp6AIq697bgx8P5W3dyB&#10;ChHZYu+ZDHxTgHV5eVFgbv2JX+m4iY2SEg45GmhjHHKtQ92SwzD3A7Fkn350GEWOjbYjnqTc9TpN&#10;kqV22LEstDjQY0v11+bgDIRqS/vqZ1bPko+s8ZTun16e0Zjrq+nhHlSkKf4dwxlf0KEUpp0/sA2q&#10;NyCPRAPZYglK0iy9FWN3Nlagy0L/xy9/AQAA//8DAFBLAQItABQABgAIAAAAIQC2gziS/gAAAOEB&#10;AAATAAAAAAAAAAAAAAAAAAAAAABbQ29udGVudF9UeXBlc10ueG1sUEsBAi0AFAAGAAgAAAAhADj9&#10;If/WAAAAlAEAAAsAAAAAAAAAAAAAAAAALwEAAF9yZWxzLy5yZWxzUEsBAi0AFAAGAAgAAAAhAJgb&#10;q3gVAgAAKwQAAA4AAAAAAAAAAAAAAAAALgIAAGRycy9lMm9Eb2MueG1sUEsBAi0AFAAGAAgAAAAh&#10;ACC9+I/bAAAABgEAAA8AAAAAAAAAAAAAAAAAbwQAAGRycy9kb3ducmV2LnhtbFBLBQYAAAAABAAE&#10;APMAAAB3BQAAAAA=&#10;"/>
        </w:pict>
      </w:r>
    </w:p>
    <w:p w14:paraId="312FCD85" w14:textId="77777777" w:rsidR="00F41D01" w:rsidRDefault="00DA4851">
      <w:pPr>
        <w:widowControl w:val="0"/>
        <w:spacing w:line="360" w:lineRule="auto"/>
        <w:jc w:val="both"/>
        <w:rPr>
          <w:bCs/>
          <w:kern w:val="2"/>
          <w:sz w:val="21"/>
          <w:szCs w:val="28"/>
          <w:lang w:eastAsia="zh-CN"/>
        </w:rPr>
      </w:pPr>
      <w:r>
        <w:t>He Yan                                                                                     Date</w:t>
      </w:r>
    </w:p>
    <w:p w14:paraId="11EC3878" w14:textId="77777777" w:rsidR="00F41D01" w:rsidRDefault="00F41D01">
      <w:pPr>
        <w:widowControl w:val="0"/>
        <w:spacing w:line="360" w:lineRule="auto"/>
        <w:jc w:val="both"/>
        <w:rPr>
          <w:bCs/>
          <w:kern w:val="2"/>
          <w:sz w:val="21"/>
          <w:szCs w:val="28"/>
          <w:lang w:eastAsia="zh-CN"/>
        </w:rPr>
      </w:pPr>
      <w:r>
        <w:rPr>
          <w:bCs/>
          <w:kern w:val="2"/>
          <w:sz w:val="21"/>
          <w:szCs w:val="28"/>
          <w:lang w:eastAsia="zh-CN"/>
        </w:rPr>
        <w:t>QA</w:t>
      </w:r>
    </w:p>
    <w:p w14:paraId="2E3EFC35" w14:textId="77777777" w:rsidR="00F41D01" w:rsidRDefault="00F41D01">
      <w:pPr>
        <w:widowControl w:val="0"/>
        <w:spacing w:line="360" w:lineRule="auto"/>
        <w:jc w:val="both"/>
        <w:rPr>
          <w:b/>
          <w:kern w:val="2"/>
          <w:sz w:val="28"/>
          <w:szCs w:val="28"/>
          <w:lang w:eastAsia="zh-CN"/>
        </w:rPr>
      </w:pPr>
    </w:p>
    <w:p w14:paraId="415E41F7" w14:textId="77777777" w:rsidR="00F41D01" w:rsidRDefault="00F41D01">
      <w:pPr>
        <w:widowControl w:val="0"/>
        <w:spacing w:line="360" w:lineRule="auto"/>
        <w:jc w:val="both"/>
        <w:rPr>
          <w:b/>
          <w:kern w:val="2"/>
          <w:sz w:val="28"/>
          <w:szCs w:val="28"/>
          <w:lang w:eastAsia="zh-CN"/>
        </w:rPr>
      </w:pPr>
    </w:p>
    <w:p w14:paraId="581569DC" w14:textId="77777777" w:rsidR="00F41D01" w:rsidRDefault="00F41D01">
      <w:pPr>
        <w:widowControl w:val="0"/>
        <w:spacing w:line="360" w:lineRule="auto"/>
        <w:jc w:val="both"/>
        <w:rPr>
          <w:b/>
          <w:kern w:val="2"/>
          <w:sz w:val="28"/>
          <w:szCs w:val="28"/>
          <w:lang w:eastAsia="zh-CN"/>
        </w:rPr>
      </w:pPr>
    </w:p>
    <w:p w14:paraId="488B018D" w14:textId="77777777" w:rsidR="00F41D01" w:rsidRDefault="00F41D01">
      <w:pPr>
        <w:widowControl w:val="0"/>
        <w:tabs>
          <w:tab w:val="left" w:pos="720"/>
        </w:tabs>
        <w:adjustRightInd w:val="0"/>
        <w:snapToGrid w:val="0"/>
        <w:spacing w:line="360" w:lineRule="auto"/>
        <w:contextualSpacing/>
        <w:jc w:val="center"/>
        <w:outlineLvl w:val="0"/>
        <w:rPr>
          <w:b/>
          <w:kern w:val="2"/>
          <w:sz w:val="28"/>
          <w:szCs w:val="28"/>
          <w:lang w:eastAsia="zh-CN"/>
        </w:rPr>
        <w:sectPr w:rsidR="00F41D01">
          <w:headerReference w:type="default" r:id="rId8"/>
          <w:footerReference w:type="default" r:id="rId9"/>
          <w:headerReference w:type="first" r:id="rId10"/>
          <w:pgSz w:w="11907" w:h="16840"/>
          <w:pgMar w:top="1440" w:right="1803" w:bottom="1440" w:left="1803" w:header="482" w:footer="851" w:gutter="0"/>
          <w:cols w:space="720"/>
          <w:titlePg/>
          <w:docGrid w:linePitch="360"/>
        </w:sectPr>
      </w:pPr>
      <w:bookmarkStart w:id="18" w:name="_Toc475806531"/>
      <w:bookmarkStart w:id="19" w:name="_Toc475809936"/>
      <w:bookmarkStart w:id="20" w:name="_Toc29121"/>
      <w:bookmarkStart w:id="21" w:name="_Toc486513916"/>
      <w:bookmarkStart w:id="22" w:name="_Toc487700525"/>
      <w:bookmarkStart w:id="23" w:name="_Toc489517861"/>
      <w:bookmarkStart w:id="24" w:name="_Toc476838407"/>
    </w:p>
    <w:p w14:paraId="17C755E4" w14:textId="77777777" w:rsidR="00F41D01" w:rsidRDefault="00F41D01">
      <w:pPr>
        <w:widowControl w:val="0"/>
        <w:tabs>
          <w:tab w:val="left" w:pos="720"/>
        </w:tabs>
        <w:adjustRightInd w:val="0"/>
        <w:snapToGrid w:val="0"/>
        <w:spacing w:line="360" w:lineRule="auto"/>
        <w:contextualSpacing/>
        <w:jc w:val="center"/>
        <w:outlineLvl w:val="0"/>
        <w:rPr>
          <w:caps/>
          <w:kern w:val="2"/>
          <w:sz w:val="28"/>
          <w:szCs w:val="28"/>
          <w:lang w:eastAsia="zh-CN"/>
        </w:rPr>
      </w:pPr>
      <w:r>
        <w:t>Statement of GLP Compliance</w:t>
      </w:r>
    </w:p>
    <w:p w14:paraId="5536D33C" w14:textId="77777777" w:rsidR="00F41D01" w:rsidRDefault="00F41D01">
      <w:pPr>
        <w:widowControl w:val="0"/>
        <w:spacing w:line="360" w:lineRule="auto"/>
        <w:jc w:val="both"/>
        <w:rPr>
          <w:b/>
          <w:kern w:val="2"/>
          <w:lang w:eastAsia="zh-CN"/>
        </w:rPr>
      </w:pPr>
    </w:p>
    <w:p w14:paraId="3352829C" w14:textId="77777777" w:rsidR="00F41D01" w:rsidRDefault="00F41D01">
      <w:pPr>
        <w:widowControl w:val="0"/>
        <w:spacing w:line="360" w:lineRule="auto"/>
        <w:jc w:val="both"/>
        <w:rPr>
          <w:b/>
          <w:kern w:val="2"/>
          <w:lang w:eastAsia="zh-CN"/>
        </w:rPr>
      </w:pPr>
      <w:r>
        <w:t>GLP regulations:</w:t>
      </w:r>
    </w:p>
    <w:p w14:paraId="7F695E07" w14:textId="77777777" w:rsidR="00F41D01" w:rsidRDefault="00F41D01">
      <w:pPr>
        <w:widowControl w:val="0"/>
        <w:spacing w:line="360" w:lineRule="auto"/>
        <w:ind w:firstLineChars="200" w:firstLine="480"/>
        <w:jc w:val="both"/>
        <w:rPr>
          <w:kern w:val="2"/>
          <w:lang w:eastAsia="zh-CN"/>
        </w:rPr>
      </w:pPr>
      <w:r>
        <w:t>This assay, completed at Suzhou Huace Biotechnology Co., Ltd. (test facility), adhered to the study protocol and the test facility's standard operating procedures (SOPs). The assay complied with the following Good Laboratory Practices (GLPs) for non-clinical studies.</w:t>
      </w:r>
    </w:p>
    <w:p w14:paraId="08493E10" w14:textId="77777777" w:rsidR="00F41D01" w:rsidRDefault="00F41D01">
      <w:pPr>
        <w:pStyle w:val="WXBodyText"/>
        <w:spacing w:before="0" w:after="0" w:line="360" w:lineRule="auto"/>
        <w:ind w:left="0" w:firstLineChars="200" w:firstLine="480"/>
        <w:rPr>
          <w:rFonts w:hint="eastAsia"/>
          <w:bCs w:val="0"/>
        </w:rPr>
      </w:pPr>
      <w:r>
        <w:t>The original National Food and Drug Administration (CFDA) 'Good Laboratory Practices (GLPs) for Non-clinical Studies of Pharmaceuticals' (Order No. 34), effective on September 1, 2017.</w:t>
      </w:r>
    </w:p>
    <w:p w14:paraId="7CDEA7AD" w14:textId="77777777" w:rsidR="008F6F58" w:rsidRPr="004668C5" w:rsidRDefault="00BB0EE8">
      <w:pPr>
        <w:pStyle w:val="WXBodyText"/>
        <w:spacing w:before="0" w:after="0" w:line="360" w:lineRule="auto"/>
        <w:ind w:left="0" w:firstLineChars="200" w:firstLine="480"/>
        <w:rPr>
          <w:rFonts w:hint="eastAsia"/>
          <w:bCs w:val="0"/>
        </w:rPr>
      </w:pPr>
      <w:r w:rsidRPr="004668C5">
        <w:rPr>
          <w:rFonts w:hint="eastAsia"/>
        </w:rPr>
        <w:t>FDA</w:t>
      </w:r>
      <w:r w:rsidRPr="004668C5">
        <w:t xml:space="preserve"> Good Laboratory Practice for Nonclinical Laboratory Studies</w:t>
      </w:r>
      <w:r w:rsidRPr="004668C5">
        <w:rPr>
          <w:rFonts w:hint="eastAsia"/>
        </w:rPr>
        <w:t>（</w:t>
      </w:r>
      <w:r w:rsidRPr="004668C5">
        <w:t>21 CFR</w:t>
      </w:r>
      <w:r w:rsidRPr="004668C5">
        <w:rPr>
          <w:rFonts w:hint="eastAsia"/>
        </w:rPr>
        <w:t xml:space="preserve"> 58</w:t>
      </w:r>
      <w:r w:rsidRPr="004668C5">
        <w:rPr>
          <w:rFonts w:hint="eastAsia"/>
        </w:rPr>
        <w:t>）</w:t>
      </w:r>
      <w:r w:rsidR="008F6F58" w:rsidRPr="004668C5">
        <w:rPr>
          <w:rFonts w:hint="eastAsia"/>
        </w:rPr>
        <w:t xml:space="preserve">. </w:t>
      </w:r>
    </w:p>
    <w:p w14:paraId="04D39D13" w14:textId="77777777" w:rsidR="00F41D01" w:rsidRPr="00DA4851" w:rsidRDefault="00F41D01">
      <w:pPr>
        <w:pStyle w:val="WXBodyText"/>
        <w:spacing w:before="0" w:after="0" w:line="360" w:lineRule="auto"/>
        <w:ind w:left="0" w:firstLineChars="200" w:firstLine="480"/>
        <w:rPr>
          <w:bCs w:val="0"/>
        </w:rPr>
      </w:pPr>
    </w:p>
    <w:p w14:paraId="453D93E1" w14:textId="77777777" w:rsidR="00F41D01" w:rsidRDefault="00F41D01">
      <w:pPr>
        <w:spacing w:beforeLines="50" w:before="120" w:afterLines="50" w:after="120" w:line="360" w:lineRule="auto"/>
        <w:jc w:val="both"/>
        <w:rPr>
          <w:b/>
          <w:kern w:val="2"/>
          <w:lang w:eastAsia="zh-CN"/>
        </w:rPr>
      </w:pPr>
      <w:r>
        <w:t>animal welfare:</w:t>
      </w:r>
    </w:p>
    <w:p w14:paraId="665EFE7F" w14:textId="77777777" w:rsidR="00F41D01" w:rsidRDefault="00F41D01">
      <w:pPr>
        <w:spacing w:line="360" w:lineRule="auto"/>
        <w:ind w:firstLineChars="200" w:firstLine="480"/>
        <w:jc w:val="both"/>
        <w:rPr>
          <w:kern w:val="2"/>
          <w:lang w:eastAsia="zh-CN"/>
        </w:rPr>
      </w:pPr>
      <w:r>
        <w:t>In this assay, all parts comply with the following regulations and guidelines related to animal management and welfare:</w:t>
      </w:r>
    </w:p>
    <w:p w14:paraId="65562D38" w14:textId="77777777" w:rsidR="00F41D01" w:rsidRDefault="00F41D01">
      <w:pPr>
        <w:spacing w:line="360" w:lineRule="auto"/>
        <w:ind w:firstLineChars="200" w:firstLine="480"/>
        <w:jc w:val="both"/>
        <w:rPr>
          <w:kern w:val="2"/>
          <w:lang w:eastAsia="zh-CN"/>
        </w:rPr>
      </w:pPr>
      <w:r>
        <w:t>1) The guidelines listed in the book 'Guide for the Care and Use of Laboratory Animals' from AAALAC, compiled by the National Research Council's Institute for Laboratory Animal Research, revised in 2011;</w:t>
      </w:r>
    </w:p>
    <w:p w14:paraId="3611AA71" w14:textId="77777777" w:rsidR="00F41D01" w:rsidRDefault="00F41D01">
      <w:pPr>
        <w:spacing w:line="360" w:lineRule="auto"/>
        <w:ind w:firstLineChars="200" w:firstLine="480"/>
        <w:jc w:val="both"/>
        <w:rPr>
          <w:kern w:val="2"/>
          <w:lang w:eastAsia="zh-CN"/>
        </w:rPr>
      </w:pPr>
      <w:r>
        <w:t>2) Ministry of Science and Technology of the People's Republic of China, 'Regulations on Laboratory Animal Management', amended in 2013.</w:t>
      </w:r>
    </w:p>
    <w:p w14:paraId="5EC47682" w14:textId="77777777" w:rsidR="00F41D01" w:rsidRDefault="00F41D01">
      <w:pPr>
        <w:snapToGrid w:val="0"/>
        <w:spacing w:line="360" w:lineRule="auto"/>
        <w:jc w:val="both"/>
        <w:rPr>
          <w:kern w:val="2"/>
          <w:lang w:eastAsia="zh-CN"/>
        </w:rPr>
      </w:pPr>
    </w:p>
    <w:p w14:paraId="320341AE" w14:textId="77777777" w:rsidR="00F41D01" w:rsidRDefault="00F41D01">
      <w:pPr>
        <w:snapToGrid w:val="0"/>
        <w:spacing w:line="360" w:lineRule="auto"/>
        <w:jc w:val="both"/>
        <w:rPr>
          <w:kern w:val="2"/>
          <w:lang w:eastAsia="zh-CN"/>
        </w:rPr>
      </w:pPr>
      <w:r>
        <w:t>No known events that could affect data integrity occurred during the study process.</w:t>
      </w:r>
    </w:p>
    <w:p w14:paraId="41FB6BA1" w14:textId="77777777" w:rsidR="00F41D01" w:rsidRDefault="00F41D01">
      <w:pPr>
        <w:widowControl w:val="0"/>
        <w:adjustRightInd w:val="0"/>
        <w:snapToGrid w:val="0"/>
        <w:spacing w:line="360" w:lineRule="auto"/>
        <w:ind w:firstLineChars="200" w:firstLine="420"/>
        <w:rPr>
          <w:kern w:val="2"/>
          <w:sz w:val="21"/>
          <w:szCs w:val="20"/>
          <w:lang w:eastAsia="zh-CN"/>
        </w:rPr>
      </w:pPr>
    </w:p>
    <w:p w14:paraId="655CDAE6" w14:textId="77777777" w:rsidR="00F41D01" w:rsidRDefault="00F41D01">
      <w:pPr>
        <w:widowControl w:val="0"/>
        <w:adjustRightInd w:val="0"/>
        <w:snapToGrid w:val="0"/>
        <w:spacing w:line="360" w:lineRule="auto"/>
        <w:ind w:firstLineChars="200" w:firstLine="420"/>
        <w:rPr>
          <w:kern w:val="2"/>
          <w:sz w:val="21"/>
          <w:szCs w:val="20"/>
          <w:lang w:eastAsia="zh-CN"/>
        </w:rPr>
      </w:pPr>
    </w:p>
    <w:p w14:paraId="36469A79" w14:textId="77777777" w:rsidR="00F41D01" w:rsidRDefault="00F41D01">
      <w:pPr>
        <w:widowControl w:val="0"/>
        <w:adjustRightInd w:val="0"/>
        <w:snapToGrid w:val="0"/>
        <w:spacing w:line="360" w:lineRule="auto"/>
        <w:ind w:firstLineChars="200" w:firstLine="420"/>
        <w:rPr>
          <w:kern w:val="2"/>
          <w:sz w:val="21"/>
          <w:szCs w:val="20"/>
          <w:lang w:eastAsia="zh-CN"/>
        </w:rPr>
      </w:pPr>
    </w:p>
    <w:p w14:paraId="4DA0E388" w14:textId="77777777" w:rsidR="00F41D01" w:rsidRDefault="00F41D01">
      <w:pPr>
        <w:widowControl w:val="0"/>
        <w:adjustRightInd w:val="0"/>
        <w:snapToGrid w:val="0"/>
        <w:spacing w:line="360" w:lineRule="auto"/>
        <w:ind w:firstLineChars="200" w:firstLine="420"/>
        <w:rPr>
          <w:kern w:val="2"/>
          <w:sz w:val="21"/>
          <w:szCs w:val="20"/>
          <w:lang w:eastAsia="zh-CN"/>
        </w:rPr>
      </w:pPr>
    </w:p>
    <w:p w14:paraId="3045AE80" w14:textId="77777777" w:rsidR="00F41D01" w:rsidRDefault="00F41D01">
      <w:pPr>
        <w:widowControl w:val="0"/>
        <w:adjustRightInd w:val="0"/>
        <w:snapToGrid w:val="0"/>
        <w:spacing w:line="360" w:lineRule="auto"/>
        <w:ind w:firstLineChars="200" w:firstLine="420"/>
        <w:rPr>
          <w:kern w:val="2"/>
          <w:sz w:val="21"/>
          <w:szCs w:val="20"/>
          <w:lang w:eastAsia="zh-CN"/>
        </w:rPr>
      </w:pPr>
    </w:p>
    <w:p w14:paraId="7C443306" w14:textId="77777777" w:rsidR="00F41D01" w:rsidRDefault="00F41D01">
      <w:pPr>
        <w:widowControl w:val="0"/>
        <w:spacing w:line="360" w:lineRule="auto"/>
        <w:jc w:val="both"/>
        <w:rPr>
          <w:rFonts w:hint="eastAsia"/>
          <w:kern w:val="2"/>
          <w:sz w:val="21"/>
          <w:szCs w:val="20"/>
          <w:lang w:eastAsia="zh-CN"/>
        </w:rPr>
      </w:pPr>
    </w:p>
    <w:p w14:paraId="5F6654CE" w14:textId="77777777" w:rsidR="00F41D01" w:rsidRDefault="00F41D01">
      <w:pPr>
        <w:widowControl w:val="0"/>
        <w:spacing w:line="360" w:lineRule="auto"/>
        <w:jc w:val="both"/>
        <w:rPr>
          <w:kern w:val="2"/>
          <w:sz w:val="21"/>
          <w:szCs w:val="20"/>
          <w:lang w:eastAsia="zh-CN"/>
        </w:rPr>
      </w:pPr>
      <w:r>
        <w:rPr>
          <w:lang w:val="en-US" w:eastAsia="zh-CN"/>
        </w:rPr>
        <w:pict w14:anchorId="4F0A53A1">
          <v:line id="_x0000_s2058" style="position:absolute;left:0;text-align:left;z-index:6" from="35.7pt,13.2pt" to="197.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OyFgIAACs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Sc5Rop0&#10;oNFGKI5GoTW9cSVELNXWhuLoSb2ajabfHVJ62RK155Hi29lAWhYykncpYeMMXLDrv2gGMeTgdezT&#10;qbFdgIQOoFOU43yXg588onCYp6NJkYJqFHzjp8goIeUt1VjnP3PdoWBUWALrCE2OG+cDFVLeQsJN&#10;Sq+FlFFvqVBf4dkoH8UEp6VgwRnCnN3vltKiIwkTE79YF3gew6w+KBbBWk7Y6mp7IuTFhsulCnhQ&#10;DNC5WpeR+DFLZ6vpaloMiny8GhRpXQ8+rZfFYLzOJqP6qV4u6+xnoJYVZSsY4yqwu41nVvyd/NeH&#10;chms+4De25C8R4/9ArK3fyQd1QwCXkZhp9l5a28qw0TG4OvrCSP/uAf78Y0vfgEAAP//AwBQSwME&#10;FAAGAAgAAAAhAACEm23dAAAACAEAAA8AAABkcnMvZG93bnJldi54bWxMj09PwzAMxe9IfIfISFwm&#10;lq5jA0rTCQG97cIAcfUa01Y0TtdkW+HT453g5D/v6fnnfDW6Th1oCK1nA7NpAoq48rbl2sDba3l1&#10;CypEZIudZzLwTQFWxflZjpn1R36hwybWSkI4ZGigibHPtA5VQw7D1PfEon36wWGUcai1HfAo4a7T&#10;aZIstcOW5UKDPT02VH1t9s5AKN9pV/5MqknyMa89pbun9TMac3kxPtyDijTGPzOc8AUdCmHa+j3b&#10;oDoDN7NrcRpIl1JFn98tpNmeFgvQRa7/P1D8AgAA//8DAFBLAQItABQABgAIAAAAIQC2gziS/gAA&#10;AOEBAAATAAAAAAAAAAAAAAAAAAAAAABbQ29udGVudF9UeXBlc10ueG1sUEsBAi0AFAAGAAgAAAAh&#10;ADj9If/WAAAAlAEAAAsAAAAAAAAAAAAAAAAALwEAAF9yZWxzLy5yZWxzUEsBAi0AFAAGAAgAAAAh&#10;ABGGE7IWAgAAKwQAAA4AAAAAAAAAAAAAAAAALgIAAGRycy9lMm9Eb2MueG1sUEsBAi0AFAAGAAgA&#10;AAAhAACEm23dAAAACAEAAA8AAAAAAAAAAAAAAAAAcAQAAGRycy9kb3ducmV2LnhtbFBLBQYAAAAA&#10;BAAEAPMAAAB6BQAAAAA=&#10;"/>
        </w:pict>
      </w:r>
      <w:r>
        <w:rPr>
          <w:lang w:val="en-US" w:eastAsia="zh-CN"/>
        </w:rPr>
        <w:pict w14:anchorId="5A37369B">
          <v:line id="_x0000_s2057" style="position:absolute;left:0;text-align:left;z-index:5" from="267.2pt,12.25pt" to="429.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d1FQIAACs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K/E0w0iR&#10;FjTaCsVRHlrTGVeAx0rtbCiOntWr2Wr63SGlVw1RBx4pvl0MhGUhInkICRtnIMG++6IZ+JCj17FP&#10;59q2ARI6gM5RjstdDn72iMLhKB1P8xRUo3A3eRpHfFLcQo11/jPXLQpGiSWwjtDktHU+UCHFzSVk&#10;UnojpIx6S4W6Es/Ho3EMcFoKFi6Dm7OH/UpadCJhYuLX531ws/qoWARrOGHr3vZEyKsNyaUKeFAM&#10;0Omt60j8mKfz9Ww9ywf5aLIe5GlVDT5tVvlgssmm4+qpWq2q7GegluVFIxjjKrC7jWeW/538/UO5&#10;DtZ9QO9tSB7RY7+A7O0fSUc1g4DXUdhrdtnZm8owkdG5fz1h5N/vwX7/xpe/AAAA//8DAFBLAwQU&#10;AAYACAAAACEAeh9Lqt0AAAAJAQAADwAAAGRycy9kb3ducmV2LnhtbEyPwU6DQBCG7ya+w2ZMvDR2&#10;kUJDkKUxKjcvVo3XKYxAZGcpu23Rp3d60uP88+Wfb4rNbAd1pMn3jg3cLiNQxLVrem4NvL1WNxko&#10;H5AbHByTgW/ysCkvLwrMG3fiFzpuQ6ukhH2OBroQxlxrX3dk0S/dSCy7TzdZDDJOrW4mPEm5HXQc&#10;RWttsWe50OFIDx3VX9uDNeCrd9pXP4t6EX2sWkfx/vH5CY25vprv70AFmsMfDGd9UYdSnHbuwI1X&#10;g4F0lSSCGoiTFJQAWZpJsDsHa9Blof9/UP4CAAD//wMAUEsBAi0AFAAGAAgAAAAhALaDOJL+AAAA&#10;4QEAABMAAAAAAAAAAAAAAAAAAAAAAFtDb250ZW50X1R5cGVzXS54bWxQSwECLQAUAAYACAAAACEA&#10;OP0h/9YAAACUAQAACwAAAAAAAAAAAAAAAAAvAQAAX3JlbHMvLnJlbHNQSwECLQAUAAYACAAAACEA&#10;Zlg3dRUCAAArBAAADgAAAAAAAAAAAAAAAAAuAgAAZHJzL2Uyb0RvYy54bWxQSwECLQAUAAYACAAA&#10;ACEAeh9Lqt0AAAAJAQAADwAAAAAAAAAAAAAAAABvBAAAZHJzL2Rvd25yZXYueG1sUEsFBgAAAAAE&#10;AAQA8wAAAHkFAAAAAA==&#10;"/>
        </w:pict>
      </w:r>
      <w:r>
        <w:rPr>
          <w:kern w:val="2"/>
          <w:sz w:val="21"/>
          <w:szCs w:val="20"/>
          <w:lang w:eastAsia="zh-CN"/>
        </w:rPr>
        <w:t xml:space="preserve"> </w:t>
      </w:r>
    </w:p>
    <w:p w14:paraId="73D044C4" w14:textId="77777777" w:rsidR="00F41D01" w:rsidRDefault="00F41D01">
      <w:pPr>
        <w:widowControl w:val="0"/>
        <w:spacing w:line="360" w:lineRule="auto"/>
        <w:ind w:firstLineChars="350" w:firstLine="735"/>
        <w:jc w:val="both"/>
        <w:rPr>
          <w:bCs/>
          <w:kern w:val="2"/>
          <w:sz w:val="21"/>
          <w:szCs w:val="28"/>
          <w:lang w:eastAsia="zh-CN"/>
        </w:rPr>
      </w:pPr>
      <w:r>
        <w:t>Gao Xiaosister, M.M.                                                               Date</w:t>
      </w:r>
    </w:p>
    <w:p w14:paraId="17EAFC8E" w14:textId="77777777" w:rsidR="00F41D01" w:rsidRDefault="00F41D01">
      <w:pPr>
        <w:widowControl w:val="0"/>
        <w:spacing w:line="360" w:lineRule="auto"/>
        <w:ind w:firstLineChars="350" w:firstLine="735"/>
        <w:jc w:val="both"/>
        <w:rPr>
          <w:bCs/>
          <w:kern w:val="2"/>
          <w:sz w:val="21"/>
          <w:szCs w:val="28"/>
          <w:lang w:eastAsia="zh-CN"/>
        </w:rPr>
      </w:pPr>
      <w:r>
        <w:t>study director</w:t>
      </w:r>
    </w:p>
    <w:p w14:paraId="2CE7960C" w14:textId="77777777" w:rsidR="00F41D01" w:rsidRDefault="00F41D01">
      <w:pPr>
        <w:pStyle w:val="1"/>
        <w:keepNext w:val="0"/>
        <w:widowControl w:val="0"/>
        <w:tabs>
          <w:tab w:val="left" w:pos="0"/>
          <w:tab w:val="right" w:pos="9639"/>
        </w:tabs>
        <w:spacing w:beforeLines="150" w:before="360" w:line="360" w:lineRule="auto"/>
        <w:ind w:left="720"/>
        <w:jc w:val="center"/>
        <w:rPr>
          <w:sz w:val="32"/>
          <w:szCs w:val="32"/>
          <w:lang w:eastAsia="zh-CN"/>
        </w:rPr>
        <w:sectPr w:rsidR="00F41D01">
          <w:headerReference w:type="first" r:id="rId11"/>
          <w:footerReference w:type="first" r:id="rId12"/>
          <w:pgSz w:w="11907" w:h="16840"/>
          <w:pgMar w:top="1440" w:right="1803" w:bottom="1440" w:left="1803" w:header="482" w:footer="851" w:gutter="0"/>
          <w:cols w:space="720"/>
          <w:titlePg/>
          <w:docGrid w:linePitch="360"/>
        </w:sectPr>
      </w:pPr>
      <w:bookmarkStart w:id="26" w:name="_Toc477531335"/>
      <w:bookmarkEnd w:id="24"/>
    </w:p>
    <w:p w14:paraId="4B74289E" w14:textId="77777777" w:rsidR="00F41D01" w:rsidRDefault="00F41D01">
      <w:pPr>
        <w:pStyle w:val="1"/>
        <w:keepNext w:val="0"/>
        <w:widowControl w:val="0"/>
        <w:tabs>
          <w:tab w:val="left" w:pos="0"/>
          <w:tab w:val="right" w:pos="9639"/>
        </w:tabs>
        <w:spacing w:beforeLines="150" w:before="360" w:line="360" w:lineRule="auto"/>
        <w:ind w:left="720"/>
        <w:jc w:val="center"/>
        <w:rPr>
          <w:sz w:val="32"/>
          <w:szCs w:val="32"/>
          <w:lang w:eastAsia="zh-CN"/>
        </w:rPr>
      </w:pPr>
      <w:r>
        <w:t>QA statement</w:t>
      </w:r>
    </w:p>
    <w:p w14:paraId="42472292" w14:textId="77777777" w:rsidR="00F41D01" w:rsidRDefault="00F41D01">
      <w:pPr>
        <w:pStyle w:val="WXBodyText"/>
        <w:spacing w:before="0" w:after="0" w:line="360" w:lineRule="auto"/>
        <w:ind w:left="0"/>
      </w:pPr>
      <w:r>
        <w:t>Study director: Gao Shaosha</w:t>
      </w:r>
    </w:p>
    <w:p w14:paraId="3E060777" w14:textId="77777777" w:rsidR="00F41D01" w:rsidRDefault="00F41D01">
      <w:pPr>
        <w:pStyle w:val="WXBodyText"/>
        <w:spacing w:before="0" w:after="0" w:line="360" w:lineRule="auto"/>
        <w:ind w:left="0"/>
      </w:pPr>
      <w:r>
        <w:t>Test article code: sbk002</w:t>
      </w:r>
    </w:p>
    <w:p w14:paraId="08594490" w14:textId="77777777" w:rsidR="00F41D01" w:rsidRDefault="00F41D01" w:rsidP="004D528F">
      <w:pPr>
        <w:pStyle w:val="WXBodyText"/>
        <w:spacing w:before="0" w:after="0" w:line="360" w:lineRule="auto"/>
        <w:ind w:left="1200" w:hangingChars="500" w:hanging="1200"/>
      </w:pPr>
      <w:r>
        <w:t>Study Name: ICR mouse gavage administering sbk002 and sulfuric acid ethylation precursor single dose toxicity study</w:t>
      </w:r>
    </w:p>
    <w:p w14:paraId="63A8041A" w14:textId="77777777" w:rsidR="00F41D01" w:rsidRDefault="00F41D01" w:rsidP="000F07A1">
      <w:pPr>
        <w:pStyle w:val="WXBodyText"/>
        <w:spacing w:before="0" w:after="0" w:line="360" w:lineRule="auto"/>
        <w:ind w:left="0"/>
      </w:pPr>
      <w:r>
        <w:t>Study number: A2018030-T001-01</w:t>
      </w:r>
    </w:p>
    <w:p w14:paraId="3FB257B3" w14:textId="77777777" w:rsidR="00832876" w:rsidRPr="00832876" w:rsidRDefault="00832876" w:rsidP="00832876">
      <w:pPr>
        <w:spacing w:line="360" w:lineRule="auto"/>
        <w:ind w:firstLineChars="200" w:firstLine="480"/>
        <w:jc w:val="both"/>
        <w:rPr>
          <w:lang w:eastAsia="zh-CN"/>
        </w:rPr>
      </w:pPr>
      <w:r>
        <w:t>According to the General Administration of Food and Drug Administration's Good Laboratory Practices for Non-clinical Pharmaceutical Research (Order No. 34) effective from September 1, 2017, economic cooperation and development group OECD Principles of Good Laboratory Practice (as revised in 1997) ENV/MC/CHEM(98)17, US Food and Drug Administration Good Laboratory Practice for Nonclinical Laboratory Studies (21 CFR Part 58), examination of study protocols and standard operating procedures (SOPs), and listing examination reports with the date reported to the study director and test facility management. Additionally, this statement confirms that the final report accurately reflects the assay's raw data.</w:t>
      </w:r>
    </w:p>
    <w:tbl>
      <w:tblPr>
        <w:tblW w:w="4923" w:type="pct"/>
        <w:jc w:val="center"/>
        <w:tblInd w:w="0" w:type="dxa"/>
        <w:tblBorders>
          <w:top w:val="single" w:sz="4" w:space="0" w:color="auto"/>
          <w:bottom w:val="single" w:sz="4" w:space="0" w:color="auto"/>
        </w:tblBorders>
        <w:tblLook w:val="01E0" w:firstRow="1" w:lastRow="1" w:firstColumn="1" w:lastColumn="1" w:noHBand="0" w:noVBand="0"/>
      </w:tblPr>
      <w:tblGrid>
        <w:gridCol w:w="2716"/>
        <w:gridCol w:w="2586"/>
        <w:gridCol w:w="3084"/>
      </w:tblGrid>
      <w:tr w:rsidR="00832876" w:rsidRPr="00832876" w14:paraId="4E6B69C7" w14:textId="77777777" w:rsidTr="00EC0F71">
        <w:trPr>
          <w:trHeight w:val="609"/>
          <w:tblHeader/>
          <w:jc w:val="center"/>
        </w:trPr>
        <w:tc>
          <w:tcPr>
            <w:tcW w:w="1620" w:type="pct"/>
            <w:tcBorders>
              <w:top w:val="single" w:sz="4" w:space="0" w:color="auto"/>
              <w:bottom w:val="single" w:sz="4" w:space="0" w:color="auto"/>
            </w:tcBorders>
            <w:vAlign w:val="center"/>
          </w:tcPr>
          <w:p w14:paraId="37DB4A57" w14:textId="77777777" w:rsidR="00832876" w:rsidRPr="00832876" w:rsidRDefault="00832876" w:rsidP="00832876">
            <w:pPr>
              <w:spacing w:line="340" w:lineRule="exact"/>
              <w:jc w:val="center"/>
              <w:rPr>
                <w:lang w:eastAsia="zh-CN"/>
              </w:rPr>
            </w:pPr>
            <w:r>
              <w:t>Inspection Contents</w:t>
            </w:r>
          </w:p>
        </w:tc>
        <w:tc>
          <w:tcPr>
            <w:tcW w:w="1541" w:type="pct"/>
            <w:tcBorders>
              <w:top w:val="single" w:sz="4" w:space="0" w:color="auto"/>
              <w:bottom w:val="single" w:sz="4" w:space="0" w:color="auto"/>
            </w:tcBorders>
            <w:vAlign w:val="center"/>
          </w:tcPr>
          <w:p w14:paraId="72BFBD0D" w14:textId="77777777" w:rsidR="00832876" w:rsidRPr="00832876" w:rsidRDefault="00832876" w:rsidP="00832876">
            <w:pPr>
              <w:spacing w:line="340" w:lineRule="exact"/>
              <w:jc w:val="center"/>
              <w:rPr>
                <w:lang w:eastAsia="zh-CN"/>
              </w:rPr>
            </w:pPr>
            <w:r>
              <w:t>Inspection Date</w:t>
            </w:r>
          </w:p>
        </w:tc>
        <w:tc>
          <w:tcPr>
            <w:tcW w:w="1839" w:type="pct"/>
            <w:tcBorders>
              <w:top w:val="single" w:sz="4" w:space="0" w:color="auto"/>
              <w:bottom w:val="single" w:sz="4" w:space="0" w:color="auto"/>
            </w:tcBorders>
            <w:vAlign w:val="center"/>
          </w:tcPr>
          <w:p w14:paraId="40C48692" w14:textId="77777777" w:rsidR="00832876" w:rsidRPr="00832876" w:rsidRDefault="00832876" w:rsidP="00832876">
            <w:pPr>
              <w:spacing w:line="340" w:lineRule="exact"/>
              <w:jc w:val="center"/>
              <w:rPr>
                <w:lang w:eastAsia="zh-CN"/>
              </w:rPr>
            </w:pPr>
            <w:r>
              <w:t>Report Date (SD/Test Facility Management)</w:t>
            </w:r>
          </w:p>
        </w:tc>
      </w:tr>
      <w:tr w:rsidR="00832876" w:rsidRPr="00832876" w14:paraId="51618DD1" w14:textId="77777777" w:rsidTr="00EC0F71">
        <w:trPr>
          <w:trHeight w:val="226"/>
          <w:jc w:val="center"/>
        </w:trPr>
        <w:tc>
          <w:tcPr>
            <w:tcW w:w="1620" w:type="pct"/>
            <w:tcBorders>
              <w:top w:val="single" w:sz="4" w:space="0" w:color="auto"/>
            </w:tcBorders>
            <w:vAlign w:val="center"/>
          </w:tcPr>
          <w:p w14:paraId="09C5CFDD" w14:textId="77777777" w:rsidR="00832876" w:rsidRPr="00832876" w:rsidRDefault="00832876" w:rsidP="00832876">
            <w:pPr>
              <w:widowControl w:val="0"/>
              <w:spacing w:line="360" w:lineRule="auto"/>
              <w:jc w:val="center"/>
              <w:rPr>
                <w:color w:val="000000"/>
                <w:kern w:val="2"/>
                <w:lang w:eastAsia="zh-CN"/>
              </w:rPr>
            </w:pPr>
            <w:r>
              <w:t>study protocol</w:t>
            </w:r>
          </w:p>
        </w:tc>
        <w:tc>
          <w:tcPr>
            <w:tcW w:w="1541" w:type="pct"/>
            <w:tcBorders>
              <w:top w:val="single" w:sz="4" w:space="0" w:color="auto"/>
            </w:tcBorders>
            <w:vAlign w:val="center"/>
          </w:tcPr>
          <w:p w14:paraId="04C3F93A" w14:textId="77777777" w:rsidR="00832876" w:rsidRPr="00832876" w:rsidRDefault="00832876" w:rsidP="00832876">
            <w:pPr>
              <w:widowControl w:val="0"/>
              <w:spacing w:line="360" w:lineRule="auto"/>
              <w:jc w:val="center"/>
              <w:rPr>
                <w:color w:val="000000"/>
                <w:kern w:val="2"/>
                <w:lang w:eastAsia="zh-CN"/>
              </w:rPr>
            </w:pPr>
            <w:r w:rsidRPr="00832876">
              <w:rPr>
                <w:rFonts w:hint="eastAsia"/>
                <w:color w:val="000000"/>
                <w:kern w:val="2"/>
                <w:lang w:eastAsia="zh-CN"/>
              </w:rPr>
              <w:t>2018-12-05</w:t>
            </w:r>
          </w:p>
        </w:tc>
        <w:tc>
          <w:tcPr>
            <w:tcW w:w="1839" w:type="pct"/>
            <w:tcBorders>
              <w:top w:val="single" w:sz="4" w:space="0" w:color="auto"/>
            </w:tcBorders>
            <w:vAlign w:val="center"/>
          </w:tcPr>
          <w:p w14:paraId="6D3CD26D" w14:textId="77777777" w:rsidR="00832876" w:rsidRPr="00832876" w:rsidRDefault="00832876" w:rsidP="00832876">
            <w:pPr>
              <w:widowControl w:val="0"/>
              <w:spacing w:line="360" w:lineRule="auto"/>
              <w:jc w:val="center"/>
              <w:rPr>
                <w:color w:val="000000"/>
                <w:kern w:val="2"/>
                <w:lang w:eastAsia="zh-CN"/>
              </w:rPr>
            </w:pPr>
            <w:r w:rsidRPr="00832876">
              <w:rPr>
                <w:rFonts w:hint="eastAsia"/>
                <w:color w:val="000000"/>
                <w:kern w:val="2"/>
                <w:lang w:eastAsia="zh-CN"/>
              </w:rPr>
              <w:t>2018-12-05</w:t>
            </w:r>
          </w:p>
        </w:tc>
      </w:tr>
      <w:tr w:rsidR="00832876" w:rsidRPr="00832876" w14:paraId="3CF5A7B5" w14:textId="77777777" w:rsidTr="00EC0F71">
        <w:trPr>
          <w:trHeight w:val="70"/>
          <w:jc w:val="center"/>
        </w:trPr>
        <w:tc>
          <w:tcPr>
            <w:tcW w:w="1620" w:type="pct"/>
            <w:vAlign w:val="center"/>
          </w:tcPr>
          <w:p w14:paraId="268A6C42" w14:textId="77777777" w:rsidR="00832876" w:rsidRPr="00832876" w:rsidRDefault="00832876" w:rsidP="00832876">
            <w:pPr>
              <w:widowControl w:val="0"/>
              <w:spacing w:line="360" w:lineRule="auto"/>
              <w:jc w:val="center"/>
              <w:rPr>
                <w:lang w:eastAsia="zh-CN"/>
              </w:rPr>
            </w:pPr>
            <w:r>
              <w:t>Study protocol amendments (No.01)</w:t>
            </w:r>
          </w:p>
        </w:tc>
        <w:tc>
          <w:tcPr>
            <w:tcW w:w="1541" w:type="pct"/>
          </w:tcPr>
          <w:p w14:paraId="2767F7F2" w14:textId="77777777" w:rsidR="00832876" w:rsidRPr="00832876" w:rsidRDefault="00832876" w:rsidP="00832876">
            <w:pPr>
              <w:spacing w:line="360" w:lineRule="auto"/>
              <w:jc w:val="center"/>
              <w:rPr>
                <w:lang w:eastAsia="zh-CN"/>
              </w:rPr>
            </w:pPr>
            <w:r w:rsidRPr="00832876">
              <w:rPr>
                <w:rFonts w:hint="eastAsia"/>
                <w:lang w:eastAsia="zh-CN"/>
              </w:rPr>
              <w:t>2018-12-12</w:t>
            </w:r>
          </w:p>
        </w:tc>
        <w:tc>
          <w:tcPr>
            <w:tcW w:w="1839" w:type="pct"/>
          </w:tcPr>
          <w:p w14:paraId="5A9FBBD4" w14:textId="77777777" w:rsidR="00832876" w:rsidRPr="00832876" w:rsidRDefault="00832876" w:rsidP="00832876">
            <w:pPr>
              <w:spacing w:line="360" w:lineRule="auto"/>
              <w:jc w:val="center"/>
              <w:rPr>
                <w:lang w:eastAsia="zh-CN"/>
              </w:rPr>
            </w:pPr>
            <w:r w:rsidRPr="00832876">
              <w:rPr>
                <w:rFonts w:hint="eastAsia"/>
                <w:lang w:eastAsia="zh-CN"/>
              </w:rPr>
              <w:t>2018-12-12</w:t>
            </w:r>
          </w:p>
        </w:tc>
      </w:tr>
      <w:tr w:rsidR="00832876" w:rsidRPr="00832876" w14:paraId="508279CB" w14:textId="77777777" w:rsidTr="00EC0F71">
        <w:trPr>
          <w:trHeight w:val="70"/>
          <w:jc w:val="center"/>
        </w:trPr>
        <w:tc>
          <w:tcPr>
            <w:tcW w:w="1620" w:type="pct"/>
            <w:vAlign w:val="center"/>
          </w:tcPr>
          <w:p w14:paraId="372F8F9D" w14:textId="77777777" w:rsidR="00832876" w:rsidRPr="00832876" w:rsidRDefault="00832876" w:rsidP="00832876">
            <w:pPr>
              <w:widowControl w:val="0"/>
              <w:spacing w:line="360" w:lineRule="auto"/>
              <w:jc w:val="center"/>
              <w:rPr>
                <w:lang w:eastAsia="zh-CN"/>
              </w:rPr>
            </w:pPr>
            <w:r>
              <w:t>dose formulations preparation</w:t>
            </w:r>
          </w:p>
        </w:tc>
        <w:tc>
          <w:tcPr>
            <w:tcW w:w="1541" w:type="pct"/>
          </w:tcPr>
          <w:p w14:paraId="36A5511A" w14:textId="77777777" w:rsidR="00832876" w:rsidRPr="00832876" w:rsidRDefault="00832876" w:rsidP="00832876">
            <w:pPr>
              <w:spacing w:line="360" w:lineRule="auto"/>
              <w:jc w:val="center"/>
              <w:rPr>
                <w:lang w:eastAsia="zh-CN"/>
              </w:rPr>
            </w:pPr>
            <w:r w:rsidRPr="00832876">
              <w:rPr>
                <w:rFonts w:hint="eastAsia"/>
                <w:lang w:eastAsia="zh-CN"/>
              </w:rPr>
              <w:t>2018-12-14</w:t>
            </w:r>
          </w:p>
        </w:tc>
        <w:tc>
          <w:tcPr>
            <w:tcW w:w="1839" w:type="pct"/>
          </w:tcPr>
          <w:p w14:paraId="7F252ED4" w14:textId="77777777" w:rsidR="00832876" w:rsidRPr="00832876" w:rsidRDefault="00832876" w:rsidP="00832876">
            <w:pPr>
              <w:spacing w:line="360" w:lineRule="auto"/>
              <w:jc w:val="center"/>
              <w:rPr>
                <w:lang w:eastAsia="zh-CN"/>
              </w:rPr>
            </w:pPr>
            <w:r w:rsidRPr="00832876">
              <w:rPr>
                <w:rFonts w:hint="eastAsia"/>
                <w:lang w:eastAsia="zh-CN"/>
              </w:rPr>
              <w:t>2018-12-14</w:t>
            </w:r>
          </w:p>
        </w:tc>
      </w:tr>
      <w:tr w:rsidR="00832876" w:rsidRPr="00832876" w14:paraId="1F7E7368" w14:textId="77777777" w:rsidTr="00EC0F71">
        <w:trPr>
          <w:trHeight w:val="70"/>
          <w:jc w:val="center"/>
        </w:trPr>
        <w:tc>
          <w:tcPr>
            <w:tcW w:w="1620" w:type="pct"/>
            <w:vAlign w:val="center"/>
          </w:tcPr>
          <w:p w14:paraId="38874779" w14:textId="77777777" w:rsidR="00832876" w:rsidRPr="00832876" w:rsidRDefault="00832876" w:rsidP="00832876">
            <w:pPr>
              <w:widowControl w:val="0"/>
              <w:spacing w:line="360" w:lineRule="auto"/>
              <w:jc w:val="center"/>
              <w:rPr>
                <w:lang w:eastAsia="zh-CN"/>
              </w:rPr>
            </w:pPr>
            <w:r>
              <w:t>Sampling of dose formulations</w:t>
            </w:r>
          </w:p>
        </w:tc>
        <w:tc>
          <w:tcPr>
            <w:tcW w:w="1541" w:type="pct"/>
          </w:tcPr>
          <w:p w14:paraId="38CDC7EC" w14:textId="77777777" w:rsidR="00832876" w:rsidRPr="00832876" w:rsidRDefault="00832876" w:rsidP="00832876">
            <w:pPr>
              <w:spacing w:line="360" w:lineRule="auto"/>
              <w:jc w:val="center"/>
              <w:rPr>
                <w:lang w:eastAsia="zh-CN"/>
              </w:rPr>
            </w:pPr>
            <w:r w:rsidRPr="00832876">
              <w:rPr>
                <w:rFonts w:hint="eastAsia"/>
                <w:lang w:eastAsia="zh-CN"/>
              </w:rPr>
              <w:t>2018-12-14</w:t>
            </w:r>
          </w:p>
        </w:tc>
        <w:tc>
          <w:tcPr>
            <w:tcW w:w="1839" w:type="pct"/>
          </w:tcPr>
          <w:p w14:paraId="497B6FD7" w14:textId="77777777" w:rsidR="00832876" w:rsidRPr="00832876" w:rsidRDefault="00832876" w:rsidP="00832876">
            <w:pPr>
              <w:spacing w:line="360" w:lineRule="auto"/>
              <w:jc w:val="center"/>
              <w:rPr>
                <w:lang w:eastAsia="zh-CN"/>
              </w:rPr>
            </w:pPr>
            <w:r w:rsidRPr="00832876">
              <w:rPr>
                <w:rFonts w:hint="eastAsia"/>
                <w:lang w:eastAsia="zh-CN"/>
              </w:rPr>
              <w:t>2018-12-14</w:t>
            </w:r>
          </w:p>
        </w:tc>
      </w:tr>
      <w:tr w:rsidR="00832876" w:rsidRPr="00832876" w14:paraId="77A4747B" w14:textId="77777777" w:rsidTr="00EC0F71">
        <w:trPr>
          <w:trHeight w:val="70"/>
          <w:jc w:val="center"/>
        </w:trPr>
        <w:tc>
          <w:tcPr>
            <w:tcW w:w="1620" w:type="pct"/>
            <w:vAlign w:val="center"/>
          </w:tcPr>
          <w:p w14:paraId="511E30A0" w14:textId="77777777" w:rsidR="00832876" w:rsidRPr="00832876" w:rsidRDefault="00832876" w:rsidP="00832876">
            <w:pPr>
              <w:widowControl w:val="0"/>
              <w:spacing w:line="360" w:lineRule="auto"/>
              <w:jc w:val="center"/>
              <w:rPr>
                <w:lang w:eastAsia="zh-CN"/>
              </w:rPr>
            </w:pPr>
            <w:r>
              <w:t>dose formulation analysis</w:t>
            </w:r>
          </w:p>
        </w:tc>
        <w:tc>
          <w:tcPr>
            <w:tcW w:w="1541" w:type="pct"/>
          </w:tcPr>
          <w:p w14:paraId="0E3C4DC8" w14:textId="77777777" w:rsidR="00832876" w:rsidRPr="00832876" w:rsidRDefault="00832876" w:rsidP="00832876">
            <w:pPr>
              <w:spacing w:line="360" w:lineRule="auto"/>
              <w:jc w:val="center"/>
              <w:rPr>
                <w:lang w:eastAsia="zh-CN"/>
              </w:rPr>
            </w:pPr>
            <w:r w:rsidRPr="00832876">
              <w:rPr>
                <w:rFonts w:hint="eastAsia"/>
                <w:lang w:eastAsia="zh-CN"/>
              </w:rPr>
              <w:t>2018-12-14</w:t>
            </w:r>
          </w:p>
        </w:tc>
        <w:tc>
          <w:tcPr>
            <w:tcW w:w="1839" w:type="pct"/>
          </w:tcPr>
          <w:p w14:paraId="3A80BB76" w14:textId="77777777" w:rsidR="00832876" w:rsidRPr="00832876" w:rsidRDefault="00832876" w:rsidP="00832876">
            <w:pPr>
              <w:spacing w:line="360" w:lineRule="auto"/>
              <w:jc w:val="center"/>
              <w:rPr>
                <w:lang w:eastAsia="zh-CN"/>
              </w:rPr>
            </w:pPr>
            <w:r w:rsidRPr="00832876">
              <w:rPr>
                <w:rFonts w:hint="eastAsia"/>
                <w:lang w:eastAsia="zh-CN"/>
              </w:rPr>
              <w:t>2018-12-14</w:t>
            </w:r>
          </w:p>
        </w:tc>
      </w:tr>
      <w:tr w:rsidR="00832876" w:rsidRPr="00832876" w14:paraId="1428F95D" w14:textId="77777777" w:rsidTr="00EC0F71">
        <w:trPr>
          <w:trHeight w:val="70"/>
          <w:jc w:val="center"/>
        </w:trPr>
        <w:tc>
          <w:tcPr>
            <w:tcW w:w="1620" w:type="pct"/>
            <w:vAlign w:val="center"/>
          </w:tcPr>
          <w:p w14:paraId="7B1591FC" w14:textId="77777777" w:rsidR="00832876" w:rsidRPr="00832876" w:rsidRDefault="00832876" w:rsidP="00832876">
            <w:pPr>
              <w:widowControl w:val="0"/>
              <w:spacing w:line="360" w:lineRule="auto"/>
              <w:jc w:val="center"/>
              <w:rPr>
                <w:lang w:eastAsia="zh-CN"/>
              </w:rPr>
            </w:pPr>
            <w:r>
              <w:t>Dose</w:t>
            </w:r>
          </w:p>
        </w:tc>
        <w:tc>
          <w:tcPr>
            <w:tcW w:w="1541" w:type="pct"/>
          </w:tcPr>
          <w:p w14:paraId="058E61C4" w14:textId="77777777" w:rsidR="00832876" w:rsidRPr="00832876" w:rsidRDefault="00832876" w:rsidP="00832876">
            <w:pPr>
              <w:spacing w:line="360" w:lineRule="auto"/>
              <w:jc w:val="center"/>
              <w:rPr>
                <w:lang w:eastAsia="zh-CN"/>
              </w:rPr>
            </w:pPr>
            <w:r w:rsidRPr="00832876">
              <w:rPr>
                <w:rFonts w:hint="eastAsia"/>
                <w:lang w:eastAsia="zh-CN"/>
              </w:rPr>
              <w:t>2018-12-14</w:t>
            </w:r>
          </w:p>
        </w:tc>
        <w:tc>
          <w:tcPr>
            <w:tcW w:w="1839" w:type="pct"/>
          </w:tcPr>
          <w:p w14:paraId="4249615D" w14:textId="77777777" w:rsidR="00832876" w:rsidRPr="00832876" w:rsidRDefault="00832876" w:rsidP="00832876">
            <w:pPr>
              <w:spacing w:line="360" w:lineRule="auto"/>
              <w:jc w:val="center"/>
              <w:rPr>
                <w:lang w:eastAsia="zh-CN"/>
              </w:rPr>
            </w:pPr>
            <w:r w:rsidRPr="00832876">
              <w:rPr>
                <w:rFonts w:hint="eastAsia"/>
                <w:lang w:eastAsia="zh-CN"/>
              </w:rPr>
              <w:t>2018-12-14</w:t>
            </w:r>
          </w:p>
        </w:tc>
      </w:tr>
      <w:tr w:rsidR="00832876" w:rsidRPr="00832876" w14:paraId="26484604" w14:textId="77777777" w:rsidTr="00EC0F71">
        <w:trPr>
          <w:trHeight w:val="70"/>
          <w:jc w:val="center"/>
        </w:trPr>
        <w:tc>
          <w:tcPr>
            <w:tcW w:w="1620" w:type="pct"/>
            <w:vAlign w:val="center"/>
          </w:tcPr>
          <w:p w14:paraId="02F330B1" w14:textId="77777777" w:rsidR="00832876" w:rsidRPr="00832876" w:rsidRDefault="00832876" w:rsidP="00832876">
            <w:pPr>
              <w:widowControl w:val="0"/>
              <w:spacing w:line="360" w:lineRule="auto"/>
              <w:jc w:val="center"/>
              <w:rPr>
                <w:lang w:eastAsia="zh-CN"/>
              </w:rPr>
            </w:pPr>
            <w:r>
              <w:t>Study Protocol Amendments (No.02)</w:t>
            </w:r>
          </w:p>
        </w:tc>
        <w:tc>
          <w:tcPr>
            <w:tcW w:w="1541" w:type="pct"/>
          </w:tcPr>
          <w:p w14:paraId="469FA9DA" w14:textId="77777777" w:rsidR="00832876" w:rsidRPr="00832876" w:rsidRDefault="00832876" w:rsidP="00832876">
            <w:pPr>
              <w:spacing w:line="360" w:lineRule="auto"/>
              <w:jc w:val="center"/>
              <w:rPr>
                <w:lang w:eastAsia="zh-CN"/>
              </w:rPr>
            </w:pPr>
            <w:r w:rsidRPr="00832876">
              <w:rPr>
                <w:rFonts w:hint="eastAsia"/>
                <w:lang w:eastAsia="zh-CN"/>
              </w:rPr>
              <w:t>2018-12-25</w:t>
            </w:r>
          </w:p>
        </w:tc>
        <w:tc>
          <w:tcPr>
            <w:tcW w:w="1839" w:type="pct"/>
          </w:tcPr>
          <w:p w14:paraId="7643E8D6" w14:textId="77777777" w:rsidR="00832876" w:rsidRPr="00832876" w:rsidRDefault="00832876" w:rsidP="00832876">
            <w:pPr>
              <w:spacing w:line="360" w:lineRule="auto"/>
              <w:jc w:val="center"/>
              <w:rPr>
                <w:lang w:eastAsia="zh-CN"/>
              </w:rPr>
            </w:pPr>
            <w:r w:rsidRPr="00832876">
              <w:rPr>
                <w:rFonts w:hint="eastAsia"/>
                <w:lang w:eastAsia="zh-CN"/>
              </w:rPr>
              <w:t>2018-12-25</w:t>
            </w:r>
          </w:p>
        </w:tc>
      </w:tr>
      <w:tr w:rsidR="00832876" w:rsidRPr="00832876" w14:paraId="0502A352" w14:textId="77777777" w:rsidTr="00EC0F71">
        <w:trPr>
          <w:trHeight w:val="70"/>
          <w:jc w:val="center"/>
        </w:trPr>
        <w:tc>
          <w:tcPr>
            <w:tcW w:w="1620" w:type="pct"/>
            <w:vAlign w:val="center"/>
          </w:tcPr>
          <w:p w14:paraId="3DB2CD10" w14:textId="77777777" w:rsidR="00832876" w:rsidRPr="00832876" w:rsidRDefault="00832876" w:rsidP="00832876">
            <w:pPr>
              <w:widowControl w:val="0"/>
              <w:spacing w:line="360" w:lineRule="auto"/>
              <w:jc w:val="center"/>
              <w:rPr>
                <w:lang w:eastAsia="zh-CN"/>
              </w:rPr>
            </w:pPr>
            <w:r>
              <w:t>anatomy</w:t>
            </w:r>
          </w:p>
        </w:tc>
        <w:tc>
          <w:tcPr>
            <w:tcW w:w="1541" w:type="pct"/>
          </w:tcPr>
          <w:p w14:paraId="0F71AED7" w14:textId="77777777" w:rsidR="00832876" w:rsidRPr="00832876" w:rsidRDefault="00832876" w:rsidP="00832876">
            <w:pPr>
              <w:spacing w:line="360" w:lineRule="auto"/>
              <w:jc w:val="center"/>
              <w:rPr>
                <w:kern w:val="2"/>
                <w:lang w:eastAsia="zh-CN"/>
              </w:rPr>
            </w:pPr>
            <w:r w:rsidRPr="00832876">
              <w:rPr>
                <w:rFonts w:hint="eastAsia"/>
                <w:kern w:val="2"/>
                <w:lang w:eastAsia="zh-CN"/>
              </w:rPr>
              <w:t>2018-12-28</w:t>
            </w:r>
          </w:p>
        </w:tc>
        <w:tc>
          <w:tcPr>
            <w:tcW w:w="1839" w:type="pct"/>
          </w:tcPr>
          <w:p w14:paraId="174D2149" w14:textId="77777777" w:rsidR="00832876" w:rsidRPr="00832876" w:rsidRDefault="00832876" w:rsidP="00832876">
            <w:pPr>
              <w:spacing w:line="360" w:lineRule="auto"/>
              <w:jc w:val="center"/>
              <w:rPr>
                <w:kern w:val="2"/>
                <w:lang w:eastAsia="zh-CN"/>
              </w:rPr>
            </w:pPr>
            <w:r w:rsidRPr="00832876">
              <w:rPr>
                <w:rFonts w:hint="eastAsia"/>
                <w:kern w:val="2"/>
                <w:lang w:eastAsia="zh-CN"/>
              </w:rPr>
              <w:t>2018-12-28</w:t>
            </w:r>
          </w:p>
        </w:tc>
      </w:tr>
      <w:tr w:rsidR="00832876" w:rsidRPr="00832876" w14:paraId="1B1A6C53" w14:textId="77777777" w:rsidTr="00EC0F71">
        <w:trPr>
          <w:trHeight w:val="341"/>
          <w:jc w:val="center"/>
        </w:trPr>
        <w:tc>
          <w:tcPr>
            <w:tcW w:w="1620" w:type="pct"/>
            <w:vAlign w:val="center"/>
          </w:tcPr>
          <w:p w14:paraId="5140444C" w14:textId="77777777" w:rsidR="00832876" w:rsidRPr="00832876" w:rsidRDefault="00832876" w:rsidP="00832876">
            <w:pPr>
              <w:widowControl w:val="0"/>
              <w:spacing w:line="360" w:lineRule="auto"/>
              <w:jc w:val="center"/>
              <w:rPr>
                <w:lang w:eastAsia="zh-CN"/>
              </w:rPr>
            </w:pPr>
            <w:r>
              <w:t>organ weighing</w:t>
            </w:r>
          </w:p>
        </w:tc>
        <w:tc>
          <w:tcPr>
            <w:tcW w:w="1541" w:type="pct"/>
          </w:tcPr>
          <w:p w14:paraId="29890AB3" w14:textId="77777777" w:rsidR="00832876" w:rsidRPr="00832876" w:rsidRDefault="00832876" w:rsidP="00832876">
            <w:pPr>
              <w:spacing w:line="360" w:lineRule="auto"/>
              <w:jc w:val="center"/>
              <w:rPr>
                <w:kern w:val="2"/>
                <w:lang w:eastAsia="zh-CN"/>
              </w:rPr>
            </w:pPr>
            <w:r w:rsidRPr="00832876">
              <w:rPr>
                <w:rFonts w:hint="eastAsia"/>
                <w:kern w:val="2"/>
                <w:lang w:eastAsia="zh-CN"/>
              </w:rPr>
              <w:t>2018-12-28</w:t>
            </w:r>
          </w:p>
        </w:tc>
        <w:tc>
          <w:tcPr>
            <w:tcW w:w="1839" w:type="pct"/>
          </w:tcPr>
          <w:p w14:paraId="096C4EDF" w14:textId="77777777" w:rsidR="00832876" w:rsidRPr="00832876" w:rsidRDefault="00832876" w:rsidP="00832876">
            <w:pPr>
              <w:spacing w:line="360" w:lineRule="auto"/>
              <w:jc w:val="center"/>
              <w:rPr>
                <w:kern w:val="2"/>
                <w:lang w:eastAsia="zh-CN"/>
              </w:rPr>
            </w:pPr>
            <w:r w:rsidRPr="00832876">
              <w:rPr>
                <w:rFonts w:hint="eastAsia"/>
                <w:kern w:val="2"/>
                <w:lang w:eastAsia="zh-CN"/>
              </w:rPr>
              <w:t>2018-12-28</w:t>
            </w:r>
          </w:p>
        </w:tc>
      </w:tr>
      <w:tr w:rsidR="00832876" w:rsidRPr="00832876" w14:paraId="19700088" w14:textId="77777777" w:rsidTr="00EC0F71">
        <w:trPr>
          <w:trHeight w:val="70"/>
          <w:jc w:val="center"/>
        </w:trPr>
        <w:tc>
          <w:tcPr>
            <w:tcW w:w="1620" w:type="pct"/>
            <w:vAlign w:val="center"/>
          </w:tcPr>
          <w:p w14:paraId="5FBA5F2D" w14:textId="77777777" w:rsidR="00832876" w:rsidRPr="00832876" w:rsidRDefault="00832876" w:rsidP="00832876">
            <w:pPr>
              <w:widowControl w:val="0"/>
              <w:spacing w:line="360" w:lineRule="auto"/>
              <w:jc w:val="center"/>
              <w:rPr>
                <w:lang w:eastAsia="zh-CN"/>
              </w:rPr>
            </w:pPr>
            <w:r>
              <w:t>original data</w:t>
            </w:r>
          </w:p>
        </w:tc>
        <w:tc>
          <w:tcPr>
            <w:tcW w:w="1541" w:type="pct"/>
          </w:tcPr>
          <w:p w14:paraId="0BE235F1" w14:textId="77777777" w:rsidR="00832876" w:rsidRPr="00832876" w:rsidRDefault="00832876" w:rsidP="00832876">
            <w:pPr>
              <w:spacing w:line="360" w:lineRule="auto"/>
              <w:jc w:val="center"/>
              <w:rPr>
                <w:kern w:val="2"/>
                <w:lang w:eastAsia="zh-CN"/>
              </w:rPr>
            </w:pPr>
            <w:r w:rsidRPr="00832876">
              <w:rPr>
                <w:rFonts w:hint="eastAsia"/>
                <w:lang w:eastAsia="zh-CN"/>
              </w:rPr>
              <w:t>2019-01-17~2019-01-18</w:t>
            </w:r>
          </w:p>
        </w:tc>
        <w:tc>
          <w:tcPr>
            <w:tcW w:w="1839" w:type="pct"/>
          </w:tcPr>
          <w:p w14:paraId="003C03F2" w14:textId="77777777" w:rsidR="00832876" w:rsidRPr="00832876" w:rsidRDefault="00832876" w:rsidP="00832876">
            <w:pPr>
              <w:spacing w:line="360" w:lineRule="auto"/>
              <w:jc w:val="center"/>
              <w:rPr>
                <w:kern w:val="2"/>
                <w:lang w:eastAsia="zh-CN"/>
              </w:rPr>
            </w:pPr>
            <w:r w:rsidRPr="00832876">
              <w:rPr>
                <w:rFonts w:hint="eastAsia"/>
                <w:lang w:eastAsia="zh-CN"/>
              </w:rPr>
              <w:t>2019-01-18</w:t>
            </w:r>
          </w:p>
        </w:tc>
      </w:tr>
      <w:tr w:rsidR="00832876" w:rsidRPr="00832876" w14:paraId="28200F73" w14:textId="77777777" w:rsidTr="00EC0F71">
        <w:trPr>
          <w:trHeight w:val="70"/>
          <w:jc w:val="center"/>
        </w:trPr>
        <w:tc>
          <w:tcPr>
            <w:tcW w:w="1620" w:type="pct"/>
            <w:vAlign w:val="center"/>
          </w:tcPr>
          <w:p w14:paraId="78D11BEC" w14:textId="77777777" w:rsidR="00832876" w:rsidRPr="00832876" w:rsidRDefault="00832876" w:rsidP="00832876">
            <w:pPr>
              <w:widowControl w:val="0"/>
              <w:spacing w:line="360" w:lineRule="auto"/>
              <w:jc w:val="center"/>
              <w:rPr>
                <w:lang w:eastAsia="zh-CN"/>
              </w:rPr>
            </w:pPr>
            <w:r>
              <w:t>final report</w:t>
            </w:r>
          </w:p>
        </w:tc>
        <w:tc>
          <w:tcPr>
            <w:tcW w:w="1541" w:type="pct"/>
          </w:tcPr>
          <w:p w14:paraId="092935FD" w14:textId="77777777" w:rsidR="00832876" w:rsidRPr="00832876" w:rsidRDefault="00832876" w:rsidP="00832876">
            <w:pPr>
              <w:spacing w:line="360" w:lineRule="auto"/>
              <w:jc w:val="center"/>
              <w:rPr>
                <w:kern w:val="2"/>
                <w:lang w:eastAsia="zh-CN"/>
              </w:rPr>
            </w:pPr>
            <w:r w:rsidRPr="00832876">
              <w:rPr>
                <w:rFonts w:hint="eastAsia"/>
                <w:lang w:eastAsia="zh-CN"/>
              </w:rPr>
              <w:t>2019-01-18</w:t>
            </w:r>
          </w:p>
        </w:tc>
        <w:tc>
          <w:tcPr>
            <w:tcW w:w="1839" w:type="pct"/>
          </w:tcPr>
          <w:p w14:paraId="0D08DD57" w14:textId="77777777" w:rsidR="00832876" w:rsidRPr="00832876" w:rsidRDefault="00832876" w:rsidP="00832876">
            <w:pPr>
              <w:spacing w:line="360" w:lineRule="auto"/>
              <w:jc w:val="center"/>
              <w:rPr>
                <w:kern w:val="2"/>
                <w:lang w:eastAsia="zh-CN"/>
              </w:rPr>
            </w:pPr>
            <w:r w:rsidRPr="00832876">
              <w:rPr>
                <w:rFonts w:hint="eastAsia"/>
                <w:lang w:eastAsia="zh-CN"/>
              </w:rPr>
              <w:t>2019-01-18</w:t>
            </w:r>
          </w:p>
        </w:tc>
      </w:tr>
    </w:tbl>
    <w:p w14:paraId="70FD7522" w14:textId="77777777" w:rsidR="00F41D01" w:rsidRDefault="00832876">
      <w:pPr>
        <w:spacing w:line="360" w:lineRule="auto"/>
        <w:jc w:val="both"/>
        <w:rPr>
          <w:lang w:eastAsia="zh-CN"/>
        </w:rPr>
      </w:pPr>
      <w:r>
        <w:t>In addition, the quality assurance department will follow SOPs to implement quarterly process inspections and annual organizational inspections.</w:t>
      </w:r>
    </w:p>
    <w:p w14:paraId="468388B2" w14:textId="77777777" w:rsidR="00F41D01" w:rsidRDefault="00F41D01">
      <w:pPr>
        <w:spacing w:line="360" w:lineRule="auto"/>
        <w:rPr>
          <w:b/>
          <w:color w:val="000000"/>
          <w:sz w:val="28"/>
          <w:szCs w:val="20"/>
          <w:lang w:eastAsia="zh-CN"/>
        </w:rPr>
      </w:pPr>
      <w:r>
        <w:t>QA: He Yan</w:t>
      </w:r>
    </w:p>
    <w:p w14:paraId="3F1FEB82" w14:textId="77777777" w:rsidR="00F41D01" w:rsidRDefault="00F41D01">
      <w:pPr>
        <w:spacing w:line="360" w:lineRule="auto"/>
        <w:rPr>
          <w:color w:val="000000"/>
          <w:lang w:eastAsia="zh-CN"/>
        </w:rPr>
      </w:pPr>
      <w:r>
        <w:t>Signature：                              Date ：</w:t>
      </w:r>
    </w:p>
    <w:p w14:paraId="469AA1B5" w14:textId="77777777" w:rsidR="007510C0" w:rsidRDefault="007510C0" w:rsidP="000F07A1">
      <w:pPr>
        <w:pStyle w:val="10"/>
        <w:spacing w:before="0" w:after="0" w:line="360" w:lineRule="auto"/>
        <w:ind w:firstLineChars="1900" w:firstLine="4006"/>
        <w:outlineLvl w:val="0"/>
        <w:rPr>
          <w:rFonts w:ascii="Times New Roman" w:hAnsi="Times New Roman"/>
          <w:sz w:val="21"/>
          <w:szCs w:val="21"/>
          <w:lang w:eastAsia="zh-CN"/>
        </w:rPr>
        <w:sectPr w:rsidR="007510C0">
          <w:headerReference w:type="first" r:id="rId13"/>
          <w:pgSz w:w="11907" w:h="16840"/>
          <w:pgMar w:top="1440" w:right="1803" w:bottom="1440" w:left="1803" w:header="482" w:footer="851" w:gutter="0"/>
          <w:cols w:space="720"/>
          <w:titlePg/>
          <w:docGrid w:linePitch="360"/>
        </w:sectPr>
      </w:pPr>
    </w:p>
    <w:p w14:paraId="353A8189" w14:textId="77777777" w:rsidR="00F41D01" w:rsidRPr="00632E01" w:rsidRDefault="00F41D01" w:rsidP="00632E01">
      <w:pPr>
        <w:pStyle w:val="10"/>
        <w:spacing w:before="0" w:after="0" w:line="360" w:lineRule="auto"/>
        <w:ind w:firstLineChars="1900" w:firstLine="4006"/>
        <w:outlineLvl w:val="0"/>
        <w:rPr>
          <w:rFonts w:ascii="Times New Roman" w:hAnsi="Times New Roman"/>
          <w:sz w:val="21"/>
          <w:szCs w:val="21"/>
          <w:lang w:eastAsia="zh-CN"/>
        </w:rPr>
      </w:pPr>
      <w:r>
        <w:t>Contents</w:t>
      </w:r>
    </w:p>
    <w:p w14:paraId="20882403" w14:textId="77777777" w:rsidR="00632E01" w:rsidRPr="00C659E8" w:rsidRDefault="00F41D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r>
        <w:t>Signature Page</w:t>
        <w:tab/>
        <w:t>2</w:t>
      </w:r>
    </w:p>
    <w:p w14:paraId="21DA4642" w14:textId="77777777" w:rsidR="00632E01" w:rsidRPr="00C659E8" w:rsidRDefault="00632E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r>
        <w:t>Statement of GLP Compliance</w:t>
        <w:tab/>
        <w:t>3</w:t>
      </w:r>
    </w:p>
    <w:p w14:paraId="4DC60A2C" w14:textId="77777777" w:rsidR="00632E01" w:rsidRPr="00C659E8" w:rsidRDefault="00632E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r>
        <w:t>QA Statement</w:t>
        <w:tab/>
        <w:t>4</w:t>
      </w:r>
    </w:p>
    <w:p w14:paraId="41811CAA" w14:textId="77777777" w:rsidR="00632E01" w:rsidRPr="00C659E8" w:rsidRDefault="00632E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r>
        <w:t>Contents</w:t>
        <w:tab/>
        <w:t>5</w:t>
      </w:r>
    </w:p>
    <w:p w14:paraId="11358811" w14:textId="77777777" w:rsidR="00632E01" w:rsidRPr="00C659E8" w:rsidRDefault="00632E01" w:rsidP="00632E01">
      <w:pPr>
        <w:pStyle w:val="10"/>
        <w:tabs>
          <w:tab w:val="right" w:leader="dot" w:pos="8297"/>
        </w:tabs>
        <w:spacing w:before="0" w:after="0" w:line="360" w:lineRule="auto"/>
        <w:rPr>
          <w:rFonts w:ascii="Times New Roman" w:hAnsi="Times New Roman"/>
          <w:b w:val="0"/>
          <w:bCs w:val="0"/>
          <w:caps w:val="0"/>
          <w:noProof/>
          <w:kern w:val="2"/>
          <w:sz w:val="21"/>
          <w:szCs w:val="21"/>
          <w:lang w:eastAsia="zh-CN"/>
        </w:rPr>
      </w:pPr>
      <w:r>
        <w:t>Summary</w:t>
        <w:tab/>
        <w:t>8</w:t>
      </w:r>
    </w:p>
    <w:p w14:paraId="4DB1B3A4"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1.</w:t>
        <w:tab/>
        <w:t>General Information</w:t>
        <w:tab/>
        <w:t>10</w:t>
      </w:r>
    </w:p>
    <w:p w14:paraId="35456EA6"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1.1.</w:t>
        <w:tab/>
        <w:t>Study Title and Number</w:t>
        <w:tab/>
        <w:t>10</w:t>
      </w:r>
    </w:p>
    <w:p w14:paraId="43B2A880"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1.2.</w:t>
        <w:tab/>
        <w:t>Study Objective</w:t>
        <w:tab/>
        <w:t>10</w:t>
      </w:r>
    </w:p>
    <w:p w14:paraId="37F71A4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1.3.</w:t>
        <w:tab/>
        <w:t>Research Institution</w:t>
        <w:tab/>
        <w:t>10</w:t>
      </w:r>
    </w:p>
    <w:p w14:paraId="1DB8FA1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1.4.</w:t>
        <w:tab/>
        <w:t>Sponsor</w:t>
        <w:tab/>
        <w:t>10</w:t>
      </w:r>
    </w:p>
    <w:p w14:paraId="5C5E9FA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1.5.</w:t>
        <w:tab/>
        <w:t>Study Personnel Composition</w:t>
        <w:tab/>
        <w:t>10</w:t>
      </w:r>
    </w:p>
    <w:p w14:paraId="351F304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1.6.</w:t>
        <w:tab/>
        <w:t>Quality assurance personnel</w:t>
        <w:tab/>
        <w:t>11</w:t>
      </w:r>
    </w:p>
    <w:p w14:paraId="088B8AC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1.7.</w:t>
        <w:tab/>
        <w:t>Regulations and Technical Guidelines</w:t>
        <w:tab/>
        <w:t>11</w:t>
      </w:r>
    </w:p>
    <w:p w14:paraId="6C58BC1A"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1.8.</w:t>
        <w:tab/>
        <w:t>Quality Assurance</w:t>
        <w:tab/>
        <w:t>12</w:t>
      </w:r>
    </w:p>
    <w:p w14:paraId="2335254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1.9.</w:t>
        <w:tab/>
        <w:t>Assay schedule</w:t>
        <w:tab/>
        <w:t>12</w:t>
      </w:r>
    </w:p>
    <w:p w14:paraId="48E43477"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2.</w:t>
        <w:tab/>
        <w:t>Study Materials</w:t>
        <w:tab/>
        <w:t>12</w:t>
      </w:r>
    </w:p>
    <w:p w14:paraId="75BD95FD"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2.1.</w:t>
        <w:tab/>
        <w:t>Test article</w:t>
        <w:tab/>
        <w:t>12</w:t>
      </w:r>
    </w:p>
    <w:p w14:paraId="0530062C"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2.2.</w:t>
        <w:tab/>
        <w:t>Positive Control</w:t>
        <w:tab/>
        <w:t>13</w:t>
      </w:r>
    </w:p>
    <w:p w14:paraId="1E6971D2"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2.3.</w:t>
        <w:tab/>
        <w:t>Vehicle</w:t>
        <w:tab/>
        <w:t>14</w:t>
      </w:r>
    </w:p>
    <w:p w14:paraId="4E4042BB"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2.4.</w:t>
        <w:tab/>
        <w:t>Dose Formulation Analysis</w:t>
        <w:tab/>
        <w:t>15</w:t>
      </w:r>
    </w:p>
    <w:p w14:paraId="124CD7A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2.5.</w:t>
        <w:tab/>
        <w:t>Operation/Safety measures</w:t>
        <w:tab/>
        <w:t>16</w:t>
      </w:r>
    </w:p>
    <w:p w14:paraId="28FAD63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2.6.</w:t>
        <w:tab/>
        <w:t>Dose formulations transfer within the test facility</w:t>
        <w:tab/>
        <w:t>16</w:t>
      </w:r>
    </w:p>
    <w:p w14:paraId="39F92266"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2.7.</w:t>
        <w:tab/>
        <w:t>Other Major Reagents</w:t>
        <w:tab/>
        <w:t>16</w:t>
      </w:r>
    </w:p>
    <w:p w14:paraId="25A966CB"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2.8.</w:t>
        <w:tab/>
        <w:t>Major Instruments</w:t>
        <w:tab/>
        <w:t>16</w:t>
      </w:r>
    </w:p>
    <w:p w14:paraId="6ED93503"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3.</w:t>
        <w:tab/>
        <w:t>Test System</w:t>
        <w:tab/>
        <w:t>17</w:t>
      </w:r>
    </w:p>
    <w:p w14:paraId="1DD3A7E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3.1.</w:t>
        <w:tab/>
        <w:t>Strain/Line/Grade</w:t>
        <w:tab/>
        <w:t>17</w:t>
      </w:r>
    </w:p>
    <w:p w14:paraId="5BDE2868"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3.2.</w:t>
        <w:tab/>
        <w:t>Sex and Number</w:t>
        <w:tab/>
        <w:t>17</w:t>
      </w:r>
    </w:p>
    <w:p w14:paraId="74C0FA8A"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3.3.</w:t>
        <w:tab/>
        <w:t>source</w:t>
        <w:tab/>
        <w:t>17</w:t>
      </w:r>
    </w:p>
    <w:p w14:paraId="2A587B6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3.4.</w:t>
        <w:tab/>
        <w:t>Body Weight and Age</w:t>
        <w:tab/>
        <w:t>17</w:t>
      </w:r>
    </w:p>
    <w:p w14:paraId="1F827D87"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3.5.</w:t>
        <w:tab/>
        <w:t>Animal Identification</w:t>
        <w:tab/>
        <w:t>17</w:t>
      </w:r>
    </w:p>
    <w:p w14:paraId="6C16617B"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3.6.</w:t>
        <w:tab/>
        <w:t>selection and number of laboratory animals</w:t>
        <w:tab/>
        <w:t>17</w:t>
      </w:r>
    </w:p>
    <w:p w14:paraId="31A6A9CA"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4.</w:t>
        <w:tab/>
        <w:t>Animal Housing and Management</w:t>
        <w:tab/>
        <w:t>18</w:t>
      </w:r>
    </w:p>
    <w:p w14:paraId="61CC78D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4.1.</w:t>
        <w:tab/>
        <w:t>Animal Management and Use</w:t>
        <w:tab/>
        <w:t>18</w:t>
      </w:r>
    </w:p>
    <w:p w14:paraId="7C446408"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4.2.</w:t>
        <w:tab/>
        <w:t>Animal Receipt and Acclimation</w:t>
        <w:tab/>
        <w:t>18</w:t>
      </w:r>
    </w:p>
    <w:p w14:paraId="66BE933F"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4.3.</w:t>
        <w:tab/>
        <w:t>Animal Housing</w:t>
        <w:tab/>
        <w:t>18</w:t>
      </w:r>
    </w:p>
    <w:p w14:paraId="3823B9F8"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4.4.</w:t>
        <w:tab/>
        <w:t>Housing Environment</w:t>
        <w:tab/>
        <w:t>18</w:t>
      </w:r>
    </w:p>
    <w:p w14:paraId="4DA2300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4.5.</w:t>
        <w:tab/>
        <w:t>Environmental Enrichment</w:t>
        <w:tab/>
        <w:t>19</w:t>
      </w:r>
    </w:p>
    <w:p w14:paraId="6218E9E2"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4.6.</w:t>
        <w:tab/>
        <w:t>Feed</w:t>
        <w:tab/>
        <w:t>19</w:t>
      </w:r>
    </w:p>
    <w:p w14:paraId="70D17A8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4.7.</w:t>
        <w:tab/>
        <w:t>bedding</w:t>
        <w:tab/>
        <w:t>19</w:t>
      </w:r>
    </w:p>
    <w:p w14:paraId="2F56C824"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4.8.</w:t>
        <w:tab/>
        <w:t>Drinking Water</w:t>
        <w:tab/>
        <w:t>20</w:t>
      </w:r>
    </w:p>
    <w:p w14:paraId="2F48D5FC"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4.9.</w:t>
        <w:tab/>
        <w:t>Animal Selection</w:t>
        <w:tab/>
        <w:t>20</w:t>
      </w:r>
    </w:p>
    <w:p w14:paraId="1845F446"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5.</w:t>
        <w:tab/>
        <w:t>Study design</w:t>
        <w:tab/>
        <w:t>20</w:t>
      </w:r>
    </w:p>
    <w:p w14:paraId="4EB8DF18"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5.1.</w:t>
        <w:tab/>
        <w:t>Dosing Information</w:t>
        <w:tab/>
        <w:t>21</w:t>
      </w:r>
    </w:p>
    <w:p w14:paraId="2553885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5.2.</w:t>
        <w:tab/>
        <w:t>Dose Design Justification</w:t>
        <w:tab/>
        <w:t>21</w:t>
      </w:r>
    </w:p>
    <w:p w14:paraId="10A3402A"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6.</w:t>
        <w:tab/>
        <w:t>Observation and Examination</w:t>
        <w:tab/>
        <w:t>21</w:t>
      </w:r>
    </w:p>
    <w:p w14:paraId="61E13FB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6.1.</w:t>
        <w:tab/>
        <w:t>General state observation</w:t>
        <w:tab/>
        <w:t>21</w:t>
      </w:r>
    </w:p>
    <w:p w14:paraId="1955E24A"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6.2.</w:t>
        <w:tab/>
        <w:t>Body weight</w:t>
        <w:tab/>
        <w:t>22</w:t>
      </w:r>
    </w:p>
    <w:p w14:paraId="0ED6FB11"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6.3.</w:t>
        <w:tab/>
        <w:t>food consumption</w:t>
        <w:tab/>
        <w:t>22</w:t>
      </w:r>
    </w:p>
    <w:p w14:paraId="686A67E8"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7.</w:t>
        <w:tab/>
        <w:t>gross necropsy, organ weighing and histopathological examination</w:t>
        <w:tab/>
        <w:t>22</w:t>
      </w:r>
    </w:p>
    <w:p w14:paraId="552119FA"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7.1.</w:t>
        <w:tab/>
        <w:t>Necropsy Time</w:t>
        <w:tab/>
        <w:t>22</w:t>
      </w:r>
    </w:p>
    <w:p w14:paraId="71EE7ED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7.2.</w:t>
        <w:tab/>
        <w:t>Animal dissection</w:t>
        <w:tab/>
        <w:t>22</w:t>
      </w:r>
    </w:p>
    <w:p w14:paraId="6584AA9C"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7.3.</w:t>
        <w:tab/>
        <w:t>Anesthesia and euthanasia methods</w:t>
        <w:tab/>
        <w:t>22</w:t>
      </w:r>
    </w:p>
    <w:p w14:paraId="2D921EFB"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7.4.</w:t>
        <w:tab/>
        <w:t>Gross necropsy observation</w:t>
        <w:tab/>
        <w:t>22</w:t>
      </w:r>
    </w:p>
    <w:p w14:paraId="59BB43C5"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7.5.</w:t>
        <w:tab/>
        <w:t>Organ Weight</w:t>
        <w:tab/>
        <w:t>23</w:t>
      </w:r>
    </w:p>
    <w:p w14:paraId="0023CC70"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7.6.</w:t>
        <w:tab/>
        <w:t>Tissue fixation, Pathological examination</w:t>
        <w:tab/>
        <w:t>23</w:t>
      </w:r>
    </w:p>
    <w:p w14:paraId="78669F6E"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7.7.</w:t>
        <w:tab/>
        <w:t>Handling of dead animals</w:t>
        <w:tab/>
        <w:t>24</w:t>
      </w:r>
    </w:p>
    <w:p w14:paraId="13FF2864"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8.</w:t>
        <w:tab/>
        <w:t>Data Acquisition and Analysis</w:t>
        <w:tab/>
        <w:t>24</w:t>
      </w:r>
    </w:p>
    <w:p w14:paraId="3EBD35B5"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9.</w:t>
        <w:tab/>
        <w:t>Statistical Analysis</w:t>
        <w:tab/>
        <w:t>24</w:t>
      </w:r>
    </w:p>
    <w:p w14:paraId="7BC22F20"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10.</w:t>
        <w:tab/>
        <w:t>Assay results and discussion</w:t>
        <w:tab/>
        <w:t>25</w:t>
      </w:r>
    </w:p>
    <w:p w14:paraId="6396DEAD"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10.1</w:t>
        <w:tab/>
        <w:t>assay result</w:t>
        <w:tab/>
        <w:t>25</w:t>
      </w:r>
    </w:p>
    <w:p w14:paraId="2DE97D06"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10.2</w:t>
        <w:tab/>
        <w:t>discussion</w:t>
        <w:tab/>
        <w:t>27</w:t>
      </w:r>
    </w:p>
    <w:p w14:paraId="716E116A"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11.</w:t>
        <w:tab/>
        <w:t>Conclusion</w:t>
        <w:tab/>
        <w:t>28</w:t>
      </w:r>
    </w:p>
    <w:p w14:paraId="269EFF3A"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12.</w:t>
        <w:tab/>
        <w:t>Study protocol and amendments, deviations</w:t>
        <w:tab/>
        <w:t>28</w:t>
      </w:r>
    </w:p>
    <w:p w14:paraId="3CB22751"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13.</w:t>
        <w:tab/>
        <w:t>Storage of Data</w:t>
        <w:tab/>
        <w:t>28</w:t>
      </w:r>
    </w:p>
    <w:p w14:paraId="199B20B3"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13.1.</w:t>
        <w:tab/>
        <w:t>Archiving Time</w:t>
        <w:tab/>
        <w:t>28</w:t>
      </w:r>
    </w:p>
    <w:p w14:paraId="6F42376F"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13.2.</w:t>
        <w:tab/>
        <w:t>Storage Location and Storage Conditions</w:t>
        <w:tab/>
        <w:t>29</w:t>
      </w:r>
    </w:p>
    <w:p w14:paraId="5A55974E"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14.</w:t>
        <w:tab/>
        <w:t>main reference documents</w:t>
        <w:tab/>
        <w:t>29</w:t>
      </w:r>
    </w:p>
    <w:p w14:paraId="209A8073" w14:textId="77777777" w:rsidR="00632E01" w:rsidRPr="00C659E8" w:rsidRDefault="00632E01" w:rsidP="00632E01">
      <w:pPr>
        <w:pStyle w:val="10"/>
        <w:tabs>
          <w:tab w:val="left" w:pos="480"/>
          <w:tab w:val="right" w:leader="dot" w:pos="8297"/>
        </w:tabs>
        <w:spacing w:before="0" w:after="0" w:line="360" w:lineRule="auto"/>
        <w:rPr>
          <w:rFonts w:ascii="Times New Roman" w:hAnsi="Times New Roman"/>
          <w:b w:val="0"/>
          <w:bCs w:val="0"/>
          <w:caps w:val="0"/>
          <w:noProof/>
          <w:kern w:val="2"/>
          <w:sz w:val="21"/>
          <w:szCs w:val="21"/>
          <w:lang w:eastAsia="zh-CN"/>
        </w:rPr>
      </w:pPr>
      <w:r>
        <w:t>15.</w:t>
        <w:tab/>
        <w:t>Appendixes</w:t>
        <w:tab/>
        <w:t>29</w:t>
      </w:r>
    </w:p>
    <w:p w14:paraId="623E91F1"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15.1.</w:t>
        <w:tab/>
        <w:t>Appendix One: Dose Formulation Analysis Report</w:t>
        <w:tab/>
        <w:t>30</w:t>
      </w:r>
    </w:p>
    <w:p w14:paraId="1571C66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15.2.</w:t>
        <w:tab/>
        <w:t>Appendix 2: Assay Results Statistical Summary</w:t>
        <w:tab/>
        <w:t>31</w:t>
      </w:r>
    </w:p>
    <w:p w14:paraId="48D56749"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15.3.</w:t>
        <w:tab/>
        <w:t>Appendix III: assay result individual data</w:t>
        <w:tab/>
        <w:t>32</w:t>
      </w:r>
    </w:p>
    <w:p w14:paraId="3DE83DC0"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15.4.</w:t>
        <w:tab/>
        <w:t>Appendix Four: Pathology Examination Report</w:t>
        <w:tab/>
        <w:t>33</w:t>
      </w:r>
    </w:p>
    <w:p w14:paraId="1195CD9D"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15.5.</w:t>
        <w:tab/>
        <w:t>Appendix Five: Study protocol and amendments</w:t>
        <w:tab/>
        <w:t>34</w:t>
      </w:r>
    </w:p>
    <w:p w14:paraId="3AFDB1DD" w14:textId="77777777" w:rsidR="00632E01" w:rsidRPr="00C659E8" w:rsidRDefault="00632E01" w:rsidP="00632E01">
      <w:pPr>
        <w:pStyle w:val="20"/>
        <w:tabs>
          <w:tab w:val="left" w:pos="960"/>
          <w:tab w:val="right" w:leader="dot" w:pos="8297"/>
        </w:tabs>
        <w:spacing w:line="360" w:lineRule="auto"/>
        <w:rPr>
          <w:rFonts w:ascii="Times New Roman" w:hAnsi="Times New Roman"/>
          <w:smallCaps w:val="0"/>
          <w:noProof/>
          <w:kern w:val="2"/>
          <w:sz w:val="21"/>
          <w:szCs w:val="21"/>
          <w:lang w:eastAsia="zh-CN"/>
        </w:rPr>
      </w:pPr>
      <w:r>
        <w:t>15.6.</w:t>
        <w:tab/>
        <w:t>Appendix Six: Temperature and Humidity Report</w:t>
        <w:tab/>
        <w:t>35</w:t>
      </w:r>
    </w:p>
    <w:p w14:paraId="319D3D1C" w14:textId="77777777" w:rsidR="00F41D01" w:rsidRDefault="00F41D01" w:rsidP="00632E01">
      <w:pPr>
        <w:widowControl w:val="0"/>
        <w:kinsoku w:val="0"/>
        <w:overflowPunct w:val="0"/>
        <w:autoSpaceDE w:val="0"/>
        <w:autoSpaceDN w:val="0"/>
        <w:spacing w:line="360" w:lineRule="auto"/>
        <w:jc w:val="center"/>
        <w:outlineLvl w:val="0"/>
        <w:rPr>
          <w:rFonts w:hint="eastAsia"/>
          <w:b/>
          <w:sz w:val="32"/>
          <w:szCs w:val="32"/>
          <w:lang w:eastAsia="zh-CN"/>
        </w:rPr>
      </w:pPr>
      <w:r>
        <w:t>Summary</w:t>
      </w:r>
    </w:p>
    <w:p w14:paraId="783E1C22" w14:textId="77777777" w:rsidR="00F41D01" w:rsidRDefault="00F41D01" w:rsidP="003B44FE">
      <w:pPr>
        <w:spacing w:line="360" w:lineRule="auto"/>
        <w:ind w:firstLineChars="200" w:firstLine="482"/>
        <w:jc w:val="both"/>
        <w:rPr>
          <w:lang w:eastAsia="zh-CN"/>
        </w:rPr>
      </w:pPr>
      <w:r>
        <w:t>Objective: Observe for 14 days after a single oral gavage of sbk002 and chloroform (clo) raw material to ICR mice, to investigate the nature, extent, and reversibility of potential toxic reactions caused by the test article, preliminarily determining the target organ or target tissue toxicity, providing a reference for future clinical study designs and safe drug administration.</w:t>
      </w:r>
    </w:p>
    <w:p w14:paraId="01CA30B4" w14:textId="77777777" w:rsidR="00F41D01" w:rsidRDefault="00F41D01" w:rsidP="001651D1">
      <w:pPr>
        <w:pStyle w:val="30"/>
        <w:ind w:firstLine="482"/>
        <w:rPr>
          <w:rFonts w:hint="eastAsia"/>
          <w:kern w:val="0"/>
          <w:szCs w:val="28"/>
          <w:lang w:val="en-US" w:eastAsia="zh-CN"/>
        </w:rPr>
      </w:pPr>
      <w:r>
        <w:t>Method: The assay consists of 3 groups, namely the vehicle control group, sbk002 dose group, and clo dose group, with 20 mice in each group, half male and half female. The sbk002 dose group and clo dose group each received a single oral gavage dose of 5000 mg/kg of sbk002 and clo, respectively; observation continued for 14 days post-dosing. The vehicle control group received an equivalent volume of vehicle. The dosing day is defined as dosing phase day 1 (D1).</w:t>
      </w:r>
    </w:p>
    <w:p w14:paraId="44BB0FAE" w14:textId="77777777" w:rsidR="00F41D01" w:rsidRDefault="00F41D01" w:rsidP="00217133">
      <w:pPr>
        <w:spacing w:line="360" w:lineRule="auto"/>
        <w:ind w:firstLineChars="200" w:firstLine="480"/>
        <w:jc w:val="both"/>
        <w:rPr>
          <w:lang w:eastAsia="zh-CN"/>
        </w:rPr>
      </w:pPr>
      <w:r>
        <w:t>Symptoms observed and testing indicators include: (1) General condition: observation of general performance, behavioral status, eyes, oral cavity, muzzle, ears, hair and skin, feces, urine, genitalia, death and other toxic symptoms; (2) Body weight; (3) Food consumption; (4) Gross necropsy, organ weighing, and histopathological examination: gross observation of any remarkable findings in organs, weighing and recording the absolute weight of tissues/organs, calculating organ-to-body and organ-to-brain ratios, and performing histopathological examination on tissues/organs with abnormal findings from the gross necropsy observations.</w:t>
      </w:r>
    </w:p>
    <w:p w14:paraId="57555915" w14:textId="77777777" w:rsidR="00F41D01" w:rsidRPr="00F416F3" w:rsidRDefault="00F41D01" w:rsidP="003B44FE">
      <w:pPr>
        <w:widowControl w:val="0"/>
        <w:spacing w:line="360" w:lineRule="auto"/>
        <w:ind w:firstLineChars="200" w:firstLine="482"/>
        <w:jc w:val="both"/>
        <w:rPr>
          <w:b/>
          <w:kern w:val="2"/>
          <w:lang w:eastAsia="zh-CN"/>
        </w:rPr>
      </w:pPr>
      <w:r>
        <w:t>result:</w:t>
      </w:r>
    </w:p>
    <w:p w14:paraId="0047676E" w14:textId="77777777" w:rsidR="002948C7" w:rsidRDefault="00DA4851" w:rsidP="002948C7">
      <w:pPr>
        <w:widowControl w:val="0"/>
        <w:numPr>
          <w:ilvl w:val="0"/>
          <w:numId w:val="8"/>
        </w:numPr>
        <w:spacing w:line="360" w:lineRule="auto"/>
        <w:jc w:val="both"/>
        <w:rPr>
          <w:rFonts w:hint="eastAsia"/>
          <w:b/>
          <w:szCs w:val="28"/>
          <w:lang w:eastAsia="zh-CN"/>
        </w:rPr>
      </w:pPr>
      <w:r>
        <w:t>General status observation</w:t>
      </w:r>
    </w:p>
    <w:p w14:paraId="4E57908C" w14:textId="77777777" w:rsidR="002948C7" w:rsidRPr="002948C7" w:rsidRDefault="009B3733" w:rsidP="002948C7">
      <w:pPr>
        <w:widowControl w:val="0"/>
        <w:kinsoku w:val="0"/>
        <w:overflowPunct w:val="0"/>
        <w:autoSpaceDE w:val="0"/>
        <w:autoSpaceDN w:val="0"/>
        <w:spacing w:line="360" w:lineRule="auto"/>
        <w:ind w:firstLineChars="200" w:firstLine="480"/>
        <w:jc w:val="both"/>
        <w:rPr>
          <w:color w:val="FF0000"/>
          <w:lang w:eastAsia="zh-CN"/>
        </w:rPr>
      </w:pPr>
      <w:r>
        <w:t>Under the assay conditions, ICR mice were separately given a single gavage dose of sbk002 and clo, with dosages of 5000 mg/kg, followed by continuous observation for 14 days after dosing. The laboratory animals in the vehicle control group and sbk002 dose group survived until the scheduled necropsy, and no treatment-related abnormalities were observed. On D1 after dosing, male animals in the clo dose group exhibited different extents of lying down, decreased activity, balance disorders, accelerated/depressed respiration, lethargy, convulsions, unstable gait, and other symptoms. Except for female animal 3F009, other female animals showed different extents of salivation, lying down, decreased activity, accelerated respiration, lethargy, convulsions, unstable gait, balance disorders, muscle spasms, and arched back symptoms. On D2, female animals 3F001 and 3F008 in the clo dose group still exhibited symptoms such as low body temperature, lying down, decreased activity, balance disorders, and trembling. Between D1 and D3, a total of 19 out of 20 animals (10 males and 9 females) in the clo dose group died.</w:t>
      </w:r>
    </w:p>
    <w:p w14:paraId="10511D6F" w14:textId="77777777" w:rsidR="002948C7" w:rsidRDefault="002948C7" w:rsidP="002948C7">
      <w:pPr>
        <w:widowControl w:val="0"/>
        <w:numPr>
          <w:ilvl w:val="0"/>
          <w:numId w:val="8"/>
        </w:numPr>
        <w:spacing w:line="360" w:lineRule="auto"/>
        <w:jc w:val="both"/>
        <w:rPr>
          <w:rFonts w:hint="eastAsia"/>
          <w:b/>
          <w:szCs w:val="28"/>
          <w:lang w:eastAsia="zh-CN"/>
        </w:rPr>
      </w:pPr>
      <w:r>
        <w:t>body weight</w:t>
      </w:r>
    </w:p>
    <w:p w14:paraId="12E2F3A2" w14:textId="77777777" w:rsidR="002948C7" w:rsidRPr="002948C7" w:rsidRDefault="002948C7" w:rsidP="002948C7">
      <w:pPr>
        <w:widowControl w:val="0"/>
        <w:spacing w:line="360" w:lineRule="auto"/>
        <w:ind w:firstLineChars="200" w:firstLine="480"/>
        <w:jc w:val="both"/>
        <w:rPr>
          <w:rFonts w:hint="eastAsia"/>
          <w:color w:val="FF0000"/>
          <w:kern w:val="2"/>
          <w:szCs w:val="20"/>
          <w:lang w:eastAsia="zh-CN"/>
        </w:rPr>
      </w:pPr>
      <w:r>
        <w:t>During the assay period, the body weights of laboratory animals in the vehicle control group and the sbk002 dosage group were within normal fluctuation ranges before and after dosing, with no significant abnormalities related to the test article treatment.</w:t>
      </w:r>
    </w:p>
    <w:p w14:paraId="27A94C32" w14:textId="77777777" w:rsidR="00F41D01" w:rsidRDefault="00DA4851" w:rsidP="002948C7">
      <w:pPr>
        <w:widowControl w:val="0"/>
        <w:numPr>
          <w:ilvl w:val="0"/>
          <w:numId w:val="8"/>
        </w:numPr>
        <w:spacing w:line="360" w:lineRule="auto"/>
        <w:jc w:val="both"/>
        <w:rPr>
          <w:b/>
          <w:szCs w:val="28"/>
          <w:lang w:eastAsia="zh-CN"/>
        </w:rPr>
      </w:pPr>
      <w:r>
        <w:t>food consumption</w:t>
      </w:r>
    </w:p>
    <w:p w14:paraId="24DCD270" w14:textId="77777777" w:rsidR="00F41D01" w:rsidRPr="002948C7" w:rsidRDefault="00F41D01" w:rsidP="004D528F">
      <w:pPr>
        <w:widowControl w:val="0"/>
        <w:spacing w:line="360" w:lineRule="auto"/>
        <w:ind w:firstLineChars="200" w:firstLine="480"/>
        <w:jc w:val="both"/>
        <w:rPr>
          <w:color w:val="FF0000"/>
          <w:kern w:val="2"/>
          <w:lang w:eastAsia="zh-CN"/>
        </w:rPr>
      </w:pPr>
      <w:r>
        <w:t>During the assay period, no significant abnormalities were observed in the food consumption of the vehicle control group and sbk002 dose group animals before and after dosing related to the test article. However, in the clo dose group, food consumption decreased significantly in surviving animals on D2 post-dosing.</w:t>
      </w:r>
    </w:p>
    <w:p w14:paraId="4681D5F9" w14:textId="77777777" w:rsidR="00F41D01" w:rsidRDefault="00F41D01" w:rsidP="000F07A1">
      <w:pPr>
        <w:spacing w:line="360" w:lineRule="auto"/>
        <w:ind w:firstLineChars="200" w:firstLine="482"/>
        <w:jc w:val="both"/>
        <w:rPr>
          <w:b/>
          <w:kern w:val="2"/>
          <w:lang w:eastAsia="zh-CN"/>
        </w:rPr>
      </w:pPr>
      <w:r>
        <w:t>(2) Gross necropsy, organ weighing and histopathological examination</w:t>
      </w:r>
    </w:p>
    <w:p w14:paraId="7DFA8FA3" w14:textId="77777777" w:rsidR="00F41D01" w:rsidRPr="002948C7" w:rsidRDefault="009B3733" w:rsidP="00217133">
      <w:pPr>
        <w:tabs>
          <w:tab w:val="left" w:pos="6930"/>
        </w:tabs>
        <w:spacing w:line="360" w:lineRule="auto"/>
        <w:ind w:firstLineChars="200" w:firstLine="480"/>
        <w:jc w:val="both"/>
        <w:rPr>
          <w:color w:val="FF0000"/>
          <w:lang w:eastAsia="zh-CN"/>
        </w:rPr>
      </w:pPr>
      <w:r>
        <w:t>Under the conditions of this assay, at D15, compared with the solvent control group, the brain weight of female animals in the sbk002 dosage group decreased, and the weight and organ-to-body ratio of the uterus (including the cervix) decreased, while the lung and main bronchus organ-to-brain ratio of male animals increased. Although the above test results showed some statistically significant differences, they fluctuated within the normal range. Furthermore, no obvious pathological changes were observed during the general necropsy, so these changes are considered to have no toxicological significance. Additionally, there were no statistically significant differences (P&gt;0.05) in the remaining organ weights, organ-to-body ratio, and organ-to-brain ratio calculations between the laboratory animals in the solvent control group and the sbk002 dosage group. No remarkable findings related to the test article treatment were observed. No significant pathological findings were observed in the general necropsy of animals in the sbk002 dosage group. In the clo dosage group, the death animals showed symptoms of lung congestion, stomach necrosis, and pigment deposition in the stomach. The direct cause of death of the animals could not be determined. The deaths of 3F003 and 3M007 could possibly be related to gastrointestinal lesions, while pathological changes in the lungs could be related to post-mortem organ congestion.</w:t>
      </w:r>
    </w:p>
    <w:p w14:paraId="10656CC9" w14:textId="77777777" w:rsidR="00525297" w:rsidRPr="00294EB7" w:rsidRDefault="00F41D01" w:rsidP="000F07A1">
      <w:pPr>
        <w:spacing w:line="360" w:lineRule="auto"/>
        <w:ind w:firstLineChars="200" w:firstLine="482"/>
        <w:jc w:val="both"/>
        <w:rPr>
          <w:color w:val="FF0000"/>
          <w:lang w:eastAsia="zh-CN"/>
        </w:rPr>
      </w:pPr>
      <w:r>
        <w:t>Conclusion: Based on the above, under the conditions of this assay, a single oral gavage administration of sbk002 at a maximum tolerated dose (MTD) of ≥5000 mg/kg in ICR mice showed a median lethal dose (LD50) &lt;5000 mg/kg.</w:t>
      </w:r>
    </w:p>
    <w:p w14:paraId="1E0B0535" w14:textId="77777777" w:rsidR="00F41D01" w:rsidRDefault="00F41D01">
      <w:pPr>
        <w:spacing w:line="360" w:lineRule="auto"/>
        <w:ind w:firstLineChars="200" w:firstLine="480"/>
        <w:jc w:val="both"/>
        <w:rPr>
          <w:lang w:eastAsia="zh-CN"/>
        </w:rPr>
      </w:pPr>
    </w:p>
    <w:p w14:paraId="27D37FD9" w14:textId="77777777" w:rsidR="00F41D01" w:rsidRDefault="00F41D01" w:rsidP="000F07A1">
      <w:pPr>
        <w:pStyle w:val="1"/>
        <w:keepNext w:val="0"/>
        <w:widowControl w:val="0"/>
        <w:numPr>
          <w:ilvl w:val="0"/>
          <w:numId w:val="1"/>
        </w:numPr>
        <w:tabs>
          <w:tab w:val="clear" w:pos="720"/>
        </w:tabs>
        <w:kinsoku w:val="0"/>
        <w:overflowPunct w:val="0"/>
        <w:autoSpaceDE w:val="0"/>
        <w:autoSpaceDN w:val="0"/>
        <w:spacing w:before="0" w:after="0" w:line="360" w:lineRule="auto"/>
        <w:ind w:left="498" w:hangingChars="177" w:hanging="498"/>
        <w:rPr>
          <w:bCs w:val="0"/>
          <w:caps/>
          <w:kern w:val="2"/>
          <w:lang w:eastAsia="zh-CN"/>
        </w:rPr>
      </w:pPr>
      <w:r>
        <w:t>General Information</w:t>
      </w:r>
    </w:p>
    <w:p w14:paraId="77DC6725" w14:textId="77777777" w:rsidR="00F41D01" w:rsidRDefault="00F41D01">
      <w:pPr>
        <w:keepNext/>
        <w:widowControl w:val="0"/>
        <w:numPr>
          <w:ilvl w:val="1"/>
          <w:numId w:val="2"/>
        </w:numPr>
        <w:spacing w:line="360" w:lineRule="auto"/>
        <w:jc w:val="both"/>
        <w:outlineLvl w:val="1"/>
        <w:rPr>
          <w:b/>
          <w:kern w:val="2"/>
          <w:lang w:eastAsia="zh-CN"/>
        </w:rPr>
      </w:pPr>
      <w:r>
        <w:t>Study name and number</w:t>
      </w:r>
    </w:p>
    <w:p w14:paraId="5D6DE2F0" w14:textId="77777777" w:rsidR="00D62E17" w:rsidRDefault="00D62E17" w:rsidP="00D62E17">
      <w:pPr>
        <w:widowControl w:val="0"/>
        <w:spacing w:line="360" w:lineRule="auto"/>
        <w:ind w:firstLineChars="200" w:firstLine="480"/>
        <w:jc w:val="both"/>
        <w:rPr>
          <w:kern w:val="2"/>
          <w:lang w:eastAsia="zh-CN"/>
        </w:rPr>
      </w:pPr>
      <w:r>
        <w:t>Study Name: Single dose toxicity studies of sbk002 and chloroform raw material administered via gavage to ICR mice;</w:t>
      </w:r>
    </w:p>
    <w:p w14:paraId="5BA7EBA0" w14:textId="77777777" w:rsidR="00F41D01" w:rsidRDefault="00D62E17" w:rsidP="00D62E17">
      <w:pPr>
        <w:widowControl w:val="0"/>
        <w:spacing w:line="360" w:lineRule="auto"/>
        <w:ind w:firstLine="480"/>
        <w:jc w:val="both"/>
        <w:rPr>
          <w:kern w:val="2"/>
          <w:szCs w:val="20"/>
          <w:lang w:eastAsia="zh-CN"/>
        </w:rPr>
      </w:pPr>
      <w:r>
        <w:t>study number: A2018030-T001-01.</w:t>
      </w:r>
    </w:p>
    <w:p w14:paraId="54073C2E" w14:textId="77777777" w:rsidR="00F41D01" w:rsidRDefault="00F41D01">
      <w:pPr>
        <w:keepNext/>
        <w:widowControl w:val="0"/>
        <w:numPr>
          <w:ilvl w:val="1"/>
          <w:numId w:val="2"/>
        </w:numPr>
        <w:spacing w:line="360" w:lineRule="auto"/>
        <w:jc w:val="both"/>
        <w:outlineLvl w:val="1"/>
        <w:rPr>
          <w:b/>
          <w:kern w:val="2"/>
          <w:lang w:eastAsia="zh-CN"/>
        </w:rPr>
      </w:pPr>
      <w:r>
        <w:t>Study Objective</w:t>
      </w:r>
    </w:p>
    <w:p w14:paraId="349C8F7F" w14:textId="77777777" w:rsidR="00F41D01" w:rsidRDefault="00C52F08" w:rsidP="00217133">
      <w:pPr>
        <w:spacing w:line="360" w:lineRule="auto"/>
        <w:ind w:firstLineChars="200" w:firstLine="480"/>
        <w:rPr>
          <w:lang w:eastAsia="zh-CN"/>
        </w:rPr>
      </w:pPr>
      <w:r>
        <w:t>ICR mice were given a single oral gavage of sbk002 and phosphoric acid quinine cholecalciferol raw material drug, observed for 14 days, observation of test article may cause toxic reactions in terms of nature, extent and reversibility, initially determining the toxicity target organ or target tissue, providing references for subsequent clinical trial design and safe drug use.</w:t>
      </w:r>
    </w:p>
    <w:p w14:paraId="7539CC5B" w14:textId="77777777" w:rsidR="00F41D01" w:rsidRDefault="00F41D01">
      <w:pPr>
        <w:keepNext/>
        <w:widowControl w:val="0"/>
        <w:numPr>
          <w:ilvl w:val="1"/>
          <w:numId w:val="2"/>
        </w:numPr>
        <w:spacing w:line="360" w:lineRule="auto"/>
        <w:jc w:val="both"/>
        <w:outlineLvl w:val="1"/>
        <w:rPr>
          <w:b/>
          <w:kern w:val="2"/>
          <w:lang w:eastAsia="zh-CN"/>
        </w:rPr>
      </w:pPr>
      <w:r>
        <w:t>Test Facility</w:t>
      </w:r>
    </w:p>
    <w:p w14:paraId="4561BB5D" w14:textId="77777777" w:rsidR="00F41D01" w:rsidRDefault="00F41D01">
      <w:pPr>
        <w:widowControl w:val="0"/>
        <w:spacing w:line="360" w:lineRule="auto"/>
        <w:ind w:firstLineChars="200" w:firstLine="480"/>
        <w:jc w:val="both"/>
        <w:rPr>
          <w:b/>
          <w:kern w:val="2"/>
          <w:szCs w:val="20"/>
          <w:lang w:eastAsia="zh-CN"/>
        </w:rPr>
      </w:pPr>
      <w:r>
        <w:t>name: Suzhou Huace Biological Technology Co., Ltd.;</w:t>
      </w:r>
    </w:p>
    <w:p w14:paraId="515DC5D0" w14:textId="77777777" w:rsidR="00F41D01" w:rsidRDefault="00F41D01">
      <w:pPr>
        <w:widowControl w:val="0"/>
        <w:spacing w:line="360" w:lineRule="auto"/>
        <w:ind w:firstLineChars="200" w:firstLine="480"/>
        <w:jc w:val="both"/>
        <w:rPr>
          <w:bCs/>
          <w:kern w:val="2"/>
          <w:szCs w:val="20"/>
          <w:lang w:eastAsia="zh-CN"/>
        </w:rPr>
      </w:pPr>
      <w:r>
        <w:t>Address: Jiangsu Province, Kunshan City, New &amp; Hi-tech Industrial Development Zone, Yuanfeng Road 166;</w:t>
      </w:r>
    </w:p>
    <w:p w14:paraId="157A8D0A" w14:textId="77777777" w:rsidR="00F41D01" w:rsidRDefault="00F41D01">
      <w:pPr>
        <w:widowControl w:val="0"/>
        <w:spacing w:line="360" w:lineRule="auto"/>
        <w:ind w:firstLine="480"/>
        <w:jc w:val="both"/>
        <w:rPr>
          <w:bCs/>
          <w:kern w:val="2"/>
          <w:szCs w:val="20"/>
          <w:lang w:eastAsia="zh-CN"/>
        </w:rPr>
      </w:pPr>
      <w:r>
        <w:t>Postal Code: 215300;</w:t>
      </w:r>
    </w:p>
    <w:p w14:paraId="19816F42" w14:textId="77777777" w:rsidR="00F41D01" w:rsidRDefault="00F41D01">
      <w:pPr>
        <w:widowControl w:val="0"/>
        <w:spacing w:line="360" w:lineRule="auto"/>
        <w:ind w:firstLineChars="200" w:firstLine="480"/>
        <w:jc w:val="both"/>
        <w:rPr>
          <w:kern w:val="2"/>
          <w:szCs w:val="20"/>
          <w:lang w:eastAsia="zh-CN"/>
        </w:rPr>
      </w:pPr>
      <w:r>
        <w:t>Contact person: Xia Yuye;</w:t>
      </w:r>
    </w:p>
    <w:p w14:paraId="1595FA6A" w14:textId="77777777" w:rsidR="00F41D01" w:rsidRDefault="00F41D01">
      <w:pPr>
        <w:widowControl w:val="0"/>
        <w:spacing w:line="360" w:lineRule="auto"/>
        <w:ind w:firstLineChars="200" w:firstLine="480"/>
        <w:jc w:val="both"/>
        <w:rPr>
          <w:kern w:val="2"/>
          <w:szCs w:val="20"/>
          <w:lang w:eastAsia="zh-CN"/>
        </w:rPr>
      </w:pPr>
      <w:r>
        <w:t>telephone: 0512-36801688;</w:t>
      </w:r>
    </w:p>
    <w:p w14:paraId="35B47A44" w14:textId="77777777" w:rsidR="00F41D01" w:rsidRDefault="00F41D01">
      <w:pPr>
        <w:widowControl w:val="0"/>
        <w:spacing w:line="360" w:lineRule="auto"/>
        <w:ind w:firstLineChars="200" w:firstLine="480"/>
        <w:jc w:val="both"/>
        <w:rPr>
          <w:kern w:val="2"/>
          <w:szCs w:val="20"/>
          <w:lang w:eastAsia="zh-CN"/>
        </w:rPr>
      </w:pPr>
      <w:r>
        <w:t>Fax: 0512-36802288;</w:t>
      </w:r>
    </w:p>
    <w:p w14:paraId="67C360A9" w14:textId="77777777" w:rsidR="00F41D01" w:rsidRDefault="00F41D01">
      <w:pPr>
        <w:widowControl w:val="0"/>
        <w:spacing w:line="360" w:lineRule="auto"/>
        <w:ind w:firstLineChars="200" w:firstLine="480"/>
        <w:jc w:val="both"/>
        <w:rPr>
          <w:bCs/>
          <w:kern w:val="2"/>
          <w:szCs w:val="20"/>
          <w:lang w:eastAsia="zh-CN"/>
        </w:rPr>
      </w:pPr>
      <w:r>
        <w:t>Email: xiayuye@cti-cert.com.</w:t>
      </w:r>
    </w:p>
    <w:p w14:paraId="4D602B0E" w14:textId="77777777" w:rsidR="00F41D01" w:rsidRDefault="00F41D01">
      <w:pPr>
        <w:keepNext/>
        <w:widowControl w:val="0"/>
        <w:numPr>
          <w:ilvl w:val="1"/>
          <w:numId w:val="2"/>
        </w:numPr>
        <w:spacing w:line="360" w:lineRule="auto"/>
        <w:jc w:val="both"/>
        <w:outlineLvl w:val="1"/>
        <w:rPr>
          <w:b/>
          <w:kern w:val="2"/>
          <w:lang w:eastAsia="zh-CN"/>
        </w:rPr>
      </w:pPr>
      <w:r>
        <w:t>Sponsor</w:t>
      </w:r>
    </w:p>
    <w:p w14:paraId="7D6094FE" w14:textId="77777777" w:rsidR="00D62E17" w:rsidRDefault="00F41D01" w:rsidP="00D62E17">
      <w:pPr>
        <w:widowControl w:val="0"/>
        <w:spacing w:line="360" w:lineRule="auto"/>
        <w:ind w:firstLineChars="200" w:firstLine="480"/>
        <w:jc w:val="both"/>
        <w:rPr>
          <w:rFonts w:hint="eastAsia"/>
          <w:kern w:val="2"/>
          <w:lang w:eastAsia="zh-CN"/>
        </w:rPr>
      </w:pPr>
      <w:r>
        <w:t>Name: Chengdu Shibeikang Biotechnology Co., Ltd.;</w:t>
      </w:r>
    </w:p>
    <w:p w14:paraId="7D40DD77" w14:textId="77777777" w:rsidR="00D62E17" w:rsidRDefault="00D62E17" w:rsidP="00D62E17">
      <w:pPr>
        <w:widowControl w:val="0"/>
        <w:spacing w:line="360" w:lineRule="auto"/>
        <w:ind w:firstLineChars="200" w:firstLine="480"/>
        <w:jc w:val="both"/>
        <w:rPr>
          <w:rFonts w:hint="eastAsia"/>
          <w:kern w:val="2"/>
          <w:lang w:eastAsia="zh-CN"/>
        </w:rPr>
      </w:pPr>
      <w:r>
        <w:t>Address: 17 Xixin Avenue, Chengdu New &amp; Hi-tech Industrial Development Zone;</w:t>
      </w:r>
    </w:p>
    <w:p w14:paraId="3C7D0E8C" w14:textId="77777777" w:rsidR="00D62E17" w:rsidRDefault="00D62E17" w:rsidP="00D62E17">
      <w:pPr>
        <w:widowControl w:val="0"/>
        <w:spacing w:line="360" w:lineRule="auto"/>
        <w:ind w:firstLineChars="200" w:firstLine="480"/>
        <w:jc w:val="both"/>
        <w:rPr>
          <w:rFonts w:hint="eastAsia"/>
          <w:kern w:val="2"/>
          <w:lang w:eastAsia="zh-CN"/>
        </w:rPr>
      </w:pPr>
      <w:r>
        <w:t>Postal code: 611731;</w:t>
      </w:r>
    </w:p>
    <w:p w14:paraId="24A3F57D" w14:textId="77777777" w:rsidR="00D62E17" w:rsidRDefault="00D62E17" w:rsidP="00D62E17">
      <w:pPr>
        <w:widowControl w:val="0"/>
        <w:spacing w:line="360" w:lineRule="auto"/>
        <w:ind w:firstLineChars="200" w:firstLine="480"/>
        <w:jc w:val="both"/>
        <w:rPr>
          <w:rFonts w:hint="eastAsia"/>
          <w:kern w:val="2"/>
          <w:lang w:eastAsia="zh-CN"/>
        </w:rPr>
      </w:pPr>
      <w:r>
        <w:t>contact: Mu Yan;</w:t>
      </w:r>
    </w:p>
    <w:p w14:paraId="410D9414" w14:textId="77777777" w:rsidR="00D62E17" w:rsidRDefault="00D62E17" w:rsidP="00D62E17">
      <w:pPr>
        <w:widowControl w:val="0"/>
        <w:spacing w:line="360" w:lineRule="auto"/>
        <w:ind w:firstLineChars="200" w:firstLine="480"/>
        <w:jc w:val="both"/>
        <w:rPr>
          <w:rFonts w:hint="eastAsia"/>
          <w:kern w:val="2"/>
          <w:lang w:eastAsia="zh-CN"/>
        </w:rPr>
      </w:pPr>
      <w:r>
        <w:t>Telephone: 028-62532315;</w:t>
      </w:r>
    </w:p>
    <w:p w14:paraId="40F68AAC" w14:textId="77777777" w:rsidR="00F41D01" w:rsidRDefault="00D62E17" w:rsidP="00D62E17">
      <w:pPr>
        <w:widowControl w:val="0"/>
        <w:spacing w:line="360" w:lineRule="auto"/>
        <w:ind w:firstLineChars="200" w:firstLine="480"/>
        <w:jc w:val="both"/>
        <w:rPr>
          <w:kern w:val="2"/>
          <w:szCs w:val="20"/>
          <w:lang w:eastAsia="zh-CN"/>
        </w:rPr>
      </w:pPr>
      <w:r>
        <w:t>email: 779061281@qq.com.</w:t>
      </w:r>
    </w:p>
    <w:p w14:paraId="4D32C64B" w14:textId="77777777" w:rsidR="00F41D01" w:rsidRDefault="00F41D01">
      <w:pPr>
        <w:keepNext/>
        <w:widowControl w:val="0"/>
        <w:numPr>
          <w:ilvl w:val="1"/>
          <w:numId w:val="2"/>
        </w:numPr>
        <w:spacing w:line="360" w:lineRule="auto"/>
        <w:jc w:val="both"/>
        <w:outlineLvl w:val="1"/>
        <w:rPr>
          <w:b/>
          <w:kern w:val="2"/>
          <w:lang w:eastAsia="zh-CN"/>
        </w:rPr>
      </w:pPr>
      <w:r>
        <w:t>study personnel composition</w:t>
      </w:r>
    </w:p>
    <w:p w14:paraId="2FEE14F9" w14:textId="77777777" w:rsidR="00F41D01" w:rsidRDefault="00C738CC" w:rsidP="003B44FE">
      <w:pPr>
        <w:keepNext/>
        <w:widowControl w:val="0"/>
        <w:numPr>
          <w:ilvl w:val="2"/>
          <w:numId w:val="2"/>
        </w:numPr>
        <w:spacing w:line="360" w:lineRule="auto"/>
        <w:ind w:left="711" w:hangingChars="295" w:hanging="711"/>
        <w:jc w:val="both"/>
        <w:rPr>
          <w:b/>
          <w:kern w:val="2"/>
          <w:lang w:eastAsia="zh-CN"/>
        </w:rPr>
      </w:pPr>
      <w:r>
        <w:t xml:space="preserve"> study director</w:t>
      </w:r>
    </w:p>
    <w:p w14:paraId="5BA7533F" w14:textId="77777777" w:rsidR="00F41D01" w:rsidRDefault="00F41D01">
      <w:pPr>
        <w:widowControl w:val="0"/>
        <w:spacing w:line="360" w:lineRule="auto"/>
        <w:ind w:firstLineChars="200" w:firstLine="480"/>
        <w:jc w:val="both"/>
        <w:rPr>
          <w:rFonts w:hint="eastAsia"/>
          <w:kern w:val="2"/>
          <w:lang w:eastAsia="zh-CN"/>
        </w:rPr>
      </w:pPr>
      <w:r>
        <w:t>name: Gao Yayun;</w:t>
      </w:r>
    </w:p>
    <w:p w14:paraId="3D3179F8" w14:textId="77777777" w:rsidR="00F41D01" w:rsidRDefault="00F41D01">
      <w:pPr>
        <w:widowControl w:val="0"/>
        <w:spacing w:line="360" w:lineRule="auto"/>
        <w:ind w:firstLineChars="200" w:firstLine="480"/>
        <w:jc w:val="both"/>
        <w:rPr>
          <w:rFonts w:hint="eastAsia"/>
          <w:kern w:val="2"/>
          <w:lang w:eastAsia="zh-CN"/>
        </w:rPr>
      </w:pPr>
      <w:r>
        <w:t>Address: Jiangsu Province, Kunshan City, New &amp; Hi-tech Industrial Development Zone, Yuanfeng Road 166;</w:t>
      </w:r>
    </w:p>
    <w:p w14:paraId="2E20F005" w14:textId="77777777" w:rsidR="00F41D01" w:rsidRDefault="00F41D01">
      <w:pPr>
        <w:widowControl w:val="0"/>
        <w:spacing w:line="360" w:lineRule="auto"/>
        <w:ind w:firstLineChars="200" w:firstLine="480"/>
        <w:jc w:val="both"/>
        <w:rPr>
          <w:rFonts w:hint="eastAsia"/>
          <w:kern w:val="2"/>
          <w:lang w:eastAsia="zh-CN"/>
        </w:rPr>
      </w:pPr>
      <w:r>
        <w:t>telephone: 0512-36801688;</w:t>
      </w:r>
    </w:p>
    <w:p w14:paraId="40A4A9E3" w14:textId="77777777" w:rsidR="00F41D01" w:rsidRDefault="00F41D01">
      <w:pPr>
        <w:widowControl w:val="0"/>
        <w:spacing w:line="360" w:lineRule="auto"/>
        <w:ind w:firstLineChars="200" w:firstLine="480"/>
        <w:jc w:val="both"/>
        <w:rPr>
          <w:rFonts w:hint="eastAsia"/>
          <w:kern w:val="2"/>
          <w:lang w:eastAsia="zh-CN"/>
        </w:rPr>
      </w:pPr>
      <w:r>
        <w:t>Fax: 0512-36802288;</w:t>
      </w:r>
    </w:p>
    <w:p w14:paraId="08163A8A" w14:textId="77777777" w:rsidR="00F41D01" w:rsidRDefault="00F41D01">
      <w:pPr>
        <w:widowControl w:val="0"/>
        <w:spacing w:line="360" w:lineRule="auto"/>
        <w:ind w:firstLineChars="200" w:firstLine="480"/>
        <w:jc w:val="both"/>
        <w:rPr>
          <w:kern w:val="2"/>
          <w:lang w:eastAsia="zh-CN"/>
        </w:rPr>
      </w:pPr>
      <w:r>
        <w:t>email: gaotingting@cti-cert.com.</w:t>
      </w:r>
    </w:p>
    <w:p w14:paraId="57D08823" w14:textId="77777777" w:rsidR="00F41D01" w:rsidRDefault="00C738CC" w:rsidP="001651D1">
      <w:pPr>
        <w:keepNext/>
        <w:widowControl w:val="0"/>
        <w:numPr>
          <w:ilvl w:val="2"/>
          <w:numId w:val="2"/>
        </w:numPr>
        <w:spacing w:line="360" w:lineRule="auto"/>
        <w:ind w:left="711" w:hangingChars="295" w:hanging="711"/>
        <w:jc w:val="both"/>
        <w:rPr>
          <w:b/>
          <w:bCs/>
          <w:lang w:eastAsia="zh-CN"/>
        </w:rPr>
      </w:pPr>
      <w:r>
        <w:t>Assay mainly composed of personnel</w:t>
      </w:r>
    </w:p>
    <w:p w14:paraId="760395E8" w14:textId="77777777" w:rsidR="005673FF" w:rsidRPr="005673FF" w:rsidRDefault="00F41D01" w:rsidP="005673FF">
      <w:pPr>
        <w:widowControl w:val="0"/>
        <w:spacing w:line="360" w:lineRule="auto"/>
        <w:ind w:firstLineChars="200" w:firstLine="480"/>
        <w:jc w:val="both"/>
        <w:rPr>
          <w:kern w:val="2"/>
          <w:lang w:eastAsia="zh-CN"/>
        </w:rPr>
      </w:pPr>
      <w:r>
        <w:t>Assay operations: Min Shen, Jialing Xu, Chang He, Jiameng Cheng;</w:t>
      </w:r>
    </w:p>
    <w:p w14:paraId="029AD467" w14:textId="77777777" w:rsidR="005673FF" w:rsidRPr="005673FF" w:rsidRDefault="005673FF" w:rsidP="005673FF">
      <w:pPr>
        <w:widowControl w:val="0"/>
        <w:spacing w:line="360" w:lineRule="auto"/>
        <w:ind w:firstLineChars="200" w:firstLine="480"/>
        <w:jc w:val="both"/>
        <w:rPr>
          <w:kern w:val="2"/>
          <w:lang w:eastAsia="zh-CN"/>
        </w:rPr>
      </w:pPr>
      <w:r>
        <w:t>Veterinarian: Wang Haiyang, Xu Rui, Wu Ziqiang, Xu Yongqiang, Shen Shuangya;</w:t>
      </w:r>
    </w:p>
    <w:p w14:paraId="08D33549" w14:textId="77777777" w:rsidR="005673FF" w:rsidRPr="005673FF" w:rsidRDefault="005673FF" w:rsidP="005673FF">
      <w:pPr>
        <w:widowControl w:val="0"/>
        <w:spacing w:line="360" w:lineRule="auto"/>
        <w:ind w:firstLineChars="200" w:firstLine="480"/>
        <w:jc w:val="both"/>
        <w:rPr>
          <w:kern w:val="2"/>
          <w:lang w:eastAsia="zh-CN"/>
        </w:rPr>
      </w:pPr>
      <w:r>
        <w:t>Animal Housing Management: Li Yongchao;</w:t>
      </w:r>
    </w:p>
    <w:p w14:paraId="29AFD809" w14:textId="77777777" w:rsidR="005673FF" w:rsidRPr="005673FF" w:rsidRDefault="005673FF" w:rsidP="005673FF">
      <w:pPr>
        <w:widowControl w:val="0"/>
        <w:spacing w:line="360" w:lineRule="auto"/>
        <w:ind w:firstLineChars="200" w:firstLine="480"/>
        <w:jc w:val="both"/>
        <w:rPr>
          <w:kern w:val="2"/>
          <w:lang w:eastAsia="zh-CN"/>
        </w:rPr>
      </w:pPr>
      <w:r>
        <w:t>Test Article Management: Chen Xiaoyan, Li Xuan;</w:t>
      </w:r>
    </w:p>
    <w:p w14:paraId="59FFA9AD" w14:textId="77777777" w:rsidR="005673FF" w:rsidRPr="005673FF" w:rsidRDefault="005673FF" w:rsidP="005673FF">
      <w:pPr>
        <w:widowControl w:val="0"/>
        <w:spacing w:line="360" w:lineRule="auto"/>
        <w:ind w:firstLineChars="200" w:firstLine="480"/>
        <w:jc w:val="both"/>
        <w:rPr>
          <w:kern w:val="2"/>
          <w:lang w:eastAsia="zh-CN"/>
        </w:rPr>
      </w:pPr>
      <w:r>
        <w:t>Dose formulations preparation: Shi Jingjing, Liu Lulu;</w:t>
      </w:r>
    </w:p>
    <w:p w14:paraId="401D2954" w14:textId="77777777" w:rsidR="005673FF" w:rsidRPr="005673FF" w:rsidRDefault="005673FF" w:rsidP="005673FF">
      <w:pPr>
        <w:tabs>
          <w:tab w:val="center" w:pos="4775"/>
        </w:tabs>
        <w:spacing w:line="360" w:lineRule="auto"/>
        <w:ind w:firstLineChars="200" w:firstLine="480"/>
        <w:rPr>
          <w:lang w:eastAsia="zh-CN"/>
        </w:rPr>
      </w:pPr>
      <w:r>
        <w:t>Dose Formulations Analyzed: Li Peng, Lu Mingmin, Zhao Yan;</w:t>
      </w:r>
    </w:p>
    <w:p w14:paraId="39C744A5" w14:textId="77777777" w:rsidR="005673FF" w:rsidRPr="005673FF" w:rsidRDefault="005673FF" w:rsidP="005673FF">
      <w:pPr>
        <w:widowControl w:val="0"/>
        <w:tabs>
          <w:tab w:val="center" w:pos="4775"/>
        </w:tabs>
        <w:spacing w:line="360" w:lineRule="auto"/>
        <w:ind w:firstLineChars="200" w:firstLine="480"/>
        <w:jc w:val="both"/>
        <w:rPr>
          <w:kern w:val="2"/>
          <w:lang w:eastAsia="zh-CN"/>
        </w:rPr>
      </w:pPr>
      <w:r>
        <w:t>Necropsy personnel: Chen Yong, Li Jialin, Li Zhengdao, Yang Gang, Lu Wanhao, Jiang Fazhi, Chen Mingming, Lu Yufeng, Zhang Hailiang, Liu Xing;</w:t>
      </w:r>
    </w:p>
    <w:p w14:paraId="2CA15292" w14:textId="77777777" w:rsidR="005673FF" w:rsidRPr="005673FF" w:rsidRDefault="005673FF" w:rsidP="005673FF">
      <w:pPr>
        <w:widowControl w:val="0"/>
        <w:tabs>
          <w:tab w:val="center" w:pos="4775"/>
        </w:tabs>
        <w:spacing w:line="360" w:lineRule="auto"/>
        <w:ind w:firstLineChars="200" w:firstLine="480"/>
        <w:jc w:val="both"/>
        <w:rPr>
          <w:rFonts w:hint="eastAsia"/>
          <w:kern w:val="2"/>
          <w:lang w:eastAsia="zh-CN"/>
        </w:rPr>
      </w:pPr>
      <w:r>
        <w:t>Gross observation: Jinglong, Tian Tian, Li Rongxia;</w:t>
      </w:r>
    </w:p>
    <w:p w14:paraId="43E982B5" w14:textId="77777777" w:rsidR="005673FF" w:rsidRPr="005673FF" w:rsidRDefault="005673FF" w:rsidP="005673FF">
      <w:pPr>
        <w:widowControl w:val="0"/>
        <w:tabs>
          <w:tab w:val="center" w:pos="4775"/>
        </w:tabs>
        <w:spacing w:line="360" w:lineRule="auto"/>
        <w:ind w:firstLineChars="200" w:firstLine="480"/>
        <w:jc w:val="both"/>
        <w:rPr>
          <w:kern w:val="2"/>
          <w:lang w:eastAsia="zh-CN"/>
        </w:rPr>
      </w:pPr>
      <w:r>
        <w:t>Histopathological Examination: Li Yanchuan;</w:t>
      </w:r>
    </w:p>
    <w:p w14:paraId="70482128" w14:textId="77777777" w:rsidR="00F41D01" w:rsidRDefault="005673FF" w:rsidP="005673FF">
      <w:pPr>
        <w:widowControl w:val="0"/>
        <w:spacing w:line="360" w:lineRule="auto"/>
        <w:ind w:firstLineChars="200" w:firstLine="480"/>
        <w:jc w:val="both"/>
        <w:rPr>
          <w:kern w:val="2"/>
          <w:lang w:eastAsia="zh-CN"/>
        </w:rPr>
      </w:pPr>
      <w:r>
        <w:t>Data collation and statistical analysis: Gao Xiaoxia, Shen Xiaoxia.</w:t>
      </w:r>
    </w:p>
    <w:p w14:paraId="1A2CFFB5" w14:textId="77777777" w:rsidR="00F41D01" w:rsidRDefault="00F41D01">
      <w:pPr>
        <w:keepNext/>
        <w:widowControl w:val="0"/>
        <w:numPr>
          <w:ilvl w:val="1"/>
          <w:numId w:val="2"/>
        </w:numPr>
        <w:spacing w:line="360" w:lineRule="auto"/>
        <w:jc w:val="both"/>
        <w:outlineLvl w:val="1"/>
        <w:rPr>
          <w:b/>
          <w:kern w:val="2"/>
          <w:lang w:eastAsia="zh-CN"/>
        </w:rPr>
      </w:pPr>
      <w:r>
        <w:t>Quality Assurance Personnel</w:t>
      </w:r>
    </w:p>
    <w:p w14:paraId="4B5A861D" w14:textId="77777777" w:rsidR="00F41D01" w:rsidRDefault="00F41D01">
      <w:pPr>
        <w:widowControl w:val="0"/>
        <w:tabs>
          <w:tab w:val="center" w:pos="4775"/>
        </w:tabs>
        <w:spacing w:line="360" w:lineRule="auto"/>
        <w:ind w:firstLineChars="200" w:firstLine="480"/>
        <w:jc w:val="both"/>
        <w:rPr>
          <w:kern w:val="2"/>
          <w:lang w:eastAsia="zh-CN"/>
        </w:rPr>
      </w:pPr>
      <w:r>
        <w:t>name: He Yan；</w:t>
      </w:r>
    </w:p>
    <w:p w14:paraId="6AD7EBB0" w14:textId="77777777" w:rsidR="00F41D01" w:rsidRDefault="00F41D01">
      <w:pPr>
        <w:widowControl w:val="0"/>
        <w:tabs>
          <w:tab w:val="center" w:pos="4775"/>
        </w:tabs>
        <w:spacing w:line="360" w:lineRule="auto"/>
        <w:ind w:firstLineChars="200" w:firstLine="480"/>
        <w:jc w:val="both"/>
        <w:rPr>
          <w:kern w:val="2"/>
          <w:lang w:eastAsia="zh-CN"/>
        </w:rPr>
      </w:pPr>
      <w:r>
        <w:t>telephone: 0512-36801688;</w:t>
      </w:r>
    </w:p>
    <w:p w14:paraId="7879A104" w14:textId="77777777" w:rsidR="00F41D01" w:rsidRDefault="00F41D01">
      <w:pPr>
        <w:widowControl w:val="0"/>
        <w:tabs>
          <w:tab w:val="center" w:pos="4775"/>
        </w:tabs>
        <w:spacing w:line="360" w:lineRule="auto"/>
        <w:ind w:firstLineChars="200" w:firstLine="480"/>
        <w:jc w:val="both"/>
        <w:rPr>
          <w:b/>
          <w:kern w:val="2"/>
          <w:lang w:eastAsia="zh-CN"/>
        </w:rPr>
      </w:pPr>
      <w:r>
        <w:t>email: cti-btc-qa.list@cti-cert.com.</w:t>
      </w:r>
    </w:p>
    <w:p w14:paraId="6D230DD0" w14:textId="77777777" w:rsidR="00D62E17" w:rsidRDefault="00D62E17" w:rsidP="00D62E17">
      <w:pPr>
        <w:keepNext/>
        <w:widowControl w:val="0"/>
        <w:numPr>
          <w:ilvl w:val="1"/>
          <w:numId w:val="2"/>
        </w:numPr>
        <w:spacing w:line="360" w:lineRule="auto"/>
        <w:jc w:val="both"/>
        <w:outlineLvl w:val="1"/>
        <w:rPr>
          <w:b/>
          <w:kern w:val="2"/>
          <w:lang w:eastAsia="zh-CN"/>
        </w:rPr>
      </w:pPr>
      <w:r>
        <w:t>Regulations and Technical Guidelines Followed</w:t>
      </w:r>
    </w:p>
    <w:p w14:paraId="74D5CC09" w14:textId="77777777" w:rsidR="00D62E17" w:rsidRDefault="00D62E17" w:rsidP="00D62E17">
      <w:pPr>
        <w:spacing w:line="360" w:lineRule="auto"/>
        <w:ind w:firstLine="480"/>
        <w:jc w:val="both"/>
        <w:rPr>
          <w:lang w:eastAsia="zh-CN"/>
        </w:rPr>
      </w:pPr>
      <w:r>
        <w:t>This assay will comply with the regulations and technical guidelines, including but not limited to:</w:t>
      </w:r>
    </w:p>
    <w:p w14:paraId="49016FA1" w14:textId="77777777" w:rsidR="00D62E17" w:rsidRDefault="00D62E17" w:rsidP="00D62E17">
      <w:pPr>
        <w:tabs>
          <w:tab w:val="center" w:pos="4775"/>
        </w:tabs>
        <w:spacing w:line="360" w:lineRule="auto"/>
        <w:ind w:firstLineChars="200" w:firstLine="480"/>
        <w:rPr>
          <w:lang w:eastAsia="zh-CN"/>
        </w:rPr>
      </w:pPr>
      <w:r>
        <w:t>'Good Laboratory Practices (GLPs) for Non-clinical Studies of Pharmaceuticals' (CFDA, September 2017);</w:t>
      </w:r>
    </w:p>
    <w:p w14:paraId="57243ECA" w14:textId="77777777" w:rsidR="00D62E17" w:rsidRDefault="00D62E17" w:rsidP="00D62E17">
      <w:pPr>
        <w:tabs>
          <w:tab w:val="center" w:pos="4775"/>
        </w:tabs>
        <w:spacing w:line="360" w:lineRule="auto"/>
        <w:ind w:firstLineChars="200" w:firstLine="480"/>
        <w:rPr>
          <w:rFonts w:hint="eastAsia"/>
          <w:lang w:eastAsia="zh-CN"/>
        </w:rPr>
      </w:pPr>
      <w:r>
        <w:rPr>
          <w:lang w:eastAsia="zh-CN"/>
        </w:rPr>
        <w:t>Good Laboratory Practice for Nonclinical Laboratory Studies</w:t>
      </w:r>
      <w:r>
        <w:rPr>
          <w:rFonts w:hint="eastAsia"/>
          <w:lang w:eastAsia="zh-CN"/>
        </w:rPr>
        <w:t xml:space="preserve"> </w:t>
      </w:r>
      <w:r>
        <w:rPr>
          <w:rFonts w:hint="eastAsia"/>
          <w:lang w:eastAsia="zh-CN"/>
        </w:rPr>
        <w:t>（</w:t>
      </w:r>
      <w:r>
        <w:rPr>
          <w:lang w:eastAsia="zh-CN"/>
        </w:rPr>
        <w:t xml:space="preserve">21 CFR 58, </w:t>
      </w:r>
      <w:r>
        <w:rPr>
          <w:rFonts w:hint="eastAsia"/>
          <w:lang w:eastAsia="zh-CN"/>
        </w:rPr>
        <w:t>FDA</w:t>
      </w:r>
      <w:r>
        <w:rPr>
          <w:rFonts w:hint="eastAsia"/>
          <w:lang w:eastAsia="zh-CN"/>
        </w:rPr>
        <w:t>）</w:t>
      </w:r>
      <w:r>
        <w:rPr>
          <w:lang w:eastAsia="zh-CN"/>
        </w:rPr>
        <w:t xml:space="preserve"> </w:t>
      </w:r>
      <w:r>
        <w:rPr>
          <w:lang w:eastAsia="zh-CN"/>
        </w:rPr>
        <w:t>；</w:t>
      </w:r>
    </w:p>
    <w:p w14:paraId="2489BA47" w14:textId="77777777" w:rsidR="00D62E17" w:rsidRDefault="00D62E17" w:rsidP="00D62E17">
      <w:pPr>
        <w:tabs>
          <w:tab w:val="center" w:pos="4775"/>
        </w:tabs>
        <w:spacing w:line="360" w:lineRule="auto"/>
        <w:ind w:firstLineChars="200" w:firstLine="480"/>
        <w:rPr>
          <w:rFonts w:hint="eastAsia"/>
          <w:lang w:eastAsia="zh-CN"/>
        </w:rPr>
      </w:pPr>
      <w:r>
        <w:rPr>
          <w:bCs/>
        </w:rPr>
        <w:t>OECD Principles of Good Laboratory Practice</w:t>
      </w:r>
      <w:r w:rsidR="009C60EF">
        <w:rPr>
          <w:rFonts w:hint="eastAsia"/>
          <w:bCs/>
          <w:lang w:eastAsia="zh-CN"/>
        </w:rPr>
        <w:t xml:space="preserve"> [</w:t>
      </w:r>
      <w:r w:rsidR="009C60EF" w:rsidRPr="00D00C80">
        <w:rPr>
          <w:bCs/>
        </w:rPr>
        <w:t>ENV/MC/CHEM (98)17</w:t>
      </w:r>
      <w:r w:rsidR="009C60EF">
        <w:rPr>
          <w:rFonts w:hint="eastAsia"/>
          <w:bCs/>
          <w:lang w:eastAsia="zh-CN"/>
        </w:rPr>
        <w:t>, OECD]</w:t>
      </w:r>
      <w:r>
        <w:rPr>
          <w:rFonts w:hint="eastAsia"/>
          <w:bCs/>
          <w:lang w:eastAsia="zh-CN"/>
        </w:rPr>
        <w:t>；</w:t>
      </w:r>
    </w:p>
    <w:p w14:paraId="52BC090A" w14:textId="77777777" w:rsidR="00D62E17" w:rsidRDefault="00D62E17" w:rsidP="00D62E17">
      <w:pPr>
        <w:pStyle w:val="WXBodyText"/>
        <w:spacing w:before="0" w:after="0" w:line="360" w:lineRule="auto"/>
        <w:ind w:left="0" w:firstLineChars="200" w:firstLine="480"/>
        <w:rPr>
          <w:rFonts w:hint="eastAsia"/>
        </w:rPr>
      </w:pPr>
      <w:r>
        <w:t>《Pharmaceuticals Registration Management Measures》 (Former CFDA, October 2007);</w:t>
      </w:r>
    </w:p>
    <w:p w14:paraId="12B396E8" w14:textId="77777777" w:rsidR="00D62E17" w:rsidRDefault="00D62E17" w:rsidP="00D62E17">
      <w:pPr>
        <w:tabs>
          <w:tab w:val="center" w:pos="4775"/>
        </w:tabs>
        <w:spacing w:line="360" w:lineRule="auto"/>
        <w:ind w:firstLineChars="200" w:firstLine="480"/>
        <w:jc w:val="both"/>
        <w:rPr>
          <w:rFonts w:hint="eastAsia"/>
          <w:lang w:eastAsia="zh-CN"/>
        </w:rPr>
      </w:pPr>
      <w:r>
        <w:t>Guideline for Single Dose Toxicity Study of Drugs (former CFDA, May 2014);</w:t>
      </w:r>
    </w:p>
    <w:p w14:paraId="0EB106B2" w14:textId="77777777" w:rsidR="00D62E17" w:rsidRDefault="00D62E17" w:rsidP="00D62E17">
      <w:pPr>
        <w:tabs>
          <w:tab w:val="center" w:pos="4775"/>
        </w:tabs>
        <w:spacing w:line="360" w:lineRule="auto"/>
        <w:ind w:firstLineChars="200" w:firstLine="480"/>
        <w:rPr>
          <w:rFonts w:hint="eastAsia"/>
          <w:lang w:eastAsia="zh-CN"/>
        </w:rPr>
      </w:pPr>
      <w:r>
        <w:t>Q&amp;A on Non-clinical Safety Evaluation test article testing Requirements (Former CFDA, May 2014);</w:t>
      </w:r>
    </w:p>
    <w:p w14:paraId="385A87EC" w14:textId="77777777" w:rsidR="00D62E17" w:rsidRDefault="00D62E17" w:rsidP="00D62E17">
      <w:pPr>
        <w:pStyle w:val="WXBodyText"/>
        <w:spacing w:before="0" w:after="0" w:line="360" w:lineRule="auto"/>
        <w:ind w:left="0" w:firstLineChars="250" w:firstLine="600"/>
        <w:rPr>
          <w:rFonts w:hint="eastAsia"/>
          <w:bCs w:val="0"/>
        </w:rPr>
      </w:pPr>
      <w:r>
        <w:rPr>
          <w:rFonts w:hint="eastAsia"/>
          <w:bCs w:val="0"/>
        </w:rPr>
        <w:t xml:space="preserve">ICH M3 </w:t>
      </w:r>
      <w:r>
        <w:rPr>
          <w:rFonts w:hint="eastAsia"/>
          <w:bCs w:val="0"/>
        </w:rPr>
        <w:t>（</w:t>
      </w:r>
      <w:r>
        <w:rPr>
          <w:rFonts w:hint="eastAsia"/>
          <w:bCs w:val="0"/>
        </w:rPr>
        <w:t>R2</w:t>
      </w:r>
      <w:r>
        <w:rPr>
          <w:rFonts w:hint="eastAsia"/>
          <w:bCs w:val="0"/>
        </w:rPr>
        <w:t>）</w:t>
      </w:r>
      <w:r>
        <w:rPr>
          <w:bCs w:val="0"/>
        </w:rPr>
        <w:t>: Guidance on Nonclinical Safety Studies for the Conduct of Human Clinical Trials and Marketing Authorization for Pharmaceuticals</w:t>
      </w:r>
      <w:r>
        <w:rPr>
          <w:rFonts w:hint="eastAsia"/>
          <w:bCs w:val="0"/>
        </w:rPr>
        <w:t>. June</w:t>
      </w:r>
      <w:r>
        <w:rPr>
          <w:rFonts w:hint="eastAsia"/>
          <w:bCs w:val="0"/>
        </w:rPr>
        <w:t>，</w:t>
      </w:r>
      <w:r>
        <w:rPr>
          <w:rFonts w:hint="eastAsia"/>
          <w:bCs w:val="0"/>
        </w:rPr>
        <w:t>2009</w:t>
      </w:r>
      <w:r>
        <w:rPr>
          <w:rFonts w:hint="eastAsia"/>
          <w:bCs w:val="0"/>
        </w:rPr>
        <w:t>；</w:t>
      </w:r>
    </w:p>
    <w:p w14:paraId="041D377D" w14:textId="77777777" w:rsidR="00D62E17" w:rsidRDefault="00D62E17" w:rsidP="00D62E17">
      <w:pPr>
        <w:tabs>
          <w:tab w:val="center" w:pos="4775"/>
        </w:tabs>
        <w:spacing w:line="360" w:lineRule="auto"/>
        <w:ind w:firstLineChars="200" w:firstLine="480"/>
        <w:jc w:val="both"/>
        <w:rPr>
          <w:rFonts w:hint="eastAsia"/>
          <w:lang w:eastAsia="zh-CN"/>
        </w:rPr>
      </w:pPr>
      <w:r>
        <w:t>The implementation of this study, except as specifically noted in the protocol, complies with the standard operating procedures of this facility (Standard Operating Procedures, SOPs).</w:t>
      </w:r>
    </w:p>
    <w:p w14:paraId="6FE66636" w14:textId="77777777" w:rsidR="00D62E17" w:rsidRDefault="00D62E17" w:rsidP="00D62E17">
      <w:pPr>
        <w:keepNext/>
        <w:widowControl w:val="0"/>
        <w:numPr>
          <w:ilvl w:val="1"/>
          <w:numId w:val="2"/>
        </w:numPr>
        <w:spacing w:line="360" w:lineRule="auto"/>
        <w:jc w:val="both"/>
        <w:outlineLvl w:val="1"/>
        <w:rPr>
          <w:b/>
          <w:kern w:val="2"/>
          <w:lang w:eastAsia="zh-CN"/>
        </w:rPr>
      </w:pPr>
      <w:r>
        <w:t>Quality Assurance</w:t>
      </w:r>
    </w:p>
    <w:p w14:paraId="74EC2179" w14:textId="77777777" w:rsidR="00D62E17" w:rsidRDefault="00D62E17" w:rsidP="00D62E17">
      <w:pPr>
        <w:spacing w:line="360" w:lineRule="auto"/>
        <w:ind w:firstLine="480"/>
        <w:jc w:val="both"/>
        <w:rPr>
          <w:rFonts w:hint="eastAsia"/>
        </w:rPr>
      </w:pPr>
      <w:r>
        <w:t>Quality Assurance Department in accordance with 'Non-clinical Study Good Laboratory Practices (GLPs)' (September 2017), U.S. Food and Drug Administration (FDA) (21 CFR 58, Good Laboratory Practice For Nonclinical Laboratory Studies), Organization for Economic Cooperation and Development (OECD) [OECD Principles of Good Laboratory Practice, ENV/MC/CHEM (98)17] GLP regulations, and the institution's SOPs for strict supervision, inspection, and review of study protocols, protocol amendments, the study process, raw data, and final reports to ensure the reliability of the study process and results.</w:t>
      </w:r>
    </w:p>
    <w:p w14:paraId="21CD028A" w14:textId="77777777" w:rsidR="00D62E17" w:rsidRDefault="00D62E17" w:rsidP="00D62E17">
      <w:pPr>
        <w:keepNext/>
        <w:widowControl w:val="0"/>
        <w:numPr>
          <w:ilvl w:val="1"/>
          <w:numId w:val="2"/>
        </w:numPr>
        <w:spacing w:line="360" w:lineRule="auto"/>
        <w:jc w:val="both"/>
        <w:outlineLvl w:val="1"/>
        <w:rPr>
          <w:b/>
          <w:kern w:val="2"/>
          <w:lang w:eastAsia="zh-CN"/>
        </w:rPr>
      </w:pPr>
      <w:r>
        <w:t>assay time schedule</w:t>
      </w:r>
    </w:p>
    <w:p w14:paraId="50E72B0B" w14:textId="77777777" w:rsidR="00D62E17" w:rsidRDefault="00D62E17" w:rsidP="00D62E17">
      <w:pPr>
        <w:spacing w:line="360" w:lineRule="auto"/>
        <w:ind w:firstLineChars="200" w:firstLine="480"/>
        <w:rPr>
          <w:bCs/>
          <w:color w:val="000000"/>
          <w:lang w:eastAsia="zh-CN"/>
        </w:rPr>
      </w:pPr>
      <w:r>
        <w:t>Assay Start Date: 2018-12-12;</w:t>
      </w:r>
    </w:p>
    <w:p w14:paraId="4F6B26B4" w14:textId="77777777" w:rsidR="00D62E17" w:rsidRDefault="00D62E17" w:rsidP="00D62E17">
      <w:pPr>
        <w:spacing w:line="360" w:lineRule="auto"/>
        <w:ind w:firstLineChars="200" w:firstLine="480"/>
        <w:rPr>
          <w:rFonts w:hint="eastAsia"/>
          <w:bCs/>
          <w:color w:val="000000"/>
          <w:lang w:eastAsia="zh-CN"/>
        </w:rPr>
      </w:pPr>
      <w:r>
        <w:t>Dosing date:         2018-12-14;</w:t>
      </w:r>
    </w:p>
    <w:p w14:paraId="5CB89BD5" w14:textId="77777777" w:rsidR="00D62E17" w:rsidRDefault="00D62E17" w:rsidP="00D62E17">
      <w:pPr>
        <w:spacing w:line="360" w:lineRule="auto"/>
        <w:ind w:firstLineChars="200" w:firstLine="480"/>
        <w:rPr>
          <w:bCs/>
          <w:color w:val="000000"/>
          <w:lang w:eastAsia="zh-CN"/>
        </w:rPr>
      </w:pPr>
      <w:r>
        <w:t>Necropsy date:         2018-12-28;</w:t>
      </w:r>
    </w:p>
    <w:p w14:paraId="313F2F6B" w14:textId="77777777" w:rsidR="00F41D01" w:rsidRDefault="00D62E17" w:rsidP="00D62E17">
      <w:pPr>
        <w:pStyle w:val="WXBodyText"/>
        <w:spacing w:before="0" w:after="0" w:line="360" w:lineRule="auto"/>
        <w:ind w:left="0" w:firstLineChars="200" w:firstLine="480"/>
        <w:rPr>
          <w:rFonts w:cs="Times New Roman"/>
        </w:rPr>
      </w:pPr>
      <w:r>
        <w:t>Assay end date: 2018-12-28.</w:t>
      </w:r>
    </w:p>
    <w:p w14:paraId="600AEB12" w14:textId="77777777" w:rsidR="00F41D01" w:rsidRDefault="00F41D01">
      <w:pPr>
        <w:pStyle w:val="WXBodyText"/>
        <w:spacing w:before="0" w:after="0" w:line="360" w:lineRule="auto"/>
        <w:ind w:left="0" w:firstLineChars="200" w:firstLine="480"/>
        <w:rPr>
          <w:rFonts w:cs="Times New Roman"/>
        </w:rPr>
      </w:pPr>
    </w:p>
    <w:p w14:paraId="1DE8EB28" w14:textId="77777777" w:rsidR="00F41D01" w:rsidRDefault="00F41D01" w:rsidP="001651D1">
      <w:pPr>
        <w:pStyle w:val="1"/>
        <w:keepNext w:val="0"/>
        <w:widowControl w:val="0"/>
        <w:numPr>
          <w:ilvl w:val="0"/>
          <w:numId w:val="1"/>
        </w:numPr>
        <w:tabs>
          <w:tab w:val="clear" w:pos="720"/>
        </w:tabs>
        <w:kinsoku w:val="0"/>
        <w:overflowPunct w:val="0"/>
        <w:autoSpaceDE w:val="0"/>
        <w:autoSpaceDN w:val="0"/>
        <w:spacing w:before="0" w:after="0" w:line="360" w:lineRule="auto"/>
        <w:ind w:left="498" w:hangingChars="177" w:hanging="498"/>
        <w:rPr>
          <w:caps/>
          <w:kern w:val="2"/>
          <w:sz w:val="28"/>
          <w:szCs w:val="28"/>
          <w:lang w:eastAsia="zh-CN"/>
        </w:rPr>
      </w:pPr>
      <w:r>
        <w:t>Study Materials</w:t>
      </w:r>
    </w:p>
    <w:p w14:paraId="0B921A4D" w14:textId="77777777" w:rsidR="00F41D01" w:rsidRDefault="00F41D01">
      <w:pPr>
        <w:pStyle w:val="-1"/>
        <w:keepNext/>
        <w:widowControl w:val="0"/>
        <w:numPr>
          <w:ilvl w:val="0"/>
          <w:numId w:val="2"/>
        </w:numPr>
        <w:spacing w:line="360" w:lineRule="auto"/>
        <w:ind w:firstLineChars="0"/>
        <w:jc w:val="both"/>
        <w:outlineLvl w:val="1"/>
        <w:rPr>
          <w:b/>
          <w:vanish/>
          <w:kern w:val="2"/>
          <w:lang w:eastAsia="zh-CN"/>
        </w:rPr>
      </w:pPr>
      <w:bookmarkStart w:id="126" w:name="_Toc456774944"/>
      <w:bookmarkStart w:id="127" w:name="_Toc457309458"/>
      <w:bookmarkStart w:id="128" w:name="_Toc458002846"/>
      <w:bookmarkStart w:id="129" w:name="_Toc458002948"/>
      <w:bookmarkStart w:id="130" w:name="_Toc458003049"/>
      <w:bookmarkStart w:id="131" w:name="_Toc458611565"/>
      <w:bookmarkStart w:id="132" w:name="_Toc458611658"/>
      <w:bookmarkStart w:id="133" w:name="_Toc458611751"/>
      <w:bookmarkStart w:id="134" w:name="_Toc458698738"/>
      <w:bookmarkStart w:id="135" w:name="_Toc458698828"/>
      <w:bookmarkStart w:id="136" w:name="_Toc458799431"/>
      <w:bookmarkStart w:id="137" w:name="_Toc458801980"/>
      <w:bookmarkStart w:id="138" w:name="_Toc458803901"/>
      <w:bookmarkStart w:id="139" w:name="_Toc458804028"/>
      <w:bookmarkStart w:id="140" w:name="_Toc458877885"/>
      <w:bookmarkStart w:id="141" w:name="_Toc461308892"/>
      <w:bookmarkStart w:id="142" w:name="_Toc461359990"/>
      <w:bookmarkStart w:id="143" w:name="_Toc461361911"/>
      <w:bookmarkStart w:id="144" w:name="_Toc461452555"/>
      <w:bookmarkStart w:id="145" w:name="_Toc461483607"/>
      <w:bookmarkStart w:id="146" w:name="_Toc461615044"/>
      <w:bookmarkStart w:id="147" w:name="_Toc461978809"/>
      <w:bookmarkStart w:id="148" w:name="_Toc462043054"/>
      <w:bookmarkStart w:id="149" w:name="_Toc465268875"/>
      <w:bookmarkStart w:id="150" w:name="_Toc465360425"/>
      <w:bookmarkStart w:id="151" w:name="_Toc465427622"/>
      <w:bookmarkStart w:id="152" w:name="_Toc477802566"/>
      <w:bookmarkStart w:id="153" w:name="_Toc481053543"/>
      <w:bookmarkStart w:id="154" w:name="_Toc492215615"/>
      <w:bookmarkStart w:id="155" w:name="_Toc478598505"/>
      <w:bookmarkStart w:id="156" w:name="_Toc480992475"/>
      <w:bookmarkStart w:id="157" w:name="_Toc516824890"/>
      <w:bookmarkStart w:id="158" w:name="_Toc517277225"/>
      <w:bookmarkStart w:id="159" w:name="_Toc517283086"/>
      <w:bookmarkStart w:id="160" w:name="_Toc517283243"/>
      <w:bookmarkStart w:id="161" w:name="_Toc517285509"/>
      <w:bookmarkStart w:id="162" w:name="_Toc517285595"/>
      <w:bookmarkStart w:id="163" w:name="_Toc517285796"/>
      <w:bookmarkStart w:id="164" w:name="_Toc525130371"/>
      <w:bookmarkStart w:id="165" w:name="_Toc459218153"/>
      <w:bookmarkStart w:id="166" w:name="_Toc534766274"/>
      <w:bookmarkStart w:id="167" w:name="_Toc534922481"/>
      <w:bookmarkStart w:id="168" w:name="_Toc534966569"/>
      <w:bookmarkStart w:id="169" w:name="_Toc535769564"/>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6"/>
      <w:bookmarkEnd w:id="167"/>
      <w:bookmarkEnd w:id="168"/>
      <w:bookmarkEnd w:id="169"/>
    </w:p>
    <w:p w14:paraId="7F07BB5C" w14:textId="77777777" w:rsidR="00F41D01" w:rsidRDefault="00F41D01">
      <w:pPr>
        <w:keepNext/>
        <w:widowControl w:val="0"/>
        <w:numPr>
          <w:ilvl w:val="1"/>
          <w:numId w:val="2"/>
        </w:numPr>
        <w:spacing w:line="360" w:lineRule="auto"/>
        <w:jc w:val="both"/>
        <w:outlineLvl w:val="1"/>
        <w:rPr>
          <w:b/>
          <w:kern w:val="2"/>
          <w:lang w:eastAsia="zh-CN"/>
        </w:rPr>
      </w:pPr>
      <w:r>
        <w:t>Test article</w:t>
      </w:r>
    </w:p>
    <w:p w14:paraId="66ABABE2" w14:textId="77777777" w:rsidR="00F41D01" w:rsidRDefault="00F41D01">
      <w:pPr>
        <w:keepNext/>
        <w:widowControl w:val="0"/>
        <w:spacing w:line="360" w:lineRule="auto"/>
        <w:jc w:val="both"/>
        <w:rPr>
          <w:b/>
          <w:kern w:val="2"/>
          <w:lang w:eastAsia="zh-CN"/>
        </w:rPr>
      </w:pPr>
      <w:r>
        <w:t>2.1.1.    General Information</w:t>
      </w:r>
    </w:p>
    <w:p w14:paraId="62EDF9DB" w14:textId="77777777" w:rsidR="00D62E17" w:rsidRDefault="00F41D01" w:rsidP="00D62E17">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Name/Code: sbk002;</w:t>
      </w:r>
    </w:p>
    <w:p w14:paraId="5E9730F5" w14:textId="77777777" w:rsidR="00D62E17" w:rsidRDefault="00D62E17" w:rsidP="00D62E17">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Facility Code: W2018027;</w:t>
      </w:r>
    </w:p>
    <w:p w14:paraId="693DFE25" w14:textId="77777777" w:rsidR="00C73F46" w:rsidRDefault="00D62E17"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Characterization: White crystalline powder;</w:t>
      </w:r>
    </w:p>
    <w:p w14:paraId="0A4BB4CD"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 xml:space="preserve">Specification: 20 g/bag; </w:t>
      </w:r>
    </w:p>
    <w:p w14:paraId="1563CA68" w14:textId="77777777" w:rsidR="00C73F46" w:rsidRDefault="00C73F46" w:rsidP="00C73F46">
      <w:pPr>
        <w:pStyle w:val="WXBodyText"/>
        <w:spacing w:before="0" w:after="0" w:line="360" w:lineRule="auto"/>
        <w:ind w:left="0" w:firstLineChars="200" w:firstLine="480"/>
        <w:rPr>
          <w:rFonts w:cs="Times New Roman" w:hint="eastAsia"/>
        </w:rPr>
      </w:pPr>
      <w:r>
        <w:t xml:space="preserve">content: 99.9%; </w:t>
      </w:r>
    </w:p>
    <w:p w14:paraId="3058B885"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Batch number: 180803;</w:t>
      </w:r>
    </w:p>
    <w:p w14:paraId="56AB9DC2"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Expiry date: 2020-08-23 (tentative);</w:t>
      </w:r>
    </w:p>
    <w:p w14:paraId="10CFF458" w14:textId="77777777" w:rsidR="00D62E17"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Storage condition: 15 ℃~ 25 ℃, airtight, protected from light, dry;</w:t>
      </w:r>
    </w:p>
    <w:p w14:paraId="14DD97C8" w14:textId="77777777" w:rsidR="00D62E17" w:rsidRDefault="00D62E17" w:rsidP="00D62E17">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Manufacturer: Chengdu Shipribec Bio-Pharmaceutical Technology Co., Ltd.;</w:t>
      </w:r>
    </w:p>
    <w:p w14:paraId="141495E5" w14:textId="77777777" w:rsidR="00F41D01" w:rsidRDefault="00D62E17" w:rsidP="00D62E17">
      <w:pPr>
        <w:pStyle w:val="WXBodyText"/>
        <w:spacing w:before="0" w:after="0" w:line="360" w:lineRule="auto"/>
        <w:ind w:left="0" w:firstLineChars="200" w:firstLine="480"/>
        <w:jc w:val="left"/>
      </w:pPr>
      <w:r>
        <w:t>Supplier: Chengdu Sibicon Biomedical Technology Co., Ltd.</w:t>
      </w:r>
    </w:p>
    <w:p w14:paraId="74C73B8B" w14:textId="77777777" w:rsidR="00F41D01" w:rsidRDefault="00F41D01">
      <w:pPr>
        <w:keepNext/>
        <w:widowControl w:val="0"/>
        <w:spacing w:line="360" w:lineRule="auto"/>
        <w:jc w:val="both"/>
        <w:rPr>
          <w:b/>
          <w:kern w:val="2"/>
          <w:lang w:eastAsia="zh-CN"/>
        </w:rPr>
      </w:pPr>
      <w:r>
        <w:t>2.1.2.    Preparation of test article</w:t>
      </w:r>
    </w:p>
    <w:p w14:paraId="1A443D08" w14:textId="77777777" w:rsidR="00990EA3" w:rsidRPr="00990EA3" w:rsidRDefault="00F41D01" w:rsidP="00990EA3">
      <w:pPr>
        <w:spacing w:line="360" w:lineRule="auto"/>
        <w:ind w:firstLineChars="200" w:firstLine="480"/>
        <w:jc w:val="both"/>
        <w:rPr>
          <w:rFonts w:hint="eastAsia"/>
          <w:bCs/>
          <w:lang w:eastAsia="zh-CN"/>
        </w:rPr>
      </w:pPr>
      <w:r>
        <w:t>preparation method: according to the most recent body weight of ICR mice and the dosage to calculate the amount of test article needed. Based on the amount of test article and preparation concentration, calculate the prepared volume [volume = (amount of test article × content) / concentration]. At room temperature and protected from light, accurately weigh a certain amount of test article into a mortar, add an appropriate amount of vehicle, grind fully, then completely transfer to a container of a certain volume, and use the vehicle to make up to the required concentration of test article dose formulations.</w:t>
      </w:r>
    </w:p>
    <w:p w14:paraId="46E6275C" w14:textId="77777777" w:rsidR="0037118C" w:rsidRDefault="00990EA3" w:rsidP="00990EA3">
      <w:pPr>
        <w:spacing w:line="360" w:lineRule="auto"/>
        <w:ind w:firstLineChars="200" w:firstLine="480"/>
        <w:jc w:val="both"/>
        <w:rPr>
          <w:rFonts w:hint="eastAsia"/>
          <w:bCs/>
          <w:lang w:eastAsia="zh-CN"/>
        </w:rPr>
      </w:pPr>
      <w:r>
        <w:t>Example of preparation method: For preparing 100mL of dose formulation:</w:t>
      </w:r>
    </w:p>
    <w:tbl>
      <w:tblPr>
        <w:tblW w:w="0" w:type="auto"/>
        <w:tblInd w:w="0" w:type="dxa"/>
        <w:tblBorders>
          <w:top w:val="single" w:sz="12" w:space="0" w:color="auto"/>
          <w:bottom w:val="single" w:sz="12" w:space="0" w:color="auto"/>
          <w:insideH w:val="single" w:sz="6" w:space="0" w:color="auto"/>
        </w:tblBorders>
        <w:tblLayout w:type="fixed"/>
        <w:tblCellMar>
          <w:left w:w="0" w:type="dxa"/>
          <w:right w:w="0" w:type="dxa"/>
        </w:tblCellMar>
        <w:tblLook w:val="0000" w:firstRow="0" w:lastRow="0" w:firstColumn="0" w:lastColumn="0" w:noHBand="0" w:noVBand="0"/>
      </w:tblPr>
      <w:tblGrid>
        <w:gridCol w:w="1730"/>
        <w:gridCol w:w="1381"/>
        <w:gridCol w:w="1380"/>
        <w:gridCol w:w="4378"/>
      </w:tblGrid>
      <w:tr w:rsidR="00990EA3" w14:paraId="6026D5D6" w14:textId="77777777" w:rsidTr="00990EA3">
        <w:trPr>
          <w:trHeight w:val="453"/>
          <w:tblHeader/>
        </w:trPr>
        <w:tc>
          <w:tcPr>
            <w:tcW w:w="1730" w:type="dxa"/>
            <w:tcMar>
              <w:top w:w="0" w:type="dxa"/>
              <w:left w:w="105" w:type="dxa"/>
              <w:bottom w:w="0" w:type="dxa"/>
              <w:right w:w="105" w:type="dxa"/>
            </w:tcMar>
            <w:vAlign w:val="center"/>
          </w:tcPr>
          <w:p w14:paraId="0680CAE5" w14:textId="77777777" w:rsidR="00990EA3" w:rsidRDefault="00990EA3" w:rsidP="00990EA3">
            <w:pPr>
              <w:jc w:val="center"/>
              <w:rPr>
                <w:sz w:val="21"/>
                <w:szCs w:val="18"/>
                <w:lang w:eastAsia="zh-CN"/>
              </w:rPr>
            </w:pPr>
            <w:r>
              <w:t>group</w:t>
            </w:r>
          </w:p>
        </w:tc>
        <w:tc>
          <w:tcPr>
            <w:tcW w:w="1381" w:type="dxa"/>
            <w:vAlign w:val="center"/>
          </w:tcPr>
          <w:p w14:paraId="15F457D6" w14:textId="77777777" w:rsidR="00990EA3" w:rsidRDefault="00990EA3" w:rsidP="00990EA3">
            <w:pPr>
              <w:jc w:val="center"/>
              <w:rPr>
                <w:b/>
                <w:bCs/>
                <w:sz w:val="21"/>
                <w:szCs w:val="18"/>
                <w:lang w:eastAsia="zh-CN"/>
              </w:rPr>
            </w:pPr>
            <w:r>
              <w:t>Dosage</w:t>
            </w:r>
          </w:p>
          <w:p w14:paraId="59DA5966" w14:textId="77777777" w:rsidR="00990EA3" w:rsidRDefault="00990EA3" w:rsidP="00990EA3">
            <w:pPr>
              <w:jc w:val="center"/>
              <w:rPr>
                <w:b/>
                <w:bCs/>
                <w:sz w:val="21"/>
                <w:szCs w:val="18"/>
                <w:lang w:eastAsia="zh-CN"/>
              </w:rPr>
            </w:pPr>
            <w:r>
              <w:rPr>
                <w:b/>
                <w:bCs/>
                <w:sz w:val="21"/>
                <w:szCs w:val="18"/>
                <w:lang w:eastAsia="zh-CN"/>
              </w:rPr>
              <w:t>（</w:t>
            </w:r>
            <w:r>
              <w:rPr>
                <w:b/>
                <w:bCs/>
                <w:sz w:val="21"/>
                <w:szCs w:val="18"/>
                <w:lang w:eastAsia="zh-CN"/>
              </w:rPr>
              <w:t>mg/kg</w:t>
            </w:r>
            <w:r>
              <w:rPr>
                <w:b/>
                <w:bCs/>
                <w:sz w:val="21"/>
                <w:szCs w:val="18"/>
                <w:lang w:eastAsia="zh-CN"/>
              </w:rPr>
              <w:t>）</w:t>
            </w:r>
          </w:p>
        </w:tc>
        <w:tc>
          <w:tcPr>
            <w:tcW w:w="1380" w:type="dxa"/>
            <w:tcMar>
              <w:top w:w="0" w:type="dxa"/>
              <w:left w:w="105" w:type="dxa"/>
              <w:bottom w:w="0" w:type="dxa"/>
              <w:right w:w="105" w:type="dxa"/>
            </w:tcMar>
            <w:vAlign w:val="center"/>
          </w:tcPr>
          <w:p w14:paraId="28A481C9" w14:textId="77777777" w:rsidR="00990EA3" w:rsidRDefault="00990EA3" w:rsidP="00990EA3">
            <w:pPr>
              <w:jc w:val="center"/>
              <w:rPr>
                <w:b/>
                <w:bCs/>
                <w:sz w:val="21"/>
                <w:szCs w:val="18"/>
                <w:lang w:eastAsia="zh-CN"/>
              </w:rPr>
            </w:pPr>
            <w:r>
              <w:t>Concentration</w:t>
            </w:r>
          </w:p>
          <w:p w14:paraId="4A13CCCB" w14:textId="77777777" w:rsidR="00990EA3" w:rsidRDefault="00990EA3" w:rsidP="00990EA3">
            <w:pPr>
              <w:jc w:val="center"/>
              <w:rPr>
                <w:sz w:val="21"/>
                <w:szCs w:val="18"/>
                <w:lang w:eastAsia="zh-CN"/>
              </w:rPr>
            </w:pPr>
            <w:r>
              <w:rPr>
                <w:b/>
                <w:bCs/>
                <w:sz w:val="21"/>
                <w:szCs w:val="18"/>
                <w:lang w:eastAsia="zh-CN"/>
              </w:rPr>
              <w:t>（</w:t>
            </w:r>
            <w:r>
              <w:rPr>
                <w:b/>
                <w:bCs/>
                <w:sz w:val="21"/>
                <w:szCs w:val="18"/>
                <w:lang w:eastAsia="zh-CN"/>
              </w:rPr>
              <w:t>mg/mL</w:t>
            </w:r>
            <w:r>
              <w:rPr>
                <w:b/>
                <w:bCs/>
                <w:sz w:val="21"/>
                <w:szCs w:val="18"/>
                <w:lang w:eastAsia="zh-CN"/>
              </w:rPr>
              <w:t>）</w:t>
            </w:r>
          </w:p>
        </w:tc>
        <w:tc>
          <w:tcPr>
            <w:tcW w:w="4378" w:type="dxa"/>
            <w:tcMar>
              <w:top w:w="0" w:type="dxa"/>
              <w:left w:w="105" w:type="dxa"/>
              <w:bottom w:w="0" w:type="dxa"/>
              <w:right w:w="105" w:type="dxa"/>
            </w:tcMar>
            <w:vAlign w:val="center"/>
          </w:tcPr>
          <w:p w14:paraId="74A45A3D" w14:textId="77777777" w:rsidR="00990EA3" w:rsidRDefault="00990EA3" w:rsidP="00990EA3">
            <w:pPr>
              <w:jc w:val="center"/>
              <w:rPr>
                <w:sz w:val="21"/>
                <w:szCs w:val="18"/>
                <w:lang w:eastAsia="zh-CN"/>
              </w:rPr>
            </w:pPr>
            <w:r>
              <w:t>Preparation method</w:t>
            </w:r>
          </w:p>
        </w:tc>
      </w:tr>
      <w:tr w:rsidR="00990EA3" w14:paraId="3A895D40" w14:textId="77777777" w:rsidTr="00990EA3">
        <w:trPr>
          <w:trHeight w:val="292"/>
        </w:trPr>
        <w:tc>
          <w:tcPr>
            <w:tcW w:w="1730" w:type="dxa"/>
            <w:tcMar>
              <w:top w:w="0" w:type="dxa"/>
              <w:left w:w="105" w:type="dxa"/>
              <w:bottom w:w="0" w:type="dxa"/>
              <w:right w:w="105" w:type="dxa"/>
            </w:tcMar>
            <w:vAlign w:val="center"/>
          </w:tcPr>
          <w:p w14:paraId="4CE6605D" w14:textId="77777777" w:rsidR="00990EA3" w:rsidRDefault="00550166" w:rsidP="00990EA3">
            <w:pPr>
              <w:spacing w:line="360" w:lineRule="auto"/>
              <w:jc w:val="center"/>
              <w:rPr>
                <w:bCs/>
                <w:sz w:val="21"/>
                <w:szCs w:val="21"/>
                <w:lang w:eastAsia="zh-CN"/>
              </w:rPr>
            </w:pPr>
            <w:r>
              <w:rPr>
                <w:rFonts w:hint="eastAsia"/>
                <w:bCs/>
                <w:sz w:val="21"/>
                <w:szCs w:val="21"/>
                <w:lang w:eastAsia="zh-CN"/>
              </w:rPr>
              <w:t>sbk</w:t>
            </w:r>
            <w:r w:rsidR="00990EA3">
              <w:rPr>
                <w:rFonts w:hint="eastAsia"/>
                <w:bCs/>
                <w:sz w:val="21"/>
                <w:szCs w:val="21"/>
                <w:lang w:eastAsia="zh-CN"/>
              </w:rPr>
              <w:t>002</w:t>
            </w:r>
          </w:p>
          <w:p w14:paraId="3D0B9FA9" w14:textId="77777777" w:rsidR="00990EA3" w:rsidRDefault="00990EA3" w:rsidP="00990EA3">
            <w:pPr>
              <w:spacing w:line="360" w:lineRule="auto"/>
              <w:jc w:val="center"/>
              <w:rPr>
                <w:bCs/>
                <w:sz w:val="21"/>
                <w:szCs w:val="21"/>
                <w:lang w:eastAsia="zh-CN"/>
              </w:rPr>
            </w:pPr>
            <w:r>
              <w:t>dose group</w:t>
            </w:r>
          </w:p>
        </w:tc>
        <w:tc>
          <w:tcPr>
            <w:tcW w:w="1381" w:type="dxa"/>
            <w:vAlign w:val="center"/>
          </w:tcPr>
          <w:p w14:paraId="01F8E200" w14:textId="77777777" w:rsidR="00990EA3" w:rsidRDefault="00990EA3" w:rsidP="00990EA3">
            <w:pPr>
              <w:spacing w:line="360" w:lineRule="auto"/>
              <w:jc w:val="center"/>
              <w:rPr>
                <w:bCs/>
                <w:sz w:val="21"/>
                <w:szCs w:val="21"/>
                <w:lang w:eastAsia="zh-CN"/>
              </w:rPr>
            </w:pPr>
            <w:r>
              <w:rPr>
                <w:rFonts w:hint="eastAsia"/>
                <w:bCs/>
                <w:sz w:val="21"/>
                <w:szCs w:val="21"/>
                <w:lang w:eastAsia="zh-CN"/>
              </w:rPr>
              <w:t>5000</w:t>
            </w:r>
          </w:p>
        </w:tc>
        <w:tc>
          <w:tcPr>
            <w:tcW w:w="1380" w:type="dxa"/>
            <w:tcMar>
              <w:top w:w="0" w:type="dxa"/>
              <w:left w:w="105" w:type="dxa"/>
              <w:bottom w:w="0" w:type="dxa"/>
              <w:right w:w="105" w:type="dxa"/>
            </w:tcMar>
            <w:vAlign w:val="center"/>
          </w:tcPr>
          <w:p w14:paraId="4402D80A" w14:textId="77777777" w:rsidR="00990EA3" w:rsidRDefault="00990EA3" w:rsidP="00990EA3">
            <w:pPr>
              <w:spacing w:line="360" w:lineRule="auto"/>
              <w:jc w:val="center"/>
              <w:rPr>
                <w:sz w:val="21"/>
                <w:szCs w:val="21"/>
                <w:lang w:eastAsia="zh-CN"/>
              </w:rPr>
            </w:pPr>
            <w:r>
              <w:rPr>
                <w:rFonts w:hint="eastAsia"/>
                <w:sz w:val="21"/>
                <w:szCs w:val="21"/>
                <w:lang w:eastAsia="zh-CN"/>
              </w:rPr>
              <w:t>250</w:t>
            </w:r>
          </w:p>
        </w:tc>
        <w:tc>
          <w:tcPr>
            <w:tcW w:w="4378" w:type="dxa"/>
            <w:tcMar>
              <w:top w:w="0" w:type="dxa"/>
              <w:left w:w="105" w:type="dxa"/>
              <w:bottom w:w="0" w:type="dxa"/>
              <w:right w:w="105" w:type="dxa"/>
            </w:tcMar>
            <w:vAlign w:val="center"/>
          </w:tcPr>
          <w:p w14:paraId="3C26E0C3" w14:textId="77777777" w:rsidR="00990EA3" w:rsidRDefault="00990EA3" w:rsidP="00990EA3">
            <w:pPr>
              <w:spacing w:line="360" w:lineRule="auto"/>
              <w:ind w:firstLineChars="200" w:firstLine="420"/>
              <w:jc w:val="both"/>
              <w:rPr>
                <w:bCs/>
                <w:sz w:val="21"/>
                <w:szCs w:val="21"/>
                <w:lang w:eastAsia="zh-CN"/>
              </w:rPr>
            </w:pPr>
            <w:r>
              <w:t>Accurately weigh 25050 mg of sbk002, add an appropriate amount of 0.5 % CMC-Na solution and grind thoroughly, completely transfer to the calibrated beaker (100 mL), add 0.5 % CMC-Na solution to volume to the mark, obtaining 100 mL dose formulations of 250 mg/mL sbk002 dose group.</w:t>
            </w:r>
          </w:p>
        </w:tc>
      </w:tr>
    </w:tbl>
    <w:p w14:paraId="42CB33DF" w14:textId="77777777" w:rsidR="00F41D01" w:rsidRDefault="00F41D01">
      <w:pPr>
        <w:spacing w:line="360" w:lineRule="auto"/>
        <w:ind w:firstLineChars="200" w:firstLine="480"/>
        <w:rPr>
          <w:bCs/>
          <w:lang w:eastAsia="zh-CN"/>
        </w:rPr>
      </w:pPr>
      <w:r>
        <w:t>Preparation condition: room temperature, protected from excessive light;</w:t>
      </w:r>
    </w:p>
    <w:p w14:paraId="0891C0C4" w14:textId="77777777" w:rsidR="00990EA3" w:rsidRDefault="00F41D01" w:rsidP="00990EA3">
      <w:pPr>
        <w:spacing w:line="360" w:lineRule="auto"/>
        <w:ind w:firstLineChars="200" w:firstLine="480"/>
        <w:jc w:val="both"/>
        <w:rPr>
          <w:bCs/>
          <w:lang w:eastAsia="zh-CN"/>
        </w:rPr>
      </w:pPr>
      <w:r>
        <w:t>Identification method: Dose formulations of the sbk002 dosage group were labeled with red labels, including study number, name, concentration, number, preparation date, preparer, storage conditions, expiry date, and finished product number.</w:t>
      </w:r>
    </w:p>
    <w:p w14:paraId="5A9CCF02" w14:textId="77777777" w:rsidR="00F41D01" w:rsidRDefault="00990EA3" w:rsidP="00990EA3">
      <w:pPr>
        <w:spacing w:line="360" w:lineRule="auto"/>
        <w:ind w:firstLineChars="200" w:firstLine="480"/>
        <w:rPr>
          <w:kern w:val="2"/>
          <w:lang w:eastAsia="zh-CN"/>
        </w:rPr>
      </w:pPr>
      <w:r>
        <w:t>Storage conditions and expiry after preparation: Room temperature; protect from light, use within 4 hours.</w:t>
      </w:r>
    </w:p>
    <w:p w14:paraId="4CBE5538" w14:textId="77777777" w:rsidR="00F41D01" w:rsidRDefault="00F41D01">
      <w:pPr>
        <w:keepNext/>
        <w:widowControl w:val="0"/>
        <w:spacing w:line="360" w:lineRule="auto"/>
        <w:jc w:val="both"/>
        <w:rPr>
          <w:b/>
          <w:kern w:val="2"/>
          <w:lang w:eastAsia="zh-CN"/>
        </w:rPr>
      </w:pPr>
      <w:r>
        <w:t>2.1.3.    Retention of samples and remaining dose formulations/test article disposal</w:t>
      </w:r>
    </w:p>
    <w:p w14:paraId="3CD828D9" w14:textId="77777777" w:rsidR="00DA4851" w:rsidRDefault="00DA4851" w:rsidP="00DA4851">
      <w:pPr>
        <w:widowControl w:val="0"/>
        <w:spacing w:line="360" w:lineRule="auto"/>
        <w:ind w:firstLineChars="200" w:firstLine="480"/>
        <w:jc w:val="both"/>
        <w:rPr>
          <w:rFonts w:hint="eastAsia"/>
          <w:kern w:val="2"/>
          <w:szCs w:val="20"/>
          <w:lang w:eastAsia="zh-CN"/>
        </w:rPr>
      </w:pPr>
      <w:r>
        <w:t>Remaining dose formulations disposal: return to test article management department, and handle according to the requirements for medication/chemical waste disposal;</w:t>
      </w:r>
    </w:p>
    <w:p w14:paraId="4BA3EF10" w14:textId="77777777" w:rsidR="00DA4851" w:rsidRDefault="00DA4851" w:rsidP="00DA4851">
      <w:pPr>
        <w:widowControl w:val="0"/>
        <w:spacing w:line="360" w:lineRule="auto"/>
        <w:ind w:firstLineChars="200" w:firstLine="480"/>
        <w:jc w:val="both"/>
        <w:rPr>
          <w:rFonts w:hint="eastAsia"/>
          <w:kern w:val="2"/>
          <w:szCs w:val="20"/>
          <w:lang w:eastAsia="zh-CN"/>
        </w:rPr>
      </w:pPr>
      <w:r>
        <w:t>test article retention samples: perform test article retention samples according to company related SOP;</w:t>
      </w:r>
    </w:p>
    <w:p w14:paraId="6B1717AB" w14:textId="77777777" w:rsidR="00DA4851" w:rsidRDefault="00DA4851" w:rsidP="00DA4851">
      <w:pPr>
        <w:widowControl w:val="0"/>
        <w:spacing w:line="360" w:lineRule="auto"/>
        <w:ind w:firstLineChars="200" w:firstLine="480"/>
        <w:jc w:val="both"/>
        <w:rPr>
          <w:rFonts w:hint="eastAsia"/>
          <w:kern w:val="2"/>
          <w:szCs w:val="20"/>
          <w:lang w:eastAsia="zh-CN"/>
        </w:rPr>
      </w:pPr>
      <w:r>
        <w:t>Retained test articles disposal: This batch of test article retention samples shall be documented in accordance with the related records of the Test Article Management Department. After the end of the project, archiving will be performed according to SOP regulations and stored in the sample archive room of the institution's archive management department;</w:t>
      </w:r>
    </w:p>
    <w:p w14:paraId="6FF3F9AC" w14:textId="77777777" w:rsidR="00F41D01" w:rsidRPr="00DA4851" w:rsidRDefault="00DA4851" w:rsidP="00DA4851">
      <w:pPr>
        <w:widowControl w:val="0"/>
        <w:spacing w:line="360" w:lineRule="auto"/>
        <w:ind w:firstLineChars="200" w:firstLine="480"/>
        <w:jc w:val="both"/>
        <w:rPr>
          <w:rFonts w:hint="eastAsia"/>
          <w:sz w:val="18"/>
          <w:szCs w:val="18"/>
          <w:lang w:eastAsia="zh-CN"/>
        </w:rPr>
      </w:pPr>
      <w:r>
        <w:t>Remaining test article handling: to be returned to the sponsor after all studies of this project end.</w:t>
      </w:r>
    </w:p>
    <w:p w14:paraId="7DBE33BE" w14:textId="77777777" w:rsidR="00990EA3" w:rsidRDefault="00990EA3" w:rsidP="00990EA3">
      <w:pPr>
        <w:keepNext/>
        <w:widowControl w:val="0"/>
        <w:numPr>
          <w:ilvl w:val="1"/>
          <w:numId w:val="2"/>
        </w:numPr>
        <w:spacing w:line="360" w:lineRule="auto"/>
        <w:jc w:val="both"/>
        <w:outlineLvl w:val="1"/>
        <w:rPr>
          <w:b/>
          <w:kern w:val="2"/>
          <w:lang w:eastAsia="zh-CN"/>
        </w:rPr>
      </w:pPr>
      <w:r>
        <w:t>positive reference item</w:t>
      </w:r>
    </w:p>
    <w:p w14:paraId="04D3EE66" w14:textId="77777777" w:rsidR="00990EA3" w:rsidRPr="00990EA3" w:rsidRDefault="00990EA3" w:rsidP="00990EA3">
      <w:pPr>
        <w:pStyle w:val="-1"/>
        <w:keepNext/>
        <w:widowControl w:val="0"/>
        <w:numPr>
          <w:ilvl w:val="0"/>
          <w:numId w:val="9"/>
        </w:numPr>
        <w:spacing w:line="360" w:lineRule="auto"/>
        <w:ind w:firstLineChars="0"/>
        <w:jc w:val="both"/>
        <w:rPr>
          <w:rFonts w:hint="eastAsia"/>
          <w:b/>
          <w:bCs/>
          <w:vanish/>
          <w:lang w:eastAsia="zh-CN"/>
        </w:rPr>
      </w:pPr>
    </w:p>
    <w:p w14:paraId="516D6199" w14:textId="77777777" w:rsidR="00990EA3" w:rsidRPr="00990EA3" w:rsidRDefault="00990EA3" w:rsidP="00990EA3">
      <w:pPr>
        <w:pStyle w:val="-1"/>
        <w:keepNext/>
        <w:widowControl w:val="0"/>
        <w:numPr>
          <w:ilvl w:val="0"/>
          <w:numId w:val="9"/>
        </w:numPr>
        <w:spacing w:line="360" w:lineRule="auto"/>
        <w:ind w:firstLineChars="0"/>
        <w:jc w:val="both"/>
        <w:rPr>
          <w:rFonts w:hint="eastAsia"/>
          <w:b/>
          <w:bCs/>
          <w:vanish/>
          <w:lang w:eastAsia="zh-CN"/>
        </w:rPr>
      </w:pPr>
    </w:p>
    <w:p w14:paraId="6C45FA4E" w14:textId="77777777" w:rsidR="00990EA3" w:rsidRPr="00990EA3" w:rsidRDefault="00990EA3" w:rsidP="00990EA3">
      <w:pPr>
        <w:pStyle w:val="-1"/>
        <w:keepNext/>
        <w:widowControl w:val="0"/>
        <w:numPr>
          <w:ilvl w:val="1"/>
          <w:numId w:val="9"/>
        </w:numPr>
        <w:spacing w:line="360" w:lineRule="auto"/>
        <w:ind w:firstLineChars="0"/>
        <w:jc w:val="both"/>
        <w:rPr>
          <w:rFonts w:hint="eastAsia"/>
          <w:b/>
          <w:bCs/>
          <w:vanish/>
          <w:lang w:eastAsia="zh-CN"/>
        </w:rPr>
      </w:pPr>
    </w:p>
    <w:p w14:paraId="53A0665D" w14:textId="77777777" w:rsidR="00990EA3" w:rsidRPr="00990EA3" w:rsidRDefault="00990EA3" w:rsidP="00990EA3">
      <w:pPr>
        <w:pStyle w:val="-1"/>
        <w:keepNext/>
        <w:widowControl w:val="0"/>
        <w:numPr>
          <w:ilvl w:val="1"/>
          <w:numId w:val="9"/>
        </w:numPr>
        <w:spacing w:line="360" w:lineRule="auto"/>
        <w:ind w:firstLineChars="0"/>
        <w:jc w:val="both"/>
        <w:rPr>
          <w:rFonts w:hint="eastAsia"/>
          <w:b/>
          <w:bCs/>
          <w:vanish/>
          <w:lang w:eastAsia="zh-CN"/>
        </w:rPr>
      </w:pPr>
    </w:p>
    <w:p w14:paraId="4B83EA81" w14:textId="77777777" w:rsidR="00990EA3" w:rsidRDefault="00990EA3" w:rsidP="00990EA3">
      <w:pPr>
        <w:keepNext/>
        <w:widowControl w:val="0"/>
        <w:numPr>
          <w:ilvl w:val="2"/>
          <w:numId w:val="9"/>
        </w:numPr>
        <w:spacing w:line="360" w:lineRule="auto"/>
        <w:ind w:left="709"/>
        <w:jc w:val="both"/>
        <w:rPr>
          <w:b/>
          <w:bCs/>
          <w:lang w:eastAsia="zh-CN"/>
        </w:rPr>
      </w:pPr>
      <w:r>
        <w:t>General Information</w:t>
      </w:r>
    </w:p>
    <w:p w14:paraId="1EC84636" w14:textId="77777777" w:rsidR="00990EA3" w:rsidRDefault="00990EA3" w:rsidP="00990EA3">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Name/Code: Sodium bromate/clo;</w:t>
      </w:r>
    </w:p>
    <w:p w14:paraId="043A35F3" w14:textId="77777777" w:rsidR="00C73F46" w:rsidRDefault="00990EA3"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Characterization: white or nearly white powder;</w:t>
      </w:r>
    </w:p>
    <w:p w14:paraId="483464D2"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 xml:space="preserve">Specification: 30 g/bottle; </w:t>
      </w:r>
    </w:p>
    <w:p w14:paraId="1D0CB950" w14:textId="77777777" w:rsidR="00C73F46" w:rsidRDefault="00C73F46" w:rsidP="00C73F46">
      <w:pPr>
        <w:pStyle w:val="WXBodyText"/>
        <w:spacing w:before="0" w:after="0" w:line="360" w:lineRule="auto"/>
        <w:ind w:left="0" w:firstLineChars="200" w:firstLine="480"/>
        <w:rPr>
          <w:rFonts w:cs="Times New Roman" w:hint="eastAsia"/>
        </w:rPr>
      </w:pPr>
      <w:r>
        <w:t xml:space="preserve">Purity: 98.8%; </w:t>
      </w:r>
    </w:p>
    <w:p w14:paraId="0C2DF08E"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Batch number: D163703;</w:t>
      </w:r>
    </w:p>
    <w:p w14:paraId="59723DCB" w14:textId="77777777" w:rsidR="00C73F46"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Expiry date: 2019-11-25;</w:t>
      </w:r>
    </w:p>
    <w:p w14:paraId="0EB97628" w14:textId="77777777" w:rsidR="00990EA3" w:rsidRDefault="00C73F46" w:rsidP="00C73F46">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Storage condition: 15 ℃~ 25 ℃, airtight, protected from light, dry;</w:t>
      </w:r>
    </w:p>
    <w:p w14:paraId="7BF69519" w14:textId="77777777" w:rsidR="00990EA3" w:rsidRDefault="00990EA3" w:rsidP="00990EA3">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Manufacturer: Chengdu Best Reagents Co., Ltd.;</w:t>
      </w:r>
    </w:p>
    <w:p w14:paraId="3DC2E59B" w14:textId="77777777" w:rsidR="00990EA3" w:rsidRDefault="00990EA3" w:rsidP="00990EA3">
      <w:pPr>
        <w:pStyle w:val="WXBodyText"/>
        <w:widowControl w:val="0"/>
        <w:kinsoku w:val="0"/>
        <w:overflowPunct w:val="0"/>
        <w:autoSpaceDE w:val="0"/>
        <w:autoSpaceDN w:val="0"/>
        <w:adjustRightInd w:val="0"/>
        <w:snapToGrid w:val="0"/>
        <w:spacing w:before="0" w:after="0" w:line="360" w:lineRule="auto"/>
        <w:ind w:left="0" w:firstLineChars="200" w:firstLine="480"/>
        <w:rPr>
          <w:rFonts w:cs="Times New Roman" w:hint="eastAsia"/>
        </w:rPr>
      </w:pPr>
      <w:r>
        <w:t>Supplier: Chengdu Sibicon Biomedical Technology Co., Ltd.</w:t>
      </w:r>
    </w:p>
    <w:p w14:paraId="78EF3928" w14:textId="77777777" w:rsidR="00990EA3" w:rsidRDefault="00990EA3" w:rsidP="00184341">
      <w:pPr>
        <w:keepNext/>
        <w:widowControl w:val="0"/>
        <w:numPr>
          <w:ilvl w:val="2"/>
          <w:numId w:val="9"/>
        </w:numPr>
        <w:spacing w:line="360" w:lineRule="auto"/>
        <w:ind w:left="711" w:hangingChars="295" w:hanging="711"/>
        <w:jc w:val="both"/>
        <w:rPr>
          <w:b/>
          <w:bCs/>
          <w:lang w:eastAsia="zh-CN"/>
        </w:rPr>
      </w:pPr>
      <w:r>
        <w:t>Positive reference item preparation</w:t>
      </w:r>
    </w:p>
    <w:p w14:paraId="0C70A92C" w14:textId="77777777" w:rsidR="00990EA3" w:rsidRPr="00990EA3" w:rsidRDefault="00990EA3" w:rsidP="00990EA3">
      <w:pPr>
        <w:widowControl w:val="0"/>
        <w:spacing w:line="360" w:lineRule="auto"/>
        <w:ind w:firstLineChars="200" w:firstLine="480"/>
        <w:jc w:val="both"/>
        <w:rPr>
          <w:kern w:val="2"/>
          <w:szCs w:val="20"/>
          <w:lang w:eastAsia="zh-CN"/>
        </w:rPr>
      </w:pPr>
      <w:r>
        <w:t>Preparation method: Based on the most recent body weight of ICR mice and dose calculation, determine the amount of the test article (reference item). Based on the quantity of the test article and the required concentration, calculate the preparation volume [Volume = (Test article amount × content) / concentration]. Under room temperature and light-avoiding conditions, accurately measure a specific amount of the reference item into a mortar, add an appropriate amount of vehicle for thorough grinding, then transfer completely into a container of a specific volume, adjust with vehicle to the desired concentration, and obtain the necessary concentration dose formulations for the control group.</w:t>
      </w:r>
    </w:p>
    <w:p w14:paraId="5916B75A" w14:textId="77777777" w:rsidR="00990EA3" w:rsidRDefault="00990EA3" w:rsidP="00990EA3">
      <w:pPr>
        <w:spacing w:line="360" w:lineRule="auto"/>
        <w:ind w:firstLineChars="200" w:firstLine="480"/>
        <w:jc w:val="both"/>
        <w:rPr>
          <w:bCs/>
          <w:lang w:eastAsia="zh-CN"/>
        </w:rPr>
      </w:pPr>
      <w:r>
        <w:t xml:space="preserve">Preparation method example: Using preparation of 100 mL dose formulation as an example: </w:t>
      </w:r>
    </w:p>
    <w:tbl>
      <w:tblPr>
        <w:tblW w:w="0" w:type="auto"/>
        <w:tblInd w:w="0" w:type="dxa"/>
        <w:tblBorders>
          <w:top w:val="single" w:sz="12" w:space="0" w:color="auto"/>
          <w:bottom w:val="single" w:sz="12" w:space="0" w:color="auto"/>
          <w:insideH w:val="single" w:sz="6" w:space="0" w:color="auto"/>
        </w:tblBorders>
        <w:tblLayout w:type="fixed"/>
        <w:tblCellMar>
          <w:left w:w="0" w:type="dxa"/>
          <w:right w:w="0" w:type="dxa"/>
        </w:tblCellMar>
        <w:tblLook w:val="0000" w:firstRow="0" w:lastRow="0" w:firstColumn="0" w:lastColumn="0" w:noHBand="0" w:noVBand="0"/>
      </w:tblPr>
      <w:tblGrid>
        <w:gridCol w:w="1730"/>
        <w:gridCol w:w="1381"/>
        <w:gridCol w:w="1380"/>
        <w:gridCol w:w="4378"/>
      </w:tblGrid>
      <w:tr w:rsidR="00990EA3" w14:paraId="3229A00D" w14:textId="77777777" w:rsidTr="00990EA3">
        <w:trPr>
          <w:trHeight w:val="453"/>
          <w:tblHeader/>
        </w:trPr>
        <w:tc>
          <w:tcPr>
            <w:tcW w:w="1730" w:type="dxa"/>
            <w:tcMar>
              <w:top w:w="0" w:type="dxa"/>
              <w:left w:w="105" w:type="dxa"/>
              <w:bottom w:w="0" w:type="dxa"/>
              <w:right w:w="105" w:type="dxa"/>
            </w:tcMar>
            <w:vAlign w:val="center"/>
          </w:tcPr>
          <w:p w14:paraId="5784E4A4" w14:textId="77777777" w:rsidR="00990EA3" w:rsidRDefault="00990EA3" w:rsidP="00990EA3">
            <w:pPr>
              <w:jc w:val="center"/>
              <w:rPr>
                <w:sz w:val="21"/>
                <w:szCs w:val="18"/>
                <w:lang w:eastAsia="zh-CN"/>
              </w:rPr>
            </w:pPr>
            <w:r>
              <w:t>group</w:t>
            </w:r>
          </w:p>
        </w:tc>
        <w:tc>
          <w:tcPr>
            <w:tcW w:w="1381" w:type="dxa"/>
            <w:vAlign w:val="center"/>
          </w:tcPr>
          <w:p w14:paraId="20444577" w14:textId="77777777" w:rsidR="00990EA3" w:rsidRDefault="00990EA3" w:rsidP="00990EA3">
            <w:pPr>
              <w:jc w:val="center"/>
              <w:rPr>
                <w:b/>
                <w:bCs/>
                <w:sz w:val="21"/>
                <w:szCs w:val="18"/>
                <w:lang w:eastAsia="zh-CN"/>
              </w:rPr>
            </w:pPr>
            <w:r>
              <w:t>Dosage</w:t>
            </w:r>
          </w:p>
          <w:p w14:paraId="7629B08E" w14:textId="77777777" w:rsidR="00990EA3" w:rsidRDefault="00990EA3" w:rsidP="00990EA3">
            <w:pPr>
              <w:jc w:val="center"/>
              <w:rPr>
                <w:b/>
                <w:bCs/>
                <w:sz w:val="21"/>
                <w:szCs w:val="18"/>
                <w:lang w:eastAsia="zh-CN"/>
              </w:rPr>
            </w:pPr>
            <w:r>
              <w:rPr>
                <w:b/>
                <w:bCs/>
                <w:sz w:val="21"/>
                <w:szCs w:val="18"/>
                <w:lang w:eastAsia="zh-CN"/>
              </w:rPr>
              <w:t>（</w:t>
            </w:r>
            <w:r>
              <w:rPr>
                <w:b/>
                <w:bCs/>
                <w:sz w:val="21"/>
                <w:szCs w:val="18"/>
                <w:lang w:eastAsia="zh-CN"/>
              </w:rPr>
              <w:t>mg/kg</w:t>
            </w:r>
            <w:r>
              <w:rPr>
                <w:b/>
                <w:bCs/>
                <w:sz w:val="21"/>
                <w:szCs w:val="18"/>
                <w:lang w:eastAsia="zh-CN"/>
              </w:rPr>
              <w:t>）</w:t>
            </w:r>
          </w:p>
        </w:tc>
        <w:tc>
          <w:tcPr>
            <w:tcW w:w="1380" w:type="dxa"/>
            <w:tcMar>
              <w:top w:w="0" w:type="dxa"/>
              <w:left w:w="105" w:type="dxa"/>
              <w:bottom w:w="0" w:type="dxa"/>
              <w:right w:w="105" w:type="dxa"/>
            </w:tcMar>
            <w:vAlign w:val="center"/>
          </w:tcPr>
          <w:p w14:paraId="38673EFB" w14:textId="77777777" w:rsidR="00990EA3" w:rsidRDefault="00990EA3" w:rsidP="00990EA3">
            <w:pPr>
              <w:jc w:val="center"/>
              <w:rPr>
                <w:b/>
                <w:bCs/>
                <w:sz w:val="21"/>
                <w:szCs w:val="18"/>
                <w:lang w:eastAsia="zh-CN"/>
              </w:rPr>
            </w:pPr>
            <w:r>
              <w:t>Concentration</w:t>
            </w:r>
          </w:p>
          <w:p w14:paraId="6BE805B6" w14:textId="77777777" w:rsidR="00990EA3" w:rsidRDefault="00990EA3" w:rsidP="00990EA3">
            <w:pPr>
              <w:jc w:val="center"/>
              <w:rPr>
                <w:sz w:val="21"/>
                <w:szCs w:val="18"/>
                <w:lang w:eastAsia="zh-CN"/>
              </w:rPr>
            </w:pPr>
            <w:r>
              <w:rPr>
                <w:b/>
                <w:bCs/>
                <w:sz w:val="21"/>
                <w:szCs w:val="18"/>
                <w:lang w:eastAsia="zh-CN"/>
              </w:rPr>
              <w:t>（</w:t>
            </w:r>
            <w:r>
              <w:rPr>
                <w:b/>
                <w:bCs/>
                <w:sz w:val="21"/>
                <w:szCs w:val="18"/>
                <w:lang w:eastAsia="zh-CN"/>
              </w:rPr>
              <w:t>mg/mL</w:t>
            </w:r>
            <w:r>
              <w:rPr>
                <w:b/>
                <w:bCs/>
                <w:sz w:val="21"/>
                <w:szCs w:val="18"/>
                <w:lang w:eastAsia="zh-CN"/>
              </w:rPr>
              <w:t>）</w:t>
            </w:r>
          </w:p>
        </w:tc>
        <w:tc>
          <w:tcPr>
            <w:tcW w:w="4378" w:type="dxa"/>
            <w:tcMar>
              <w:top w:w="0" w:type="dxa"/>
              <w:left w:w="105" w:type="dxa"/>
              <w:bottom w:w="0" w:type="dxa"/>
              <w:right w:w="105" w:type="dxa"/>
            </w:tcMar>
            <w:vAlign w:val="center"/>
          </w:tcPr>
          <w:p w14:paraId="3F3011DA" w14:textId="77777777" w:rsidR="00990EA3" w:rsidRDefault="00990EA3" w:rsidP="00990EA3">
            <w:pPr>
              <w:jc w:val="center"/>
              <w:rPr>
                <w:sz w:val="21"/>
                <w:szCs w:val="18"/>
                <w:lang w:eastAsia="zh-CN"/>
              </w:rPr>
            </w:pPr>
            <w:r>
              <w:t>Preparation method</w:t>
            </w:r>
          </w:p>
        </w:tc>
      </w:tr>
      <w:tr w:rsidR="00990EA3" w14:paraId="783C523A" w14:textId="77777777" w:rsidTr="00990EA3">
        <w:trPr>
          <w:trHeight w:val="292"/>
        </w:trPr>
        <w:tc>
          <w:tcPr>
            <w:tcW w:w="1730" w:type="dxa"/>
            <w:tcMar>
              <w:top w:w="0" w:type="dxa"/>
              <w:left w:w="105" w:type="dxa"/>
              <w:bottom w:w="0" w:type="dxa"/>
              <w:right w:w="105" w:type="dxa"/>
            </w:tcMar>
            <w:vAlign w:val="center"/>
          </w:tcPr>
          <w:p w14:paraId="01EDF3FC" w14:textId="77777777" w:rsidR="00990EA3" w:rsidRDefault="00990EA3" w:rsidP="00990EA3">
            <w:pPr>
              <w:spacing w:line="360" w:lineRule="auto"/>
              <w:jc w:val="center"/>
              <w:rPr>
                <w:bCs/>
                <w:sz w:val="21"/>
                <w:szCs w:val="18"/>
                <w:lang w:eastAsia="zh-CN"/>
              </w:rPr>
            </w:pPr>
            <w:r>
              <w:rPr>
                <w:rFonts w:hint="eastAsia"/>
                <w:bCs/>
                <w:sz w:val="21"/>
                <w:szCs w:val="18"/>
                <w:lang w:eastAsia="zh-CN"/>
              </w:rPr>
              <w:t>clo</w:t>
            </w:r>
          </w:p>
          <w:p w14:paraId="20B5B52F" w14:textId="77777777" w:rsidR="00990EA3" w:rsidRDefault="00990EA3" w:rsidP="00990EA3">
            <w:pPr>
              <w:spacing w:line="360" w:lineRule="auto"/>
              <w:jc w:val="center"/>
              <w:rPr>
                <w:bCs/>
                <w:sz w:val="21"/>
                <w:szCs w:val="18"/>
                <w:lang w:eastAsia="zh-CN"/>
              </w:rPr>
            </w:pPr>
            <w:r>
              <w:t>dose group</w:t>
            </w:r>
          </w:p>
        </w:tc>
        <w:tc>
          <w:tcPr>
            <w:tcW w:w="1381" w:type="dxa"/>
            <w:vAlign w:val="center"/>
          </w:tcPr>
          <w:p w14:paraId="75F48D1D" w14:textId="77777777" w:rsidR="00990EA3" w:rsidRDefault="00990EA3" w:rsidP="00990EA3">
            <w:pPr>
              <w:spacing w:line="360" w:lineRule="auto"/>
              <w:jc w:val="center"/>
              <w:rPr>
                <w:bCs/>
                <w:sz w:val="21"/>
                <w:szCs w:val="18"/>
                <w:lang w:eastAsia="zh-CN"/>
              </w:rPr>
            </w:pPr>
            <w:r>
              <w:rPr>
                <w:rFonts w:hint="eastAsia"/>
                <w:bCs/>
                <w:sz w:val="21"/>
                <w:szCs w:val="18"/>
                <w:lang w:eastAsia="zh-CN"/>
              </w:rPr>
              <w:t>5000</w:t>
            </w:r>
          </w:p>
        </w:tc>
        <w:tc>
          <w:tcPr>
            <w:tcW w:w="1380" w:type="dxa"/>
            <w:tcMar>
              <w:top w:w="0" w:type="dxa"/>
              <w:left w:w="105" w:type="dxa"/>
              <w:bottom w:w="0" w:type="dxa"/>
              <w:right w:w="105" w:type="dxa"/>
            </w:tcMar>
            <w:vAlign w:val="center"/>
          </w:tcPr>
          <w:p w14:paraId="41D6757D" w14:textId="77777777" w:rsidR="00990EA3" w:rsidRDefault="00990EA3" w:rsidP="00990EA3">
            <w:pPr>
              <w:spacing w:line="360" w:lineRule="auto"/>
              <w:jc w:val="center"/>
              <w:rPr>
                <w:sz w:val="21"/>
                <w:szCs w:val="18"/>
                <w:lang w:eastAsia="zh-CN"/>
              </w:rPr>
            </w:pPr>
            <w:r>
              <w:rPr>
                <w:rFonts w:hint="eastAsia"/>
                <w:sz w:val="21"/>
                <w:szCs w:val="18"/>
                <w:lang w:eastAsia="zh-CN"/>
              </w:rPr>
              <w:t>250</w:t>
            </w:r>
          </w:p>
        </w:tc>
        <w:tc>
          <w:tcPr>
            <w:tcW w:w="4378" w:type="dxa"/>
            <w:tcMar>
              <w:top w:w="0" w:type="dxa"/>
              <w:left w:w="105" w:type="dxa"/>
              <w:bottom w:w="0" w:type="dxa"/>
              <w:right w:w="105" w:type="dxa"/>
            </w:tcMar>
            <w:vAlign w:val="center"/>
          </w:tcPr>
          <w:p w14:paraId="5B66223D" w14:textId="77777777" w:rsidR="00990EA3" w:rsidRDefault="00990EA3" w:rsidP="00990EA3">
            <w:pPr>
              <w:spacing w:line="360" w:lineRule="auto"/>
              <w:ind w:firstLineChars="200" w:firstLine="420"/>
              <w:jc w:val="both"/>
              <w:rPr>
                <w:bCs/>
                <w:color w:val="FF0000"/>
                <w:sz w:val="21"/>
                <w:szCs w:val="18"/>
                <w:lang w:eastAsia="zh-CN"/>
              </w:rPr>
            </w:pPr>
            <w:r>
              <w:t>Accurately weigh 25,304 mg of clo, fully grind it with 0.5% CMC-Na solution, completely transfer it to a labeled beaker (100 mL), dilute to the mark with 0.5% CMC-Na solution to make a dose formulation of 250 mg/mL clo dose group up to 100 mL.</w:t>
            </w:r>
          </w:p>
        </w:tc>
      </w:tr>
    </w:tbl>
    <w:p w14:paraId="3D2B73A1" w14:textId="77777777" w:rsidR="00990EA3" w:rsidRDefault="00990EA3" w:rsidP="00990EA3">
      <w:pPr>
        <w:spacing w:line="360" w:lineRule="auto"/>
        <w:ind w:firstLineChars="200" w:firstLine="480"/>
        <w:rPr>
          <w:bCs/>
          <w:lang w:eastAsia="zh-CN"/>
        </w:rPr>
      </w:pPr>
      <w:r>
        <w:t>Preparation condition: room temperature, protected from excessive light;</w:t>
      </w:r>
    </w:p>
    <w:p w14:paraId="46FFCB5E" w14:textId="77777777" w:rsidR="00990EA3" w:rsidRDefault="00990EA3" w:rsidP="00990EA3">
      <w:pPr>
        <w:spacing w:line="360" w:lineRule="auto"/>
        <w:ind w:firstLineChars="200" w:firstLine="480"/>
        <w:jc w:val="both"/>
        <w:rPr>
          <w:bCs/>
          <w:lang w:eastAsia="zh-CN"/>
        </w:rPr>
      </w:pPr>
      <w:r>
        <w:t>Identification method: The prepared clodose group dose formulations are marked with yellow labels, indicating the study number, name, concentration, quantity, preparation date, preparer, storage conditions, expiration date, and product number.</w:t>
      </w:r>
    </w:p>
    <w:p w14:paraId="5E29B3DB" w14:textId="77777777" w:rsidR="00F41D01" w:rsidRDefault="00990EA3" w:rsidP="00990EA3">
      <w:pPr>
        <w:widowControl w:val="0"/>
        <w:kinsoku w:val="0"/>
        <w:overflowPunct w:val="0"/>
        <w:autoSpaceDE w:val="0"/>
        <w:autoSpaceDN w:val="0"/>
        <w:spacing w:line="360" w:lineRule="auto"/>
        <w:ind w:firstLineChars="200" w:firstLine="480"/>
        <w:jc w:val="both"/>
        <w:rPr>
          <w:rFonts w:hint="eastAsia"/>
          <w:bCs/>
          <w:lang w:eastAsia="zh-CN"/>
        </w:rPr>
      </w:pPr>
      <w:r>
        <w:t>Storage conditions and expiry date after preparation: room temperature, light-resistant, use within 4 hours.</w:t>
      </w:r>
    </w:p>
    <w:p w14:paraId="00E5C92E" w14:textId="77777777" w:rsidR="002A54AA" w:rsidRDefault="002A54AA" w:rsidP="00184341">
      <w:pPr>
        <w:keepNext/>
        <w:widowControl w:val="0"/>
        <w:numPr>
          <w:ilvl w:val="2"/>
          <w:numId w:val="9"/>
        </w:numPr>
        <w:spacing w:line="360" w:lineRule="auto"/>
        <w:ind w:left="711" w:hangingChars="295" w:hanging="711"/>
        <w:jc w:val="both"/>
        <w:rPr>
          <w:b/>
          <w:bCs/>
          <w:lang w:eastAsia="zh-CN"/>
        </w:rPr>
      </w:pPr>
      <w:r>
        <w:t>Retention of samples and disposal of remaining positive control items dose formulations/positive control items</w:t>
      </w:r>
    </w:p>
    <w:p w14:paraId="0A639D6A" w14:textId="77777777" w:rsidR="002A54AA" w:rsidRDefault="002A54AA" w:rsidP="002A54AA">
      <w:pPr>
        <w:widowControl w:val="0"/>
        <w:spacing w:line="360" w:lineRule="auto"/>
        <w:ind w:firstLineChars="200" w:firstLine="480"/>
        <w:jc w:val="both"/>
        <w:rPr>
          <w:kern w:val="2"/>
          <w:szCs w:val="20"/>
          <w:lang w:eastAsia="zh-CN"/>
        </w:rPr>
      </w:pPr>
      <w:r>
        <w:t>Positive control item retention samples: Returned to the Test Article Management Department and disposed of according to medication/chemical waste requirements;</w:t>
      </w:r>
    </w:p>
    <w:p w14:paraId="2A9AABB9" w14:textId="77777777" w:rsidR="002A54AA" w:rsidRDefault="002A54AA" w:rsidP="002A54AA">
      <w:pPr>
        <w:widowControl w:val="0"/>
        <w:spacing w:line="360" w:lineRule="auto"/>
        <w:ind w:firstLineChars="200" w:firstLine="480"/>
        <w:jc w:val="both"/>
        <w:rPr>
          <w:kern w:val="2"/>
          <w:szCs w:val="20"/>
          <w:lang w:eastAsia="zh-CN"/>
        </w:rPr>
      </w:pPr>
      <w:r>
        <w:t>Handling of remaining dose formulations: Performing test article retention samples according to the company's related SOP;</w:t>
      </w:r>
    </w:p>
    <w:p w14:paraId="0ABAB0BD" w14:textId="77777777" w:rsidR="002A54AA" w:rsidRDefault="002A54AA" w:rsidP="002A54AA">
      <w:pPr>
        <w:widowControl w:val="0"/>
        <w:spacing w:line="360" w:lineRule="auto"/>
        <w:ind w:firstLineChars="200" w:firstLine="480"/>
        <w:jc w:val="both"/>
        <w:rPr>
          <w:kern w:val="2"/>
          <w:szCs w:val="20"/>
          <w:lang w:eastAsia="zh-CN"/>
        </w:rPr>
      </w:pPr>
      <w:r>
        <w:t>retention samples positive reference item disposal: this batch of test article retention samples follow the records of the Test Article Management Department, after project completion perform archiving as per SOP regulations, store at this institution's archives management department retention samples archive room;</w:t>
      </w:r>
    </w:p>
    <w:p w14:paraId="371AFA4C" w14:textId="77777777" w:rsidR="00F41D01" w:rsidRPr="002A54AA" w:rsidRDefault="002A54AA" w:rsidP="002A54AA">
      <w:pPr>
        <w:widowControl w:val="0"/>
        <w:spacing w:line="360" w:lineRule="auto"/>
        <w:ind w:firstLineChars="200" w:firstLine="480"/>
        <w:jc w:val="both"/>
        <w:rPr>
          <w:rFonts w:hint="eastAsia"/>
          <w:kern w:val="2"/>
          <w:szCs w:val="20"/>
          <w:lang w:eastAsia="zh-CN"/>
        </w:rPr>
      </w:pPr>
      <w:r>
        <w:t>Remaining positive reference item disposal: Return to the sponsor after all studies of this project are completed.</w:t>
      </w:r>
    </w:p>
    <w:p w14:paraId="2100F736" w14:textId="77777777" w:rsidR="002A54AA" w:rsidRDefault="002A54AA" w:rsidP="002A54AA">
      <w:pPr>
        <w:keepNext/>
        <w:widowControl w:val="0"/>
        <w:numPr>
          <w:ilvl w:val="1"/>
          <w:numId w:val="9"/>
        </w:numPr>
        <w:spacing w:line="360" w:lineRule="auto"/>
        <w:jc w:val="both"/>
        <w:outlineLvl w:val="1"/>
        <w:rPr>
          <w:b/>
          <w:kern w:val="2"/>
          <w:lang w:eastAsia="zh-CN"/>
        </w:rPr>
      </w:pPr>
      <w:r>
        <w:t>Vehicle</w:t>
      </w:r>
    </w:p>
    <w:p w14:paraId="3D189A40" w14:textId="77777777" w:rsidR="002A54AA" w:rsidRDefault="002A54AA" w:rsidP="00184341">
      <w:pPr>
        <w:keepNext/>
        <w:widowControl w:val="0"/>
        <w:numPr>
          <w:ilvl w:val="2"/>
          <w:numId w:val="9"/>
        </w:numPr>
        <w:spacing w:line="360" w:lineRule="auto"/>
        <w:ind w:left="711" w:hangingChars="295" w:hanging="711"/>
        <w:jc w:val="both"/>
        <w:rPr>
          <w:b/>
          <w:bCs/>
          <w:lang w:eastAsia="zh-CN"/>
        </w:rPr>
      </w:pPr>
      <w:r>
        <w:t>General Information</w:t>
      </w:r>
    </w:p>
    <w:p w14:paraId="73E25599" w14:textId="77777777" w:rsidR="002A54AA" w:rsidRDefault="002A54AA" w:rsidP="002A54AA">
      <w:pPr>
        <w:widowControl w:val="0"/>
        <w:spacing w:line="360" w:lineRule="auto"/>
        <w:ind w:firstLineChars="200" w:firstLine="480"/>
        <w:jc w:val="both"/>
        <w:rPr>
          <w:rFonts w:hint="eastAsia"/>
          <w:bCs/>
          <w:kern w:val="2"/>
          <w:lang w:eastAsia="zh-CN"/>
        </w:rPr>
      </w:pPr>
      <w:r>
        <w:t>name: carboxymethylcellulose sodium (CMC-Na)；</w:t>
      </w:r>
    </w:p>
    <w:p w14:paraId="4CFAD24E" w14:textId="77777777" w:rsidR="002A54AA" w:rsidRDefault="002A54AA" w:rsidP="002A54AA">
      <w:pPr>
        <w:widowControl w:val="0"/>
        <w:spacing w:line="360" w:lineRule="auto"/>
        <w:ind w:firstLineChars="200" w:firstLine="480"/>
        <w:jc w:val="both"/>
        <w:rPr>
          <w:rFonts w:hint="eastAsia"/>
          <w:bCs/>
          <w:kern w:val="2"/>
          <w:lang w:eastAsia="zh-CN"/>
        </w:rPr>
      </w:pPr>
      <w:r>
        <w:t>Characterization: White to grayish powder or crystal;</w:t>
      </w:r>
    </w:p>
    <w:p w14:paraId="4D62E0C3" w14:textId="77777777" w:rsidR="002A54AA" w:rsidRDefault="002A54AA" w:rsidP="002A54AA">
      <w:pPr>
        <w:widowControl w:val="0"/>
        <w:spacing w:line="360" w:lineRule="auto"/>
        <w:ind w:firstLineChars="200" w:firstLine="480"/>
        <w:jc w:val="both"/>
        <w:rPr>
          <w:rFonts w:hint="eastAsia"/>
          <w:bCs/>
          <w:kern w:val="2"/>
          <w:lang w:eastAsia="zh-CN"/>
        </w:rPr>
      </w:pPr>
      <w:r>
        <w:t>Specification: 500g ;</w:t>
      </w:r>
    </w:p>
    <w:p w14:paraId="65557E4A" w14:textId="77777777" w:rsidR="002A54AA" w:rsidRDefault="002A54AA" w:rsidP="002A54AA">
      <w:pPr>
        <w:widowControl w:val="0"/>
        <w:spacing w:line="360" w:lineRule="auto"/>
        <w:ind w:firstLineChars="200" w:firstLine="480"/>
        <w:jc w:val="both"/>
        <w:rPr>
          <w:rFonts w:hint="eastAsia"/>
          <w:bCs/>
          <w:kern w:val="2"/>
          <w:lang w:eastAsia="zh-CN"/>
        </w:rPr>
      </w:pPr>
      <w:r>
        <w:t>Batch Number: F1719015;</w:t>
      </w:r>
    </w:p>
    <w:p w14:paraId="1BDADAD7" w14:textId="77777777" w:rsidR="002A54AA" w:rsidRDefault="002A54AA" w:rsidP="002A54AA">
      <w:pPr>
        <w:widowControl w:val="0"/>
        <w:spacing w:line="360" w:lineRule="auto"/>
        <w:ind w:firstLineChars="200" w:firstLine="480"/>
        <w:jc w:val="both"/>
        <w:rPr>
          <w:rFonts w:hint="eastAsia"/>
          <w:bCs/>
          <w:kern w:val="2"/>
          <w:lang w:eastAsia="zh-CN"/>
        </w:rPr>
      </w:pPr>
      <w:r>
        <w:t>Expiry date: Three years after opening (2021-10-22);</w:t>
      </w:r>
    </w:p>
    <w:p w14:paraId="360A2A8B" w14:textId="77777777" w:rsidR="002A54AA" w:rsidRDefault="002A54AA" w:rsidP="002A54AA">
      <w:pPr>
        <w:widowControl w:val="0"/>
        <w:spacing w:line="360" w:lineRule="auto"/>
        <w:ind w:firstLineChars="200" w:firstLine="480"/>
        <w:jc w:val="both"/>
        <w:rPr>
          <w:rFonts w:hint="eastAsia"/>
          <w:bCs/>
          <w:kern w:val="2"/>
          <w:lang w:eastAsia="zh-CN"/>
        </w:rPr>
      </w:pPr>
      <w:r>
        <w:t>Storage condition: room temperature;</w:t>
      </w:r>
    </w:p>
    <w:p w14:paraId="3F0EF86E" w14:textId="77777777" w:rsidR="002A54AA" w:rsidRDefault="002A54AA" w:rsidP="002A54AA">
      <w:pPr>
        <w:widowControl w:val="0"/>
        <w:spacing w:line="360" w:lineRule="auto"/>
        <w:ind w:firstLineChars="200" w:firstLine="480"/>
        <w:jc w:val="both"/>
        <w:rPr>
          <w:rFonts w:hint="eastAsia"/>
          <w:bCs/>
          <w:kern w:val="2"/>
          <w:lang w:eastAsia="zh-CN"/>
        </w:rPr>
      </w:pPr>
      <w:r>
        <w:t>Manufacturer: Shanghai Alading Biochemical Technology Co., Ltd.</w:t>
      </w:r>
    </w:p>
    <w:p w14:paraId="3C5D56F3" w14:textId="77777777" w:rsidR="002A54AA" w:rsidRDefault="002A54AA" w:rsidP="00184341">
      <w:pPr>
        <w:keepNext/>
        <w:widowControl w:val="0"/>
        <w:numPr>
          <w:ilvl w:val="2"/>
          <w:numId w:val="9"/>
        </w:numPr>
        <w:spacing w:line="360" w:lineRule="auto"/>
        <w:ind w:left="711" w:hangingChars="295" w:hanging="711"/>
        <w:jc w:val="both"/>
        <w:rPr>
          <w:b/>
          <w:bCs/>
          <w:lang w:eastAsia="zh-CN"/>
        </w:rPr>
      </w:pPr>
      <w:r>
        <w:t>Vehicle preparation</w:t>
      </w:r>
    </w:p>
    <w:p w14:paraId="63DD6A96" w14:textId="77777777" w:rsidR="002A54AA" w:rsidRDefault="002A54AA" w:rsidP="002A54AA">
      <w:pPr>
        <w:widowControl w:val="0"/>
        <w:spacing w:line="360" w:lineRule="auto"/>
        <w:ind w:firstLineChars="200" w:firstLine="480"/>
        <w:jc w:val="both"/>
        <w:rPr>
          <w:rFonts w:hint="eastAsia"/>
          <w:bCs/>
          <w:kern w:val="2"/>
          <w:szCs w:val="20"/>
          <w:lang w:eastAsia="zh-CN"/>
        </w:rPr>
      </w:pPr>
      <w:r>
        <w:t>Preparation method: Accurately measure a specific amount of CMC-Na powder, using a volumetric cylinder to measure a specific volume of pure water and transfer it to a beaker. Evenly disperse the CMC-Na powder into the beaker, add a stirring bar, and use a magnetic stirrer to stir until completely dissolved, thus obtaining 0.5% CMC-Na solution;</w:t>
      </w:r>
    </w:p>
    <w:p w14:paraId="404EF32E" w14:textId="77777777" w:rsidR="002A54AA" w:rsidRDefault="002A54AA" w:rsidP="002A54AA">
      <w:pPr>
        <w:widowControl w:val="0"/>
        <w:spacing w:line="360" w:lineRule="auto"/>
        <w:ind w:firstLineChars="200" w:firstLine="480"/>
        <w:jc w:val="both"/>
        <w:rPr>
          <w:rFonts w:hint="eastAsia"/>
          <w:bCs/>
          <w:kern w:val="2"/>
          <w:szCs w:val="20"/>
          <w:lang w:eastAsia="zh-CN"/>
        </w:rPr>
      </w:pPr>
      <w:r>
        <w:t>preparation method example: preparation of 100 mL 0.5 % CMC-Na as an example:</w:t>
      </w:r>
    </w:p>
    <w:tbl>
      <w:tblPr>
        <w:tblW w:w="0" w:type="auto"/>
        <w:jc w:val="center"/>
        <w:tblInd w:w="0" w:type="dxa"/>
        <w:tblBorders>
          <w:top w:val="single" w:sz="12" w:space="0" w:color="auto"/>
          <w:bottom w:val="single" w:sz="12" w:space="0" w:color="auto"/>
          <w:insideH w:val="single" w:sz="6" w:space="0" w:color="auto"/>
        </w:tblBorders>
        <w:tblLayout w:type="fixed"/>
        <w:tblCellMar>
          <w:left w:w="0" w:type="dxa"/>
          <w:right w:w="0" w:type="dxa"/>
        </w:tblCellMar>
        <w:tblLook w:val="0000" w:firstRow="0" w:lastRow="0" w:firstColumn="0" w:lastColumn="0" w:noHBand="0" w:noVBand="0"/>
      </w:tblPr>
      <w:tblGrid>
        <w:gridCol w:w="1886"/>
        <w:gridCol w:w="1712"/>
        <w:gridCol w:w="4913"/>
      </w:tblGrid>
      <w:tr w:rsidR="002A54AA" w14:paraId="3DF1623B" w14:textId="77777777" w:rsidTr="002A54AA">
        <w:trPr>
          <w:trHeight w:val="494"/>
          <w:tblHeader/>
          <w:jc w:val="center"/>
        </w:trPr>
        <w:tc>
          <w:tcPr>
            <w:tcW w:w="1886" w:type="dxa"/>
            <w:tcMar>
              <w:top w:w="0" w:type="dxa"/>
              <w:left w:w="105" w:type="dxa"/>
              <w:bottom w:w="0" w:type="dxa"/>
              <w:right w:w="105" w:type="dxa"/>
            </w:tcMar>
            <w:vAlign w:val="center"/>
          </w:tcPr>
          <w:p w14:paraId="2FD3FAC3" w14:textId="77777777" w:rsidR="002A54AA" w:rsidRDefault="002A54AA" w:rsidP="00184341">
            <w:pPr>
              <w:spacing w:line="360" w:lineRule="auto"/>
              <w:ind w:firstLineChars="347" w:firstLine="732"/>
              <w:rPr>
                <w:sz w:val="21"/>
                <w:szCs w:val="21"/>
                <w:lang w:eastAsia="zh-CN"/>
              </w:rPr>
            </w:pPr>
            <w:r>
              <w:t>group</w:t>
            </w:r>
          </w:p>
        </w:tc>
        <w:tc>
          <w:tcPr>
            <w:tcW w:w="1712" w:type="dxa"/>
            <w:tcMar>
              <w:top w:w="0" w:type="dxa"/>
              <w:left w:w="105" w:type="dxa"/>
              <w:bottom w:w="0" w:type="dxa"/>
              <w:right w:w="105" w:type="dxa"/>
            </w:tcMar>
            <w:vAlign w:val="center"/>
          </w:tcPr>
          <w:p w14:paraId="7247D684" w14:textId="77777777" w:rsidR="002A54AA" w:rsidRDefault="002A54AA" w:rsidP="002A54AA">
            <w:pPr>
              <w:spacing w:line="360" w:lineRule="auto"/>
              <w:jc w:val="center"/>
              <w:rPr>
                <w:sz w:val="21"/>
                <w:szCs w:val="21"/>
                <w:lang w:eastAsia="zh-CN"/>
              </w:rPr>
            </w:pPr>
            <w:r>
              <w:t>Concentration</w:t>
            </w:r>
          </w:p>
        </w:tc>
        <w:tc>
          <w:tcPr>
            <w:tcW w:w="4913" w:type="dxa"/>
            <w:tcMar>
              <w:top w:w="0" w:type="dxa"/>
              <w:left w:w="105" w:type="dxa"/>
              <w:bottom w:w="0" w:type="dxa"/>
              <w:right w:w="105" w:type="dxa"/>
            </w:tcMar>
            <w:vAlign w:val="center"/>
          </w:tcPr>
          <w:p w14:paraId="48FD7153" w14:textId="77777777" w:rsidR="002A54AA" w:rsidRDefault="002A54AA" w:rsidP="002A54AA">
            <w:pPr>
              <w:spacing w:line="360" w:lineRule="auto"/>
              <w:jc w:val="center"/>
              <w:rPr>
                <w:sz w:val="21"/>
                <w:szCs w:val="21"/>
                <w:lang w:eastAsia="zh-CN"/>
              </w:rPr>
            </w:pPr>
            <w:r>
              <w:t>Preparation method</w:t>
            </w:r>
          </w:p>
        </w:tc>
      </w:tr>
      <w:tr w:rsidR="002A54AA" w14:paraId="5D5D9749" w14:textId="77777777" w:rsidTr="002A54AA">
        <w:trPr>
          <w:trHeight w:val="1634"/>
          <w:jc w:val="center"/>
        </w:trPr>
        <w:tc>
          <w:tcPr>
            <w:tcW w:w="1886" w:type="dxa"/>
            <w:tcMar>
              <w:top w:w="0" w:type="dxa"/>
              <w:left w:w="105" w:type="dxa"/>
              <w:bottom w:w="0" w:type="dxa"/>
              <w:right w:w="105" w:type="dxa"/>
            </w:tcMar>
            <w:vAlign w:val="center"/>
          </w:tcPr>
          <w:p w14:paraId="70524C8B" w14:textId="77777777" w:rsidR="002A54AA" w:rsidRDefault="002A54AA" w:rsidP="002A54AA">
            <w:pPr>
              <w:spacing w:line="360" w:lineRule="auto"/>
              <w:ind w:firstLineChars="50" w:firstLine="105"/>
              <w:jc w:val="center"/>
              <w:rPr>
                <w:sz w:val="21"/>
                <w:szCs w:val="21"/>
                <w:lang w:eastAsia="zh-CN"/>
              </w:rPr>
            </w:pPr>
            <w:r>
              <w:t>Vehicle control group</w:t>
            </w:r>
          </w:p>
        </w:tc>
        <w:tc>
          <w:tcPr>
            <w:tcW w:w="1712" w:type="dxa"/>
            <w:tcMar>
              <w:top w:w="0" w:type="dxa"/>
              <w:left w:w="105" w:type="dxa"/>
              <w:bottom w:w="0" w:type="dxa"/>
              <w:right w:w="105" w:type="dxa"/>
            </w:tcMar>
            <w:vAlign w:val="center"/>
          </w:tcPr>
          <w:p w14:paraId="204F6BE8" w14:textId="77777777" w:rsidR="002A54AA" w:rsidRDefault="002A54AA" w:rsidP="002A54AA">
            <w:pPr>
              <w:spacing w:line="360" w:lineRule="auto"/>
              <w:jc w:val="center"/>
              <w:rPr>
                <w:sz w:val="21"/>
                <w:szCs w:val="21"/>
                <w:lang w:eastAsia="zh-CN"/>
              </w:rPr>
            </w:pPr>
            <w:r>
              <w:rPr>
                <w:sz w:val="21"/>
                <w:szCs w:val="21"/>
                <w:lang w:eastAsia="zh-CN"/>
              </w:rPr>
              <w:t>0.5 %</w:t>
            </w:r>
          </w:p>
        </w:tc>
        <w:tc>
          <w:tcPr>
            <w:tcW w:w="4913" w:type="dxa"/>
            <w:tcMar>
              <w:top w:w="0" w:type="dxa"/>
              <w:left w:w="105" w:type="dxa"/>
              <w:bottom w:w="0" w:type="dxa"/>
              <w:right w:w="105" w:type="dxa"/>
            </w:tcMar>
            <w:vAlign w:val="center"/>
          </w:tcPr>
          <w:p w14:paraId="21EB5D0E" w14:textId="77777777" w:rsidR="002A54AA" w:rsidRDefault="002A54AA" w:rsidP="002A54AA">
            <w:pPr>
              <w:spacing w:line="360" w:lineRule="auto"/>
              <w:ind w:firstLineChars="100" w:firstLine="210"/>
              <w:jc w:val="both"/>
              <w:rPr>
                <w:sz w:val="21"/>
                <w:szCs w:val="21"/>
                <w:lang w:eastAsia="zh-CN"/>
              </w:rPr>
            </w:pPr>
            <w:r>
              <w:t>Accurately weigh 0.5 g of CMC-Na powder, transfer 100 mL of pure water in the measuring cylinder to the beaker, uniformly disperse the CMC-Na powder in the beaker, add the stirring rod, and use the magnetic stirrer to stir until completely dissolved, resulting in 100 mL of a 0.5% CMC-Na solution. Dispense the required volume of 0.5% CMC-Na solution to prepare dose formulations for the vehicle control group.</w:t>
            </w:r>
          </w:p>
        </w:tc>
      </w:tr>
    </w:tbl>
    <w:p w14:paraId="6A81A402" w14:textId="77777777" w:rsidR="002A54AA" w:rsidRDefault="002A54AA" w:rsidP="002A54AA">
      <w:pPr>
        <w:widowControl w:val="0"/>
        <w:spacing w:line="360" w:lineRule="auto"/>
        <w:ind w:firstLineChars="200" w:firstLine="480"/>
        <w:jc w:val="both"/>
        <w:rPr>
          <w:bCs/>
          <w:kern w:val="2"/>
          <w:szCs w:val="20"/>
          <w:lang w:eastAsia="zh-CN"/>
        </w:rPr>
      </w:pPr>
      <w:r>
        <w:t>Preparation condition: room temperature;</w:t>
      </w:r>
    </w:p>
    <w:p w14:paraId="0A7DCE6D" w14:textId="77777777" w:rsidR="002A54AA" w:rsidRDefault="002A54AA" w:rsidP="002A54AA">
      <w:pPr>
        <w:pStyle w:val="WXBodyText"/>
        <w:spacing w:before="0" w:after="0" w:line="360" w:lineRule="auto"/>
        <w:ind w:left="0" w:firstLineChars="200" w:firstLine="480"/>
        <w:rPr>
          <w:rFonts w:cs="Times New Roman"/>
        </w:rPr>
      </w:pPr>
      <w:r>
        <w:t>Identification method: Formulations for the control group were labeled with white labels and include the study number, name, concentration, quantity, preparation date, preparer, storage conditions, expiry date, and product number;</w:t>
      </w:r>
    </w:p>
    <w:p w14:paraId="1764DC14" w14:textId="77777777" w:rsidR="002A54AA" w:rsidRDefault="002A54AA" w:rsidP="002A54AA">
      <w:pPr>
        <w:widowControl w:val="0"/>
        <w:spacing w:line="360" w:lineRule="auto"/>
        <w:ind w:firstLineChars="200" w:firstLine="480"/>
        <w:jc w:val="both"/>
        <w:rPr>
          <w:bCs/>
          <w:lang w:eastAsia="zh-CN"/>
        </w:rPr>
      </w:pPr>
      <w:r>
        <w:t>Storage conditions and expiry after preparation: Store at room temperature and use within 7 days.</w:t>
      </w:r>
    </w:p>
    <w:p w14:paraId="135BB2C0" w14:textId="77777777" w:rsidR="002A54AA" w:rsidRDefault="002A54AA" w:rsidP="00184341">
      <w:pPr>
        <w:keepNext/>
        <w:widowControl w:val="0"/>
        <w:numPr>
          <w:ilvl w:val="2"/>
          <w:numId w:val="9"/>
        </w:numPr>
        <w:spacing w:line="360" w:lineRule="auto"/>
        <w:ind w:left="711" w:hangingChars="295" w:hanging="711"/>
        <w:jc w:val="both"/>
        <w:rPr>
          <w:b/>
          <w:bCs/>
          <w:lang w:eastAsia="zh-CN"/>
        </w:rPr>
      </w:pPr>
      <w:r>
        <w:t>disposal of remaining vehicle control group dose formulations</w:t>
      </w:r>
    </w:p>
    <w:p w14:paraId="3FE52E2A" w14:textId="77777777" w:rsidR="002A54AA" w:rsidRDefault="002A54AA" w:rsidP="002A54AA">
      <w:pPr>
        <w:widowControl w:val="0"/>
        <w:spacing w:line="360" w:lineRule="auto"/>
        <w:ind w:firstLineChars="200" w:firstLine="480"/>
        <w:jc w:val="both"/>
        <w:rPr>
          <w:bCs/>
          <w:kern w:val="2"/>
          <w:lang w:eastAsia="zh-CN"/>
        </w:rPr>
      </w:pPr>
      <w:r>
        <w:t>After administration, the remaining solvent control group dose formulations: return to test article management, and handle according to the requirements for medication/chemical waste disposal.</w:t>
      </w:r>
    </w:p>
    <w:p w14:paraId="5628E6DC" w14:textId="77777777" w:rsidR="002A54AA" w:rsidRDefault="002A54AA" w:rsidP="002A54AA">
      <w:pPr>
        <w:keepNext/>
        <w:widowControl w:val="0"/>
        <w:numPr>
          <w:ilvl w:val="1"/>
          <w:numId w:val="9"/>
        </w:numPr>
        <w:spacing w:line="360" w:lineRule="auto"/>
        <w:jc w:val="both"/>
        <w:outlineLvl w:val="1"/>
        <w:rPr>
          <w:b/>
          <w:kern w:val="2"/>
          <w:lang w:eastAsia="zh-CN"/>
        </w:rPr>
      </w:pPr>
      <w:r>
        <w:t>dose formulation analysis</w:t>
      </w:r>
    </w:p>
    <w:p w14:paraId="7A2D6B72" w14:textId="77777777" w:rsidR="002A54AA" w:rsidRPr="002A54AA" w:rsidRDefault="002A54AA" w:rsidP="002A54AA">
      <w:pPr>
        <w:widowControl w:val="0"/>
        <w:kinsoku w:val="0"/>
        <w:overflowPunct w:val="0"/>
        <w:autoSpaceDE w:val="0"/>
        <w:autoSpaceDN w:val="0"/>
        <w:adjustRightInd w:val="0"/>
        <w:snapToGrid w:val="0"/>
        <w:spacing w:line="360" w:lineRule="auto"/>
        <w:ind w:firstLineChars="200" w:firstLine="480"/>
        <w:jc w:val="both"/>
        <w:rPr>
          <w:rFonts w:hint="eastAsia"/>
          <w:kern w:val="2"/>
          <w:szCs w:val="20"/>
          <w:lang w:eastAsia="zh-CN"/>
        </w:rPr>
      </w:pPr>
      <w:r>
        <w:t>The content and stability materials of the test product are provided by the sponsor. The analysis method refers to “sbk002 and sodium bicarbonate raw material drug dose formulation analysis methodology validation test (special topic number: A2018030-FA01)”. The stability analysis of the test product is conducted within this special topic, hence, this experiment will not be independently performing stability determination.</w:t>
      </w:r>
    </w:p>
    <w:p w14:paraId="3B7FF956" w14:textId="77777777" w:rsidR="002A54AA" w:rsidRPr="002A54AA" w:rsidRDefault="002A54AA" w:rsidP="002A54AA">
      <w:pPr>
        <w:widowControl w:val="0"/>
        <w:kinsoku w:val="0"/>
        <w:overflowPunct w:val="0"/>
        <w:autoSpaceDE w:val="0"/>
        <w:autoSpaceDN w:val="0"/>
        <w:adjustRightInd w:val="0"/>
        <w:snapToGrid w:val="0"/>
        <w:spacing w:line="360" w:lineRule="auto"/>
        <w:ind w:firstLineChars="200" w:firstLine="480"/>
        <w:jc w:val="both"/>
        <w:rPr>
          <w:rFonts w:hint="eastAsia"/>
          <w:kern w:val="2"/>
          <w:szCs w:val="20"/>
          <w:lang w:eastAsia="zh-CN"/>
        </w:rPr>
      </w:pPr>
      <w:r>
        <w:t>Analyze the content of dose formulations administered on the day of dosing. Collect 2 samples each from the top, middle, and bottom layers of the dose formulations to be tested (only the middle layer for the vehicle control group). Use one sample for analysis and keep the other at room temperature and protected from light for backup. Vehicle control group samples are kept at room temperature for backup. The analyzed sample is labeled with the dose formulation finished product number, position abbreviation + two-digit serial number (e.g., 181214-G1-M01). Prior to sample collection for dose formulation analysis, use a magnetic stirrer to stir at a certain speed for at least 15 minutes (set the speed so that an obvious vortex is formed without causing splashing or a large amount of bubbles). Sample volume, handling, and testing methods are described in “ICR mouse gavage with sbk002 and dichlorvos vehicle single-dose toxicity study dose formulation analysis method (method number: W2018027-FA02)".</w:t>
      </w:r>
    </w:p>
    <w:p w14:paraId="378D3B13" w14:textId="77777777" w:rsidR="002A54AA" w:rsidRPr="002A54AA" w:rsidRDefault="002A54AA" w:rsidP="002A54AA">
      <w:pPr>
        <w:widowControl w:val="0"/>
        <w:kinsoku w:val="0"/>
        <w:overflowPunct w:val="0"/>
        <w:autoSpaceDE w:val="0"/>
        <w:autoSpaceDN w:val="0"/>
        <w:adjustRightInd w:val="0"/>
        <w:snapToGrid w:val="0"/>
        <w:spacing w:line="360" w:lineRule="auto"/>
        <w:ind w:firstLineChars="200" w:firstLine="480"/>
        <w:jc w:val="both"/>
        <w:rPr>
          <w:rFonts w:hint="eastAsia"/>
          <w:kern w:val="2"/>
          <w:szCs w:val="20"/>
          <w:lang w:eastAsia="zh-CN"/>
        </w:rPr>
      </w:pPr>
      <w:r>
        <w:t>Result acceptance criteria: For the sbk002 dose group and the clo dose group, the accuracy of the dose formulations (ratio of detected concentration to labeled concentration) is between 85 % ~ 115 %, and the relative standard deviation (RSD) of the measured concentrations of the top, middle, and bottom layers of the dose formulations is ≤10 %. For the vehicle control group, the dose formulations have no interference peaks or the peak area of interfering peaks is ≤10 % of the peak area at the lower limit of quantification at the retention time of sbk002 and clopidogrel bisulfate raw material.</w:t>
      </w:r>
    </w:p>
    <w:p w14:paraId="402011C8" w14:textId="77777777" w:rsidR="00F41D01" w:rsidRDefault="002A54AA" w:rsidP="002A54AA">
      <w:pPr>
        <w:widowControl w:val="0"/>
        <w:kinsoku w:val="0"/>
        <w:overflowPunct w:val="0"/>
        <w:autoSpaceDE w:val="0"/>
        <w:autoSpaceDN w:val="0"/>
        <w:adjustRightInd w:val="0"/>
        <w:snapToGrid w:val="0"/>
        <w:spacing w:line="360" w:lineRule="auto"/>
        <w:ind w:firstLineChars="200" w:firstLine="480"/>
        <w:jc w:val="both"/>
        <w:rPr>
          <w:kern w:val="2"/>
          <w:lang w:eastAsia="zh-CN"/>
        </w:rPr>
      </w:pPr>
      <w:r>
        <w:t>The disposal of remaining sample: Remaining samples post-analysis are returned to the Test Article Management Department and disposed of according to medication/chemical waste requirements.</w:t>
      </w:r>
    </w:p>
    <w:p w14:paraId="2957033E" w14:textId="77777777" w:rsidR="00F41D01" w:rsidRPr="002A54AA" w:rsidRDefault="00F41D01" w:rsidP="002A54AA">
      <w:pPr>
        <w:keepNext/>
        <w:widowControl w:val="0"/>
        <w:numPr>
          <w:ilvl w:val="1"/>
          <w:numId w:val="9"/>
        </w:numPr>
        <w:spacing w:line="360" w:lineRule="auto"/>
        <w:jc w:val="both"/>
        <w:outlineLvl w:val="1"/>
        <w:rPr>
          <w:rFonts w:hint="eastAsia"/>
          <w:b/>
          <w:kern w:val="2"/>
          <w:lang w:eastAsia="zh-CN"/>
        </w:rPr>
      </w:pPr>
      <w:r>
        <w:t>operation/Safety measures</w:t>
      </w:r>
    </w:p>
    <w:p w14:paraId="0A243659" w14:textId="77777777" w:rsidR="00F41D01" w:rsidRDefault="00F41D01">
      <w:pPr>
        <w:widowControl w:val="0"/>
        <w:kinsoku w:val="0"/>
        <w:overflowPunct w:val="0"/>
        <w:autoSpaceDE w:val="0"/>
        <w:autoSpaceDN w:val="0"/>
        <w:adjustRightInd w:val="0"/>
        <w:snapToGrid w:val="0"/>
        <w:spacing w:line="360" w:lineRule="auto"/>
        <w:ind w:firstLineChars="200" w:firstLine="480"/>
        <w:rPr>
          <w:b/>
          <w:kern w:val="2"/>
          <w:lang w:eastAsia="zh-CN"/>
        </w:rPr>
      </w:pPr>
      <w:r>
        <w:t>Research institution operations follow the Occupational Health Safety and Protection Manual. When performing assay operations, wear appropriate personal protective equipment (PPE).</w:t>
      </w:r>
    </w:p>
    <w:p w14:paraId="2A459920" w14:textId="77777777" w:rsidR="00F41D01" w:rsidRDefault="00F41D01" w:rsidP="002A54AA">
      <w:pPr>
        <w:keepNext/>
        <w:widowControl w:val="0"/>
        <w:numPr>
          <w:ilvl w:val="1"/>
          <w:numId w:val="9"/>
        </w:numPr>
        <w:spacing w:line="360" w:lineRule="auto"/>
        <w:jc w:val="both"/>
        <w:outlineLvl w:val="1"/>
        <w:rPr>
          <w:b/>
          <w:kern w:val="2"/>
          <w:lang w:eastAsia="zh-CN"/>
        </w:rPr>
      </w:pPr>
      <w:r>
        <w:t xml:space="preserve"> Dose formulations transfer within the test facility</w:t>
      </w:r>
    </w:p>
    <w:p w14:paraId="4B101B38" w14:textId="77777777" w:rsidR="00F41D01" w:rsidRDefault="00885EEF" w:rsidP="00217133">
      <w:pPr>
        <w:widowControl w:val="0"/>
        <w:kinsoku w:val="0"/>
        <w:overflowPunct w:val="0"/>
        <w:autoSpaceDE w:val="0"/>
        <w:autoSpaceDN w:val="0"/>
        <w:adjustRightInd w:val="0"/>
        <w:snapToGrid w:val="0"/>
        <w:spacing w:line="360" w:lineRule="auto"/>
        <w:ind w:firstLineChars="200" w:firstLine="480"/>
        <w:jc w:val="both"/>
        <w:rPr>
          <w:kern w:val="2"/>
          <w:lang w:eastAsia="zh-CN"/>
        </w:rPr>
      </w:pPr>
      <w:r>
        <w:t>Test article dose formulations under room temperature and light-shielded conditions are transferred from the Test Article Management to the test site. Vehicle control group dose formulations under room temperature conditions are also transferred from the Test Article Management to the test site. Test article dose formulations retrieved from the Test Article Management are stored under room temperature and light-shielded conditions when not in use. Similarly, vehicle control group dose formulations not in use are stored under room temperature conditions.</w:t>
      </w:r>
    </w:p>
    <w:p w14:paraId="43F10ED5" w14:textId="77777777" w:rsidR="003F078D" w:rsidRDefault="003F078D" w:rsidP="003F078D">
      <w:pPr>
        <w:keepNext/>
        <w:widowControl w:val="0"/>
        <w:numPr>
          <w:ilvl w:val="1"/>
          <w:numId w:val="9"/>
        </w:numPr>
        <w:spacing w:line="360" w:lineRule="auto"/>
        <w:jc w:val="both"/>
        <w:outlineLvl w:val="1"/>
        <w:rPr>
          <w:b/>
          <w:kern w:val="2"/>
          <w:lang w:eastAsia="zh-CN"/>
        </w:rPr>
      </w:pPr>
      <w:r>
        <w:t>Other major reagents</w:t>
      </w:r>
    </w:p>
    <w:tbl>
      <w:tblPr>
        <w:tblW w:w="5000" w:type="pct"/>
        <w:jc w:val="center"/>
        <w:tblInd w:w="0" w:type="dxa"/>
        <w:tblBorders>
          <w:top w:val="single" w:sz="12" w:space="0" w:color="auto"/>
          <w:bottom w:val="single" w:sz="12" w:space="0" w:color="auto"/>
          <w:insideH w:val="single" w:sz="12" w:space="0" w:color="auto"/>
        </w:tblBorders>
        <w:tblLook w:val="0000" w:firstRow="0" w:lastRow="0" w:firstColumn="0" w:lastColumn="0" w:noHBand="0" w:noVBand="0"/>
      </w:tblPr>
      <w:tblGrid>
        <w:gridCol w:w="2690"/>
        <w:gridCol w:w="3073"/>
        <w:gridCol w:w="2760"/>
      </w:tblGrid>
      <w:tr w:rsidR="003F078D" w14:paraId="4BA07D30" w14:textId="77777777" w:rsidTr="003F078D">
        <w:trPr>
          <w:trHeight w:val="313"/>
          <w:jc w:val="center"/>
        </w:trPr>
        <w:tc>
          <w:tcPr>
            <w:tcW w:w="1578" w:type="pct"/>
            <w:tcBorders>
              <w:bottom w:val="single" w:sz="4" w:space="0" w:color="auto"/>
            </w:tcBorders>
            <w:vAlign w:val="center"/>
          </w:tcPr>
          <w:p w14:paraId="11D2D2E7" w14:textId="77777777" w:rsidR="003F078D" w:rsidRDefault="003F078D" w:rsidP="003F078D">
            <w:pPr>
              <w:widowControl w:val="0"/>
              <w:adjustRightInd w:val="0"/>
              <w:snapToGrid w:val="0"/>
              <w:jc w:val="center"/>
              <w:rPr>
                <w:b/>
                <w:kern w:val="2"/>
                <w:sz w:val="21"/>
                <w:szCs w:val="21"/>
                <w:lang w:eastAsia="zh-CN"/>
              </w:rPr>
            </w:pPr>
            <w:r>
              <w:t>name</w:t>
            </w:r>
          </w:p>
        </w:tc>
        <w:tc>
          <w:tcPr>
            <w:tcW w:w="1803" w:type="pct"/>
            <w:tcBorders>
              <w:bottom w:val="single" w:sz="4" w:space="0" w:color="auto"/>
            </w:tcBorders>
            <w:vAlign w:val="center"/>
          </w:tcPr>
          <w:p w14:paraId="5FF1B35E" w14:textId="77777777" w:rsidR="003F078D" w:rsidRDefault="003F078D" w:rsidP="003F078D">
            <w:pPr>
              <w:widowControl w:val="0"/>
              <w:adjustRightInd w:val="0"/>
              <w:snapToGrid w:val="0"/>
              <w:jc w:val="center"/>
              <w:rPr>
                <w:b/>
                <w:kern w:val="2"/>
                <w:sz w:val="21"/>
                <w:szCs w:val="21"/>
                <w:lang w:eastAsia="zh-CN"/>
              </w:rPr>
            </w:pPr>
            <w:r>
              <w:t>source</w:t>
            </w:r>
          </w:p>
        </w:tc>
        <w:tc>
          <w:tcPr>
            <w:tcW w:w="1619" w:type="pct"/>
            <w:tcBorders>
              <w:bottom w:val="single" w:sz="4" w:space="0" w:color="auto"/>
            </w:tcBorders>
            <w:vAlign w:val="center"/>
          </w:tcPr>
          <w:p w14:paraId="567B19FA" w14:textId="77777777" w:rsidR="003F078D" w:rsidRDefault="003F078D" w:rsidP="003F078D">
            <w:pPr>
              <w:widowControl w:val="0"/>
              <w:adjustRightInd w:val="0"/>
              <w:snapToGrid w:val="0"/>
              <w:jc w:val="center"/>
              <w:rPr>
                <w:b/>
                <w:kern w:val="2"/>
                <w:sz w:val="21"/>
                <w:szCs w:val="21"/>
                <w:lang w:eastAsia="zh-CN"/>
              </w:rPr>
            </w:pPr>
            <w:r>
              <w:t>Grade</w:t>
            </w:r>
          </w:p>
        </w:tc>
      </w:tr>
      <w:tr w:rsidR="003F078D" w14:paraId="6A167688" w14:textId="77777777" w:rsidTr="003F078D">
        <w:trPr>
          <w:trHeight w:val="318"/>
          <w:jc w:val="center"/>
        </w:trPr>
        <w:tc>
          <w:tcPr>
            <w:tcW w:w="1578" w:type="pct"/>
            <w:tcBorders>
              <w:top w:val="single" w:sz="4" w:space="0" w:color="auto"/>
              <w:bottom w:val="single" w:sz="12" w:space="0" w:color="auto"/>
            </w:tcBorders>
            <w:vAlign w:val="center"/>
          </w:tcPr>
          <w:p w14:paraId="66EF6D75" w14:textId="77777777" w:rsidR="003F078D" w:rsidRDefault="003F078D" w:rsidP="003F078D">
            <w:pPr>
              <w:widowControl w:val="0"/>
              <w:kinsoku w:val="0"/>
              <w:overflowPunct w:val="0"/>
              <w:autoSpaceDE w:val="0"/>
              <w:autoSpaceDN w:val="0"/>
              <w:adjustRightInd w:val="0"/>
              <w:snapToGrid w:val="0"/>
              <w:rPr>
                <w:sz w:val="21"/>
                <w:szCs w:val="21"/>
                <w:lang w:eastAsia="zh-CN"/>
              </w:rPr>
            </w:pPr>
            <w:r>
              <w:t>pentobarbital sodium</w:t>
            </w:r>
          </w:p>
        </w:tc>
        <w:tc>
          <w:tcPr>
            <w:tcW w:w="1803" w:type="pct"/>
            <w:tcBorders>
              <w:top w:val="single" w:sz="4" w:space="0" w:color="auto"/>
              <w:bottom w:val="single" w:sz="12" w:space="0" w:color="auto"/>
            </w:tcBorders>
            <w:vAlign w:val="center"/>
          </w:tcPr>
          <w:p w14:paraId="0A47053D" w14:textId="77777777" w:rsidR="003F078D" w:rsidRDefault="003F078D" w:rsidP="003F078D">
            <w:pPr>
              <w:widowControl w:val="0"/>
              <w:kinsoku w:val="0"/>
              <w:overflowPunct w:val="0"/>
              <w:autoSpaceDE w:val="0"/>
              <w:autoSpaceDN w:val="0"/>
              <w:adjustRightInd w:val="0"/>
              <w:snapToGrid w:val="0"/>
              <w:rPr>
                <w:sz w:val="21"/>
                <w:szCs w:val="21"/>
                <w:lang w:eastAsia="zh-CN"/>
              </w:rPr>
            </w:pPr>
            <w:r>
              <w:t>Shanghai Junhao Biotechnology Co., Ltd.</w:t>
            </w:r>
          </w:p>
        </w:tc>
        <w:tc>
          <w:tcPr>
            <w:tcW w:w="1619" w:type="pct"/>
            <w:tcBorders>
              <w:top w:val="single" w:sz="4" w:space="0" w:color="auto"/>
              <w:bottom w:val="single" w:sz="12" w:space="0" w:color="auto"/>
            </w:tcBorders>
            <w:vAlign w:val="center"/>
          </w:tcPr>
          <w:p w14:paraId="61A09F91" w14:textId="77777777" w:rsidR="003F078D" w:rsidRDefault="003F078D" w:rsidP="003F078D">
            <w:pPr>
              <w:widowControl w:val="0"/>
              <w:kinsoku w:val="0"/>
              <w:overflowPunct w:val="0"/>
              <w:autoSpaceDE w:val="0"/>
              <w:autoSpaceDN w:val="0"/>
              <w:adjustRightInd w:val="0"/>
              <w:snapToGrid w:val="0"/>
              <w:jc w:val="center"/>
              <w:rPr>
                <w:sz w:val="21"/>
                <w:szCs w:val="21"/>
                <w:lang w:eastAsia="zh-CN"/>
              </w:rPr>
            </w:pPr>
            <w:r>
              <w:rPr>
                <w:sz w:val="21"/>
                <w:szCs w:val="21"/>
                <w:lang w:eastAsia="zh-CN"/>
              </w:rPr>
              <w:t>NA</w:t>
            </w:r>
          </w:p>
        </w:tc>
      </w:tr>
    </w:tbl>
    <w:p w14:paraId="7ACE3F15" w14:textId="77777777" w:rsidR="00F41D01" w:rsidRDefault="00F41D01" w:rsidP="003F078D">
      <w:pPr>
        <w:keepNext/>
        <w:widowControl w:val="0"/>
        <w:numPr>
          <w:ilvl w:val="1"/>
          <w:numId w:val="9"/>
        </w:numPr>
        <w:spacing w:line="360" w:lineRule="auto"/>
        <w:jc w:val="both"/>
        <w:outlineLvl w:val="1"/>
        <w:rPr>
          <w:b/>
          <w:kern w:val="2"/>
          <w:lang w:eastAsia="zh-CN"/>
        </w:rPr>
      </w:pPr>
      <w:r>
        <w:t>Major Instruments and Equipment</w:t>
      </w:r>
    </w:p>
    <w:tbl>
      <w:tblPr>
        <w:tblW w:w="5000" w:type="pct"/>
        <w:jc w:val="center"/>
        <w:tblInd w:w="0" w:type="dxa"/>
        <w:tblBorders>
          <w:top w:val="single" w:sz="4" w:space="0" w:color="auto"/>
          <w:bottom w:val="single" w:sz="4" w:space="0" w:color="auto"/>
          <w:insideH w:val="single" w:sz="4" w:space="0" w:color="auto"/>
        </w:tblBorders>
        <w:tblCellMar>
          <w:left w:w="28" w:type="dxa"/>
          <w:right w:w="28" w:type="dxa"/>
        </w:tblCellMar>
        <w:tblLook w:val="0000" w:firstRow="0" w:lastRow="0" w:firstColumn="0" w:lastColumn="0" w:noHBand="0" w:noVBand="0"/>
      </w:tblPr>
      <w:tblGrid>
        <w:gridCol w:w="2200"/>
        <w:gridCol w:w="3375"/>
        <w:gridCol w:w="2788"/>
      </w:tblGrid>
      <w:tr w:rsidR="00F41D01" w14:paraId="7FAE875C" w14:textId="77777777" w:rsidTr="003F078D">
        <w:trPr>
          <w:trHeight w:val="339"/>
          <w:tblHeader/>
          <w:jc w:val="center"/>
        </w:trPr>
        <w:tc>
          <w:tcPr>
            <w:tcW w:w="1315" w:type="pct"/>
            <w:tcBorders>
              <w:top w:val="single" w:sz="12" w:space="0" w:color="auto"/>
            </w:tcBorders>
            <w:vAlign w:val="center"/>
          </w:tcPr>
          <w:p w14:paraId="5556F63F" w14:textId="77777777" w:rsidR="00F41D01" w:rsidRDefault="00F41D01">
            <w:pPr>
              <w:spacing w:line="360" w:lineRule="auto"/>
              <w:jc w:val="center"/>
              <w:rPr>
                <w:b/>
                <w:sz w:val="21"/>
                <w:szCs w:val="21"/>
              </w:rPr>
            </w:pPr>
            <w:r>
              <w:t>Equipment Name</w:t>
            </w:r>
          </w:p>
        </w:tc>
        <w:tc>
          <w:tcPr>
            <w:tcW w:w="2018" w:type="pct"/>
            <w:tcBorders>
              <w:top w:val="single" w:sz="12" w:space="0" w:color="auto"/>
            </w:tcBorders>
            <w:vAlign w:val="center"/>
          </w:tcPr>
          <w:p w14:paraId="0431C534" w14:textId="77777777" w:rsidR="00F41D01" w:rsidRDefault="00F41D01">
            <w:pPr>
              <w:spacing w:line="360" w:lineRule="auto"/>
              <w:jc w:val="center"/>
              <w:rPr>
                <w:b/>
                <w:sz w:val="21"/>
                <w:szCs w:val="21"/>
              </w:rPr>
            </w:pPr>
            <w:r>
              <w:t>Manufacturer</w:t>
            </w:r>
          </w:p>
        </w:tc>
        <w:tc>
          <w:tcPr>
            <w:tcW w:w="1667" w:type="pct"/>
            <w:tcBorders>
              <w:top w:val="single" w:sz="12" w:space="0" w:color="auto"/>
            </w:tcBorders>
            <w:vAlign w:val="center"/>
          </w:tcPr>
          <w:p w14:paraId="0467081A" w14:textId="77777777" w:rsidR="00F41D01" w:rsidRDefault="00F41D01">
            <w:pPr>
              <w:spacing w:line="360" w:lineRule="auto"/>
              <w:jc w:val="center"/>
              <w:rPr>
                <w:b/>
                <w:sz w:val="21"/>
                <w:szCs w:val="21"/>
              </w:rPr>
            </w:pPr>
            <w:r>
              <w:t>Model</w:t>
            </w:r>
          </w:p>
        </w:tc>
      </w:tr>
      <w:tr w:rsidR="00F41D01" w14:paraId="0132DD1C" w14:textId="77777777" w:rsidTr="003F078D">
        <w:trPr>
          <w:trHeight w:val="339"/>
          <w:jc w:val="center"/>
        </w:trPr>
        <w:tc>
          <w:tcPr>
            <w:tcW w:w="1315" w:type="pct"/>
            <w:tcBorders>
              <w:top w:val="nil"/>
              <w:bottom w:val="nil"/>
            </w:tcBorders>
            <w:vAlign w:val="center"/>
          </w:tcPr>
          <w:p w14:paraId="658BE448" w14:textId="77777777" w:rsidR="00F41D01" w:rsidRDefault="00F41D01">
            <w:pPr>
              <w:spacing w:line="360" w:lineRule="auto"/>
              <w:jc w:val="both"/>
              <w:rPr>
                <w:sz w:val="21"/>
                <w:szCs w:val="21"/>
                <w:lang w:eastAsia="zh-CN"/>
              </w:rPr>
            </w:pPr>
            <w:r>
              <w:t>pure water apparatus</w:t>
            </w:r>
          </w:p>
        </w:tc>
        <w:tc>
          <w:tcPr>
            <w:tcW w:w="2018" w:type="pct"/>
            <w:tcBorders>
              <w:top w:val="nil"/>
              <w:bottom w:val="nil"/>
            </w:tcBorders>
            <w:vAlign w:val="center"/>
          </w:tcPr>
          <w:p w14:paraId="42C194C5" w14:textId="77777777" w:rsidR="00F41D01" w:rsidRDefault="00F41D01">
            <w:pPr>
              <w:spacing w:line="360" w:lineRule="auto"/>
              <w:jc w:val="both"/>
              <w:rPr>
                <w:sz w:val="21"/>
                <w:szCs w:val="21"/>
                <w:lang w:eastAsia="zh-CN"/>
              </w:rPr>
            </w:pPr>
            <w:r>
              <w:rPr>
                <w:sz w:val="21"/>
                <w:szCs w:val="21"/>
                <w:lang w:eastAsia="zh-CN"/>
              </w:rPr>
              <w:t>Millipore</w:t>
            </w:r>
          </w:p>
        </w:tc>
        <w:tc>
          <w:tcPr>
            <w:tcW w:w="1667" w:type="pct"/>
            <w:tcBorders>
              <w:top w:val="nil"/>
              <w:bottom w:val="nil"/>
            </w:tcBorders>
            <w:vAlign w:val="center"/>
          </w:tcPr>
          <w:p w14:paraId="177511A6" w14:textId="77777777" w:rsidR="00F41D01" w:rsidRDefault="00F41D01">
            <w:pPr>
              <w:spacing w:line="360" w:lineRule="auto"/>
              <w:jc w:val="both"/>
              <w:rPr>
                <w:sz w:val="21"/>
                <w:szCs w:val="21"/>
                <w:lang w:eastAsia="zh-CN"/>
              </w:rPr>
            </w:pPr>
            <w:r>
              <w:rPr>
                <w:sz w:val="21"/>
                <w:szCs w:val="21"/>
                <w:lang w:eastAsia="zh-CN"/>
              </w:rPr>
              <w:t>ELIX</w:t>
            </w:r>
            <w:r>
              <w:rPr>
                <w:sz w:val="21"/>
                <w:szCs w:val="21"/>
                <w:vertAlign w:val="superscript"/>
                <w:lang w:eastAsia="zh-CN"/>
              </w:rPr>
              <w:t>®</w:t>
            </w:r>
            <w:r>
              <w:rPr>
                <w:sz w:val="21"/>
                <w:szCs w:val="21"/>
                <w:lang w:eastAsia="zh-CN"/>
              </w:rPr>
              <w:t xml:space="preserve"> Advantage 5</w:t>
            </w:r>
          </w:p>
        </w:tc>
      </w:tr>
      <w:tr w:rsidR="00F41D01" w14:paraId="0E8B6793" w14:textId="77777777" w:rsidTr="003F078D">
        <w:trPr>
          <w:trHeight w:val="339"/>
          <w:jc w:val="center"/>
        </w:trPr>
        <w:tc>
          <w:tcPr>
            <w:tcW w:w="1315" w:type="pct"/>
            <w:tcBorders>
              <w:top w:val="nil"/>
              <w:bottom w:val="nil"/>
            </w:tcBorders>
            <w:vAlign w:val="center"/>
          </w:tcPr>
          <w:p w14:paraId="17591972" w14:textId="77777777" w:rsidR="00F41D01" w:rsidRDefault="00F41D01">
            <w:pPr>
              <w:spacing w:line="360" w:lineRule="auto"/>
              <w:jc w:val="both"/>
              <w:rPr>
                <w:sz w:val="21"/>
                <w:szCs w:val="21"/>
                <w:lang w:eastAsia="zh-CN"/>
              </w:rPr>
            </w:pPr>
            <w:r>
              <w:t>Microtome</w:t>
            </w:r>
          </w:p>
        </w:tc>
        <w:tc>
          <w:tcPr>
            <w:tcW w:w="2018" w:type="pct"/>
            <w:tcBorders>
              <w:top w:val="nil"/>
              <w:bottom w:val="nil"/>
            </w:tcBorders>
            <w:vAlign w:val="center"/>
          </w:tcPr>
          <w:p w14:paraId="5031EC94"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nil"/>
            </w:tcBorders>
            <w:vAlign w:val="center"/>
          </w:tcPr>
          <w:p w14:paraId="264DB7A8" w14:textId="77777777" w:rsidR="00F41D01" w:rsidRDefault="00F41D01">
            <w:pPr>
              <w:spacing w:line="360" w:lineRule="auto"/>
              <w:jc w:val="both"/>
              <w:rPr>
                <w:sz w:val="21"/>
                <w:szCs w:val="21"/>
                <w:lang w:eastAsia="zh-CN"/>
              </w:rPr>
            </w:pPr>
            <w:r>
              <w:rPr>
                <w:sz w:val="21"/>
                <w:szCs w:val="21"/>
                <w:lang w:eastAsia="zh-CN"/>
              </w:rPr>
              <w:t>Leica RM2235</w:t>
            </w:r>
          </w:p>
        </w:tc>
      </w:tr>
      <w:tr w:rsidR="00F41D01" w14:paraId="1E52C43E" w14:textId="77777777" w:rsidTr="003F078D">
        <w:trPr>
          <w:trHeight w:val="339"/>
          <w:jc w:val="center"/>
        </w:trPr>
        <w:tc>
          <w:tcPr>
            <w:tcW w:w="1315" w:type="pct"/>
            <w:tcBorders>
              <w:top w:val="nil"/>
              <w:bottom w:val="nil"/>
            </w:tcBorders>
            <w:vAlign w:val="center"/>
          </w:tcPr>
          <w:p w14:paraId="15112714" w14:textId="77777777" w:rsidR="00F41D01" w:rsidRDefault="00F41D01">
            <w:pPr>
              <w:spacing w:line="360" w:lineRule="auto"/>
              <w:jc w:val="both"/>
              <w:rPr>
                <w:sz w:val="21"/>
                <w:szCs w:val="21"/>
                <w:lang w:eastAsia="zh-CN"/>
              </w:rPr>
            </w:pPr>
            <w:r>
              <w:t>Sealing Machine</w:t>
            </w:r>
          </w:p>
        </w:tc>
        <w:tc>
          <w:tcPr>
            <w:tcW w:w="2018" w:type="pct"/>
            <w:tcBorders>
              <w:top w:val="nil"/>
              <w:bottom w:val="nil"/>
            </w:tcBorders>
            <w:vAlign w:val="center"/>
          </w:tcPr>
          <w:p w14:paraId="4E14F857"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nil"/>
            </w:tcBorders>
            <w:vAlign w:val="center"/>
          </w:tcPr>
          <w:p w14:paraId="158805CA" w14:textId="77777777" w:rsidR="00F41D01" w:rsidRDefault="00F41D01">
            <w:pPr>
              <w:spacing w:line="360" w:lineRule="auto"/>
              <w:jc w:val="both"/>
              <w:rPr>
                <w:sz w:val="21"/>
                <w:szCs w:val="21"/>
                <w:lang w:eastAsia="zh-CN"/>
              </w:rPr>
            </w:pPr>
            <w:r>
              <w:rPr>
                <w:sz w:val="21"/>
                <w:szCs w:val="21"/>
                <w:lang w:eastAsia="zh-CN"/>
              </w:rPr>
              <w:t>Leica CV5030</w:t>
            </w:r>
          </w:p>
        </w:tc>
      </w:tr>
      <w:tr w:rsidR="00F41D01" w14:paraId="098386A3" w14:textId="77777777" w:rsidTr="003F078D">
        <w:trPr>
          <w:trHeight w:val="339"/>
          <w:jc w:val="center"/>
        </w:trPr>
        <w:tc>
          <w:tcPr>
            <w:tcW w:w="1315" w:type="pct"/>
            <w:tcBorders>
              <w:top w:val="nil"/>
              <w:bottom w:val="nil"/>
            </w:tcBorders>
            <w:vAlign w:val="center"/>
          </w:tcPr>
          <w:p w14:paraId="683F384B" w14:textId="77777777" w:rsidR="00F41D01" w:rsidRDefault="00F41D01">
            <w:pPr>
              <w:spacing w:line="360" w:lineRule="auto"/>
              <w:jc w:val="both"/>
              <w:rPr>
                <w:sz w:val="21"/>
                <w:szCs w:val="21"/>
                <w:lang w:eastAsia="zh-CN"/>
              </w:rPr>
            </w:pPr>
            <w:r>
              <w:t>Stainer</w:t>
            </w:r>
          </w:p>
        </w:tc>
        <w:tc>
          <w:tcPr>
            <w:tcW w:w="2018" w:type="pct"/>
            <w:tcBorders>
              <w:top w:val="nil"/>
              <w:bottom w:val="nil"/>
            </w:tcBorders>
            <w:vAlign w:val="center"/>
          </w:tcPr>
          <w:p w14:paraId="5C5F70CF"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nil"/>
            </w:tcBorders>
            <w:vAlign w:val="center"/>
          </w:tcPr>
          <w:p w14:paraId="54778DB0" w14:textId="77777777" w:rsidR="00F41D01" w:rsidRDefault="00F41D01">
            <w:pPr>
              <w:spacing w:line="360" w:lineRule="auto"/>
              <w:jc w:val="both"/>
              <w:rPr>
                <w:sz w:val="21"/>
                <w:szCs w:val="21"/>
                <w:lang w:eastAsia="zh-CN"/>
              </w:rPr>
            </w:pPr>
            <w:r>
              <w:rPr>
                <w:sz w:val="21"/>
                <w:szCs w:val="21"/>
                <w:lang w:eastAsia="zh-CN"/>
              </w:rPr>
              <w:t>Leica ST5020</w:t>
            </w:r>
          </w:p>
        </w:tc>
      </w:tr>
      <w:tr w:rsidR="00F41D01" w14:paraId="08B204F3" w14:textId="77777777" w:rsidTr="003F078D">
        <w:trPr>
          <w:trHeight w:val="339"/>
          <w:jc w:val="center"/>
        </w:trPr>
        <w:tc>
          <w:tcPr>
            <w:tcW w:w="1315" w:type="pct"/>
            <w:tcBorders>
              <w:top w:val="nil"/>
              <w:bottom w:val="nil"/>
            </w:tcBorders>
            <w:vAlign w:val="center"/>
          </w:tcPr>
          <w:p w14:paraId="15D0CBB2" w14:textId="77777777" w:rsidR="00F41D01" w:rsidRDefault="00F41D01">
            <w:pPr>
              <w:spacing w:line="360" w:lineRule="auto"/>
              <w:jc w:val="both"/>
              <w:rPr>
                <w:sz w:val="21"/>
                <w:szCs w:val="21"/>
                <w:lang w:eastAsia="zh-CN"/>
              </w:rPr>
            </w:pPr>
            <w:r>
              <w:t>Tissue Embedding Machine</w:t>
            </w:r>
          </w:p>
        </w:tc>
        <w:tc>
          <w:tcPr>
            <w:tcW w:w="2018" w:type="pct"/>
            <w:tcBorders>
              <w:top w:val="nil"/>
              <w:bottom w:val="nil"/>
            </w:tcBorders>
            <w:vAlign w:val="center"/>
          </w:tcPr>
          <w:p w14:paraId="06233326"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nil"/>
            </w:tcBorders>
            <w:vAlign w:val="center"/>
          </w:tcPr>
          <w:p w14:paraId="0F6DF739" w14:textId="77777777" w:rsidR="00F41D01" w:rsidRDefault="00F41D01">
            <w:pPr>
              <w:spacing w:line="360" w:lineRule="auto"/>
              <w:jc w:val="both"/>
              <w:rPr>
                <w:sz w:val="21"/>
                <w:szCs w:val="21"/>
                <w:lang w:eastAsia="zh-CN"/>
              </w:rPr>
            </w:pPr>
            <w:r>
              <w:rPr>
                <w:sz w:val="21"/>
                <w:szCs w:val="21"/>
                <w:lang w:eastAsia="zh-CN"/>
              </w:rPr>
              <w:t>Leica EG1150C+ EG1150H</w:t>
            </w:r>
          </w:p>
        </w:tc>
      </w:tr>
      <w:tr w:rsidR="00F41D01" w14:paraId="0AE6BC01" w14:textId="77777777" w:rsidTr="003F078D">
        <w:trPr>
          <w:trHeight w:val="339"/>
          <w:jc w:val="center"/>
        </w:trPr>
        <w:tc>
          <w:tcPr>
            <w:tcW w:w="1315" w:type="pct"/>
            <w:tcBorders>
              <w:top w:val="nil"/>
              <w:bottom w:val="single" w:sz="12" w:space="0" w:color="auto"/>
            </w:tcBorders>
            <w:vAlign w:val="center"/>
          </w:tcPr>
          <w:p w14:paraId="30749D71" w14:textId="77777777" w:rsidR="00F41D01" w:rsidRDefault="00F41D01">
            <w:pPr>
              <w:spacing w:line="360" w:lineRule="auto"/>
              <w:jc w:val="both"/>
              <w:rPr>
                <w:sz w:val="21"/>
                <w:szCs w:val="21"/>
                <w:lang w:eastAsia="zh-CN"/>
              </w:rPr>
            </w:pPr>
            <w:r>
              <w:t>Fully automatic dehydration machine</w:t>
            </w:r>
          </w:p>
        </w:tc>
        <w:tc>
          <w:tcPr>
            <w:tcW w:w="2018" w:type="pct"/>
            <w:tcBorders>
              <w:top w:val="nil"/>
              <w:bottom w:val="single" w:sz="12" w:space="0" w:color="auto"/>
            </w:tcBorders>
            <w:vAlign w:val="center"/>
          </w:tcPr>
          <w:p w14:paraId="04C8D69D" w14:textId="77777777" w:rsidR="00F41D01" w:rsidRDefault="00F41D01">
            <w:pPr>
              <w:spacing w:line="360" w:lineRule="auto"/>
              <w:jc w:val="both"/>
              <w:rPr>
                <w:sz w:val="21"/>
                <w:szCs w:val="21"/>
                <w:lang w:eastAsia="zh-CN"/>
              </w:rPr>
            </w:pPr>
            <w:r>
              <w:rPr>
                <w:sz w:val="21"/>
                <w:szCs w:val="21"/>
                <w:lang w:eastAsia="zh-CN"/>
              </w:rPr>
              <w:t>Leica</w:t>
            </w:r>
          </w:p>
        </w:tc>
        <w:tc>
          <w:tcPr>
            <w:tcW w:w="1667" w:type="pct"/>
            <w:tcBorders>
              <w:top w:val="nil"/>
              <w:bottom w:val="single" w:sz="12" w:space="0" w:color="auto"/>
            </w:tcBorders>
            <w:vAlign w:val="center"/>
          </w:tcPr>
          <w:p w14:paraId="27DE015B" w14:textId="77777777" w:rsidR="00F41D01" w:rsidRDefault="00F41D01">
            <w:pPr>
              <w:spacing w:line="360" w:lineRule="auto"/>
              <w:jc w:val="both"/>
              <w:rPr>
                <w:sz w:val="21"/>
                <w:szCs w:val="21"/>
                <w:lang w:eastAsia="zh-CN"/>
              </w:rPr>
            </w:pPr>
            <w:r>
              <w:rPr>
                <w:sz w:val="21"/>
                <w:szCs w:val="21"/>
                <w:lang w:eastAsia="zh-CN"/>
              </w:rPr>
              <w:t>Leica ASP300S</w:t>
            </w:r>
          </w:p>
        </w:tc>
      </w:tr>
    </w:tbl>
    <w:p w14:paraId="50C731D4" w14:textId="77777777" w:rsidR="00F41D01" w:rsidRDefault="00F41D01">
      <w:pPr>
        <w:pStyle w:val="1"/>
        <w:widowControl w:val="0"/>
        <w:numPr>
          <w:ilvl w:val="0"/>
          <w:numId w:val="4"/>
        </w:numPr>
        <w:tabs>
          <w:tab w:val="clear" w:pos="720"/>
        </w:tabs>
        <w:spacing w:before="0" w:after="0" w:line="360" w:lineRule="auto"/>
        <w:rPr>
          <w:caps/>
          <w:kern w:val="2"/>
          <w:sz w:val="28"/>
          <w:lang w:eastAsia="zh-CN"/>
        </w:rPr>
      </w:pPr>
      <w:r>
        <w:t>test system</w:t>
      </w:r>
    </w:p>
    <w:p w14:paraId="04CF6617" w14:textId="77777777" w:rsidR="00F41D01" w:rsidRDefault="00F41D01">
      <w:pPr>
        <w:keepNext/>
        <w:widowControl w:val="0"/>
        <w:numPr>
          <w:ilvl w:val="1"/>
          <w:numId w:val="4"/>
        </w:numPr>
        <w:spacing w:line="360" w:lineRule="auto"/>
        <w:jc w:val="both"/>
        <w:outlineLvl w:val="1"/>
        <w:rPr>
          <w:b/>
          <w:bCs/>
          <w:lang w:eastAsia="zh-CN"/>
        </w:rPr>
      </w:pPr>
      <w:r>
        <w:t>Product/Strain/Grade</w:t>
      </w:r>
    </w:p>
    <w:p w14:paraId="238C2C31" w14:textId="77777777" w:rsidR="00F41D01" w:rsidRDefault="00F41D01">
      <w:pPr>
        <w:pStyle w:val="WXBodyText"/>
        <w:spacing w:before="0" w:after="0" w:line="360" w:lineRule="auto"/>
        <w:ind w:left="0" w:firstLineChars="200" w:firstLine="480"/>
        <w:rPr>
          <w:rFonts w:cs="Times New Roman"/>
        </w:rPr>
      </w:pPr>
      <w:r>
        <w:t>Species: ICR mouse;</w:t>
      </w:r>
    </w:p>
    <w:p w14:paraId="5388113E" w14:textId="77777777" w:rsidR="00F41D01" w:rsidRDefault="00F41D01">
      <w:pPr>
        <w:pStyle w:val="WXBodyText"/>
        <w:spacing w:before="0" w:after="0" w:line="360" w:lineRule="auto"/>
        <w:ind w:left="0" w:firstLineChars="200" w:firstLine="480"/>
        <w:rPr>
          <w:rFonts w:cs="Times New Roman"/>
        </w:rPr>
      </w:pPr>
      <w:r>
        <w:t>Grade: SPF grade.</w:t>
      </w:r>
    </w:p>
    <w:p w14:paraId="260A4F44" w14:textId="77777777" w:rsidR="00F41D01" w:rsidRDefault="00F41D01">
      <w:pPr>
        <w:keepNext/>
        <w:widowControl w:val="0"/>
        <w:numPr>
          <w:ilvl w:val="1"/>
          <w:numId w:val="4"/>
        </w:numPr>
        <w:spacing w:line="360" w:lineRule="auto"/>
        <w:jc w:val="both"/>
        <w:outlineLvl w:val="1"/>
        <w:rPr>
          <w:b/>
          <w:bCs/>
          <w:lang w:eastAsia="zh-CN"/>
        </w:rPr>
      </w:pPr>
      <w:r>
        <w:t>Sex and Number</w:t>
      </w:r>
    </w:p>
    <w:p w14:paraId="748FB213" w14:textId="77777777" w:rsidR="00F41D01" w:rsidRDefault="00F41D01">
      <w:pPr>
        <w:pStyle w:val="WXBodyText"/>
        <w:spacing w:before="0" w:after="0" w:line="360" w:lineRule="auto"/>
        <w:ind w:left="0" w:firstLineChars="200" w:firstLine="480"/>
        <w:rPr>
          <w:rFonts w:cs="Times New Roman"/>
        </w:rPr>
      </w:pPr>
      <w:r>
        <w:t>Purchased animal number and sex: 66, half male and half female;</w:t>
      </w:r>
    </w:p>
    <w:p w14:paraId="47AF82F4" w14:textId="77777777" w:rsidR="00F41D01" w:rsidRDefault="00F41D01">
      <w:pPr>
        <w:pStyle w:val="WXBodyText"/>
        <w:spacing w:before="0" w:after="0" w:line="360" w:lineRule="auto"/>
        <w:ind w:left="0" w:firstLineChars="200" w:firstLine="480"/>
        <w:rPr>
          <w:rFonts w:cs="Times New Roman"/>
        </w:rPr>
      </w:pPr>
      <w:r>
        <w:t>number and sex of animals used: 60, female and male each half;</w:t>
      </w:r>
    </w:p>
    <w:p w14:paraId="333FB4D1" w14:textId="77777777" w:rsidR="00F41D01" w:rsidRDefault="00F41D01">
      <w:pPr>
        <w:pStyle w:val="WXBodyText"/>
        <w:spacing w:before="0" w:after="0" w:line="360" w:lineRule="auto"/>
        <w:ind w:left="0" w:firstLineChars="200" w:firstLine="480"/>
        <w:rPr>
          <w:rFonts w:cs="Times New Roman"/>
        </w:rPr>
      </w:pPr>
      <w:r>
        <w:t>Disposal of remaining animals: The remaining laboratory animals were transferred to the Toxicology Operations Department on the 5th day after dosing.</w:t>
      </w:r>
    </w:p>
    <w:p w14:paraId="2E08782A" w14:textId="77777777" w:rsidR="00F41D01" w:rsidRDefault="00F41D01">
      <w:pPr>
        <w:keepNext/>
        <w:widowControl w:val="0"/>
        <w:numPr>
          <w:ilvl w:val="1"/>
          <w:numId w:val="4"/>
        </w:numPr>
        <w:spacing w:line="360" w:lineRule="auto"/>
        <w:jc w:val="both"/>
        <w:outlineLvl w:val="1"/>
        <w:rPr>
          <w:b/>
          <w:bCs/>
          <w:lang w:eastAsia="zh-CN"/>
        </w:rPr>
      </w:pPr>
      <w:r>
        <w:t>source</w:t>
      </w:r>
    </w:p>
    <w:p w14:paraId="15F6AC9E" w14:textId="77777777" w:rsidR="00F41D01" w:rsidRDefault="00F41D01">
      <w:pPr>
        <w:pStyle w:val="WXBodyText"/>
        <w:spacing w:before="0" w:after="0" w:line="360" w:lineRule="auto"/>
        <w:ind w:left="0" w:firstLineChars="200" w:firstLine="480"/>
        <w:rPr>
          <w:rFonts w:cs="Times New Roman"/>
        </w:rPr>
      </w:pPr>
      <w:r>
        <w:t>Supplier: Zhejiang Weitonglihua Laboratory Animal Technique Co., Ltd.</w:t>
      </w:r>
    </w:p>
    <w:p w14:paraId="3348D635" w14:textId="77777777" w:rsidR="00F41D01" w:rsidRDefault="00F41D01">
      <w:pPr>
        <w:pStyle w:val="WXBodyText"/>
        <w:spacing w:before="0" w:after="0" w:line="360" w:lineRule="auto"/>
        <w:ind w:left="0" w:firstLineChars="200" w:firstLine="480"/>
        <w:jc w:val="left"/>
        <w:rPr>
          <w:rFonts w:cs="Times New Roman"/>
        </w:rPr>
      </w:pPr>
      <w:r>
        <w:t>Production license No: SCXK (Zhe) 2018-0001;</w:t>
      </w:r>
    </w:p>
    <w:p w14:paraId="0C4E7A8F" w14:textId="77777777" w:rsidR="00F41D01" w:rsidRDefault="00F41D01">
      <w:pPr>
        <w:widowControl w:val="0"/>
        <w:spacing w:line="360" w:lineRule="auto"/>
        <w:ind w:firstLineChars="200" w:firstLine="480"/>
        <w:jc w:val="both"/>
        <w:rPr>
          <w:kern w:val="2"/>
          <w:lang w:eastAsia="zh-CN"/>
        </w:rPr>
      </w:pPr>
      <w:r>
        <w:t>Animal quality certificate number: No 1812050025.</w:t>
      </w:r>
    </w:p>
    <w:p w14:paraId="39C0887B" w14:textId="77777777" w:rsidR="00F41D01" w:rsidRPr="00D87799" w:rsidRDefault="00F41D01">
      <w:pPr>
        <w:keepNext/>
        <w:widowControl w:val="0"/>
        <w:numPr>
          <w:ilvl w:val="1"/>
          <w:numId w:val="4"/>
        </w:numPr>
        <w:spacing w:line="360" w:lineRule="auto"/>
        <w:jc w:val="both"/>
        <w:outlineLvl w:val="1"/>
        <w:rPr>
          <w:b/>
          <w:bCs/>
          <w:lang w:eastAsia="zh-CN"/>
        </w:rPr>
      </w:pPr>
      <w:r>
        <w:t>Body Weight and Age</w:t>
      </w:r>
    </w:p>
    <w:p w14:paraId="2A40A9EE" w14:textId="77777777" w:rsidR="00F41D01" w:rsidRPr="003F078D" w:rsidRDefault="00F41D01">
      <w:pPr>
        <w:pStyle w:val="WXBodyText"/>
        <w:spacing w:before="0" w:after="0" w:line="360" w:lineRule="auto"/>
        <w:ind w:left="0" w:firstLineChars="200" w:firstLine="480"/>
        <w:rPr>
          <w:color w:val="FF0000"/>
        </w:rPr>
      </w:pPr>
      <w:r>
        <w:t>Body weight: At purchase, the body weight of females was 22.2 ~ 26.5 g, and males were 22.0 ~ 27.5 g. At group assignment, the body weight of females was 23.5 ~ 27.4 g, and males were 27.0 ~ 32.0 g. During group assignment, individual body weights were within ± 20% of the mean body weight for the same sex group.</w:t>
      </w:r>
    </w:p>
    <w:p w14:paraId="0DC3E1BC" w14:textId="77777777" w:rsidR="00F41D01" w:rsidRPr="00163D60" w:rsidRDefault="00F41D01">
      <w:pPr>
        <w:pStyle w:val="WXBodyText"/>
        <w:spacing w:before="0" w:after="0" w:line="360" w:lineRule="auto"/>
        <w:ind w:left="0" w:firstLineChars="200" w:firstLine="480"/>
        <w:rPr>
          <w:rFonts w:cs="Times New Roman"/>
        </w:rPr>
      </w:pPr>
      <w:r>
        <w:t>age: At purchase approximately 5 ~ 7 weeks, at group assignment approximately 6 ~ 8 weeks.</w:t>
      </w:r>
    </w:p>
    <w:p w14:paraId="2EB7ADB5" w14:textId="77777777" w:rsidR="00F41D01" w:rsidRDefault="00F41D01">
      <w:pPr>
        <w:keepNext/>
        <w:widowControl w:val="0"/>
        <w:numPr>
          <w:ilvl w:val="1"/>
          <w:numId w:val="4"/>
        </w:numPr>
        <w:spacing w:line="360" w:lineRule="auto"/>
        <w:jc w:val="both"/>
        <w:outlineLvl w:val="1"/>
        <w:rPr>
          <w:b/>
          <w:bCs/>
          <w:lang w:eastAsia="zh-CN"/>
        </w:rPr>
      </w:pPr>
      <w:r>
        <w:t>Animal Identification</w:t>
      </w:r>
    </w:p>
    <w:p w14:paraId="578FCC5F" w14:textId="77777777" w:rsidR="00F41D01" w:rsidRDefault="00F41D01">
      <w:pPr>
        <w:widowControl w:val="0"/>
        <w:kinsoku w:val="0"/>
        <w:overflowPunct w:val="0"/>
        <w:autoSpaceDE w:val="0"/>
        <w:autoSpaceDN w:val="0"/>
        <w:spacing w:line="360" w:lineRule="auto"/>
        <w:ind w:firstLineChars="200" w:firstLine="480"/>
        <w:jc w:val="both"/>
        <w:rPr>
          <w:bCs/>
          <w:kern w:val="32"/>
          <w:lang w:eastAsia="zh-CN"/>
        </w:rPr>
      </w:pPr>
      <w:r>
        <w:t>According to the test facility's SOPs, cage cards are made, with each animal identified through tail labeling and cage cards for animal identification.</w:t>
      </w:r>
    </w:p>
    <w:p w14:paraId="42A04DA0" w14:textId="77777777" w:rsidR="00F41D01" w:rsidRDefault="00F41D01">
      <w:pPr>
        <w:keepNext/>
        <w:widowControl w:val="0"/>
        <w:numPr>
          <w:ilvl w:val="1"/>
          <w:numId w:val="4"/>
        </w:numPr>
        <w:spacing w:line="360" w:lineRule="auto"/>
        <w:jc w:val="both"/>
        <w:outlineLvl w:val="1"/>
        <w:rPr>
          <w:b/>
          <w:bCs/>
          <w:lang w:eastAsia="zh-CN"/>
        </w:rPr>
      </w:pPr>
      <w:r>
        <w:t>Selection and Justification of Laboratory Animals and Number</w:t>
      </w:r>
    </w:p>
    <w:p w14:paraId="1ACEC94C" w14:textId="77777777" w:rsidR="003F078D" w:rsidRDefault="003F078D" w:rsidP="003F078D">
      <w:pPr>
        <w:spacing w:line="360" w:lineRule="auto"/>
        <w:ind w:firstLine="480"/>
        <w:jc w:val="both"/>
        <w:rPr>
          <w:rFonts w:hint="eastAsia"/>
          <w:lang w:eastAsia="zh-CN"/>
        </w:rPr>
      </w:pPr>
      <w:r>
        <w:t>laboratory animals selection reasons: refer to 'medication single dose toxicity research technical guidance principles' (former CFDA, May 2014), chemical drug single dose toxicity studies should adopt at least two types of mammals for experimentation, typically choosing one rodent animal and one non-rodent animal. Preliminary research indicates that ICR mice are the sensitive animals for this test article, hence, ICR mice are used as the test animals for this assay, and their genetic, biological background (including anatomical, physiological, clinical pathology, and other data ranges) are well understood.</w:t>
      </w:r>
    </w:p>
    <w:p w14:paraId="0A0D17BE" w14:textId="77777777" w:rsidR="00F41D01" w:rsidRDefault="003F078D" w:rsidP="003F078D">
      <w:pPr>
        <w:spacing w:line="360" w:lineRule="auto"/>
        <w:ind w:firstLineChars="200" w:firstLine="480"/>
        <w:jc w:val="both"/>
        <w:rPr>
          <w:rFonts w:hint="eastAsia"/>
          <w:lang w:eastAsia="zh-CN"/>
        </w:rPr>
      </w:pPr>
      <w:r>
        <w:t>Justification for the selection of the number of laboratory animals: Under the premise of meeting the research objectives, scientific standards, and regulatory requirements, use the least possible number of animals. This assay is designed according to the MTD method, observing the tolerance situation after a single administration of sbk002, while also setting up a clo administration group with an animal number of 20 per group. To prevent the situation where the purchased laboratory animals cannot meet the experimental needs due to unknown reasons, an additional 3 animals per gender were purchased.</w:t>
      </w:r>
    </w:p>
    <w:p w14:paraId="3354912B" w14:textId="77777777" w:rsidR="00EA185D" w:rsidRDefault="00EA185D" w:rsidP="003F078D">
      <w:pPr>
        <w:spacing w:line="360" w:lineRule="auto"/>
        <w:ind w:firstLineChars="200" w:firstLine="480"/>
        <w:jc w:val="both"/>
        <w:rPr>
          <w:lang w:eastAsia="zh-CN"/>
        </w:rPr>
      </w:pPr>
    </w:p>
    <w:p w14:paraId="4E51DA7D" w14:textId="77777777" w:rsidR="00F41D01" w:rsidRDefault="00C738CC">
      <w:pPr>
        <w:pStyle w:val="1"/>
        <w:widowControl w:val="0"/>
        <w:numPr>
          <w:ilvl w:val="0"/>
          <w:numId w:val="4"/>
        </w:numPr>
        <w:tabs>
          <w:tab w:val="clear" w:pos="720"/>
        </w:tabs>
        <w:spacing w:before="0" w:after="0" w:line="360" w:lineRule="auto"/>
        <w:rPr>
          <w:caps/>
          <w:kern w:val="2"/>
          <w:sz w:val="28"/>
          <w:lang w:eastAsia="zh-CN"/>
        </w:rPr>
      </w:pPr>
      <w:r>
        <w:t xml:space="preserve"> Animal Housing and Management</w:t>
      </w:r>
    </w:p>
    <w:p w14:paraId="3537CC45" w14:textId="77777777" w:rsidR="00F41D01" w:rsidRDefault="00F41D01">
      <w:pPr>
        <w:keepNext/>
        <w:widowControl w:val="0"/>
        <w:numPr>
          <w:ilvl w:val="1"/>
          <w:numId w:val="4"/>
        </w:numPr>
        <w:spacing w:line="360" w:lineRule="auto"/>
        <w:jc w:val="both"/>
        <w:outlineLvl w:val="1"/>
        <w:rPr>
          <w:b/>
          <w:bCs/>
          <w:lang w:eastAsia="zh-CN"/>
        </w:rPr>
      </w:pPr>
      <w:r>
        <w:t>animal management and use</w:t>
      </w:r>
    </w:p>
    <w:p w14:paraId="38A44B42" w14:textId="77777777" w:rsidR="002E0EFC" w:rsidRDefault="002E0EFC" w:rsidP="002E0EFC">
      <w:pPr>
        <w:pStyle w:val="WXBodyText"/>
        <w:adjustRightInd w:val="0"/>
        <w:snapToGrid w:val="0"/>
        <w:spacing w:before="0" w:after="0" w:line="360" w:lineRule="auto"/>
        <w:ind w:left="0" w:firstLineChars="200" w:firstLine="480"/>
        <w:rPr>
          <w:rFonts w:hint="eastAsia"/>
        </w:rPr>
      </w:pPr>
      <w:r>
        <w:t>Suzhou Huace Biotechnique Co., Ltd. is an institution accredited by the 'International Council for Laboratory Animal Evaluation and Accreditation (AAALAC International)', and its use of laboratory animals has been approved by the Science &amp; Technology Department of Jiangsu Province.</w:t>
      </w:r>
    </w:p>
    <w:p w14:paraId="11E7F4CD" w14:textId="77777777" w:rsidR="002E0EFC" w:rsidRDefault="002E0EFC" w:rsidP="002E0EFC">
      <w:pPr>
        <w:pStyle w:val="WXBodyText"/>
        <w:spacing w:before="0" w:after="0" w:line="360" w:lineRule="auto"/>
        <w:ind w:left="0" w:firstLineChars="200" w:firstLine="480"/>
        <w:rPr>
          <w:rFonts w:cs="Times New Roman" w:hint="eastAsia"/>
        </w:rPr>
      </w:pPr>
      <w:r>
        <w:t>The assay is not a simple repetition of any previous assays, and there are no alternative assays that can resolve it. Furthermore, literature searches did not reveal any methods that could replace the procedures mentioned in this assay with less pain and tension. During the study process, no conditions were found that could cause pain, tension, or diseases affecting the animal experiment results.</w:t>
      </w:r>
    </w:p>
    <w:p w14:paraId="0AA71D70" w14:textId="77777777" w:rsidR="00F41D01" w:rsidRDefault="003F078D">
      <w:pPr>
        <w:pStyle w:val="WXBodyText"/>
        <w:spacing w:before="0" w:after="0" w:line="360" w:lineRule="auto"/>
        <w:ind w:left="0" w:firstLineChars="200" w:firstLine="480"/>
        <w:rPr>
          <w:rFonts w:cs="Times New Roman"/>
        </w:rPr>
      </w:pPr>
      <w:r>
        <w:t>The contents and procedures related to animal experiments involved in this assay comply with the relevant laws and regulations on the use and management of laboratory animals and the relevant provisions of the Institutional Animal Care and Use Committee (IACUC) of this institution. The number of animals, study design, and disposal of animals were approved by the IACUC of this institution (approval number: IACUC-A2018030-T001-01), and strictly followed the contents approved by the IACUC.</w:t>
      </w:r>
    </w:p>
    <w:p w14:paraId="482117AC" w14:textId="77777777" w:rsidR="00F41D01" w:rsidRDefault="00F41D01">
      <w:pPr>
        <w:keepNext/>
        <w:widowControl w:val="0"/>
        <w:numPr>
          <w:ilvl w:val="1"/>
          <w:numId w:val="4"/>
        </w:numPr>
        <w:spacing w:line="360" w:lineRule="auto"/>
        <w:jc w:val="both"/>
        <w:outlineLvl w:val="1"/>
        <w:rPr>
          <w:b/>
          <w:bCs/>
          <w:lang w:eastAsia="zh-CN"/>
        </w:rPr>
      </w:pPr>
      <w:r>
        <w:t>Animal Receipt and Acclimation</w:t>
      </w:r>
    </w:p>
    <w:p w14:paraId="3895EDFD" w14:textId="77777777" w:rsidR="00F41D01" w:rsidRDefault="00C57C2E">
      <w:pPr>
        <w:spacing w:line="360" w:lineRule="auto"/>
        <w:ind w:firstLineChars="200" w:firstLine="480"/>
        <w:rPr>
          <w:lang w:eastAsia="zh-CN"/>
        </w:rPr>
      </w:pPr>
      <w:r>
        <w:t>Laboratory animals receive 6 days of acclimation after reception.</w:t>
      </w:r>
    </w:p>
    <w:p w14:paraId="6AD7C7D8" w14:textId="77777777" w:rsidR="00F41D01" w:rsidRDefault="00F41D01">
      <w:pPr>
        <w:keepNext/>
        <w:widowControl w:val="0"/>
        <w:numPr>
          <w:ilvl w:val="1"/>
          <w:numId w:val="4"/>
        </w:numPr>
        <w:spacing w:line="360" w:lineRule="auto"/>
        <w:jc w:val="both"/>
        <w:outlineLvl w:val="1"/>
        <w:rPr>
          <w:b/>
          <w:bCs/>
          <w:lang w:eastAsia="zh-CN"/>
        </w:rPr>
      </w:pPr>
      <w:r>
        <w:t>Animal Housing</w:t>
      </w:r>
    </w:p>
    <w:p w14:paraId="731A8780" w14:textId="77777777" w:rsidR="00F41D01" w:rsidRDefault="00F41D01">
      <w:pPr>
        <w:pStyle w:val="WXBodyText"/>
        <w:spacing w:before="0" w:after="0" w:line="360" w:lineRule="auto"/>
        <w:ind w:left="0" w:firstLineChars="200" w:firstLine="480"/>
      </w:pPr>
      <w:r>
        <w:t>laboratory animals use license number: SYXK (Su) 2018-0051;</w:t>
      </w:r>
    </w:p>
    <w:p w14:paraId="5BCD3834" w14:textId="77777777" w:rsidR="00F41D01" w:rsidRDefault="00F41D01">
      <w:pPr>
        <w:spacing w:line="360" w:lineRule="auto"/>
        <w:ind w:firstLineChars="200" w:firstLine="480"/>
        <w:jc w:val="both"/>
        <w:rPr>
          <w:kern w:val="32"/>
          <w:lang w:eastAsia="zh-CN"/>
        </w:rPr>
      </w:pPr>
      <w:r>
        <w:t>Laboratory animal use license No.: Suzhou Huace Biology Technology Co., Ltd., Building 1, 2nd Floor, within the barrier system;</w:t>
      </w:r>
    </w:p>
    <w:p w14:paraId="6AF202B9" w14:textId="77777777" w:rsidR="00F41D01" w:rsidRDefault="00F41D01">
      <w:pPr>
        <w:spacing w:line="360" w:lineRule="auto"/>
        <w:ind w:firstLineChars="200" w:firstLine="480"/>
        <w:jc w:val="both"/>
        <w:rPr>
          <w:bCs/>
          <w:kern w:val="32"/>
          <w:lang w:eastAsia="zh-CN"/>
        </w:rPr>
      </w:pPr>
      <w:r>
        <w:t>cage type: polysulfone mouse cage, size (L×W×H): 26 cm×16 cm×13 cm;</w:t>
      </w:r>
    </w:p>
    <w:p w14:paraId="615F5942" w14:textId="77777777" w:rsidR="00F41D01" w:rsidRDefault="00F41D01">
      <w:pPr>
        <w:pStyle w:val="WXBodyText"/>
        <w:spacing w:before="0" w:after="0" w:line="360" w:lineRule="auto"/>
        <w:ind w:left="0" w:firstLineChars="200" w:firstLine="480"/>
        <w:rPr>
          <w:rFonts w:cs="Times New Roman"/>
        </w:rPr>
      </w:pPr>
      <w:r>
        <w:t>housing density: ≤4 animals per cage.</w:t>
      </w:r>
    </w:p>
    <w:p w14:paraId="21F0221A" w14:textId="77777777" w:rsidR="00F41D01" w:rsidRDefault="00F41D01">
      <w:pPr>
        <w:keepNext/>
        <w:widowControl w:val="0"/>
        <w:numPr>
          <w:ilvl w:val="1"/>
          <w:numId w:val="4"/>
        </w:numPr>
        <w:spacing w:line="360" w:lineRule="auto"/>
        <w:jc w:val="both"/>
        <w:outlineLvl w:val="1"/>
        <w:rPr>
          <w:b/>
          <w:bCs/>
          <w:lang w:eastAsia="zh-CN"/>
        </w:rPr>
      </w:pPr>
      <w:r>
        <w:t>Housing Environment</w:t>
      </w:r>
    </w:p>
    <w:p w14:paraId="14591338" w14:textId="77777777" w:rsidR="00F41D01" w:rsidRDefault="00F41D01">
      <w:pPr>
        <w:pStyle w:val="WXBodyText"/>
        <w:spacing w:before="0" w:after="0" w:line="360" w:lineRule="auto"/>
        <w:ind w:left="0" w:firstLineChars="200" w:firstLine="480"/>
      </w:pPr>
      <w:r>
        <w:t>Housing Environment Conditions Standards: National Standards of the People's Republic of China GB14925-2010；</w:t>
      </w:r>
    </w:p>
    <w:p w14:paraId="384301AB" w14:textId="77777777" w:rsidR="00F41D01" w:rsidRDefault="00F41D01">
      <w:pPr>
        <w:spacing w:line="360" w:lineRule="auto"/>
        <w:ind w:firstLineChars="200" w:firstLine="480"/>
        <w:jc w:val="both"/>
        <w:rPr>
          <w:bCs/>
          <w:kern w:val="32"/>
          <w:lang w:eastAsia="zh-CN"/>
        </w:rPr>
      </w:pPr>
      <w:r>
        <w:t>Housing environment control system: MSEA-MVE 6.0 Jiangsen animal housing environment monitoring system;</w:t>
      </w:r>
    </w:p>
    <w:p w14:paraId="7DA3CB0B" w14:textId="77777777" w:rsidR="00F41D01" w:rsidRPr="007357AA" w:rsidRDefault="00F41D01">
      <w:pPr>
        <w:spacing w:line="360" w:lineRule="auto"/>
        <w:ind w:firstLineChars="200" w:firstLine="480"/>
        <w:jc w:val="both"/>
        <w:rPr>
          <w:bCs/>
          <w:kern w:val="32"/>
          <w:lang w:eastAsia="zh-CN"/>
        </w:rPr>
      </w:pPr>
      <w:r>
        <w:t>temperature: 21.1 ~ 23.4 ℃ (daily temperature variation 0.6 ~ 2.2 ℃);</w:t>
      </w:r>
    </w:p>
    <w:p w14:paraId="0FB1619B" w14:textId="77777777" w:rsidR="00F41D01" w:rsidRPr="007357AA" w:rsidRDefault="00F41D01">
      <w:pPr>
        <w:spacing w:line="360" w:lineRule="auto"/>
        <w:ind w:firstLineChars="200" w:firstLine="480"/>
        <w:jc w:val="both"/>
        <w:rPr>
          <w:bCs/>
          <w:kern w:val="32"/>
          <w:lang w:eastAsia="zh-CN"/>
        </w:rPr>
      </w:pPr>
      <w:r>
        <w:t>Relative humidity: 44.6 % ~ 64.4 %;</w:t>
      </w:r>
    </w:p>
    <w:p w14:paraId="22FA2D7C" w14:textId="77777777" w:rsidR="00F41D01" w:rsidRDefault="00F41D01">
      <w:pPr>
        <w:spacing w:line="360" w:lineRule="auto"/>
        <w:ind w:firstLineChars="200" w:firstLine="480"/>
        <w:jc w:val="both"/>
        <w:rPr>
          <w:bCs/>
          <w:kern w:val="32"/>
          <w:lang w:eastAsia="zh-CN"/>
        </w:rPr>
      </w:pPr>
      <w:r>
        <w:t>Lighting: Artificial lighting; 12-hour light/dark cycles;</w:t>
      </w:r>
    </w:p>
    <w:p w14:paraId="72AFAE08" w14:textId="77777777" w:rsidR="00F41D01" w:rsidRDefault="00F41D01">
      <w:pPr>
        <w:spacing w:line="360" w:lineRule="auto"/>
        <w:ind w:firstLineChars="200" w:firstLine="480"/>
        <w:jc w:val="both"/>
        <w:rPr>
          <w:bCs/>
          <w:kern w:val="32"/>
          <w:lang w:eastAsia="zh-CN"/>
        </w:rPr>
      </w:pPr>
      <w:r>
        <w:t>ventilation rate: at least 15 air changes per hour.</w:t>
      </w:r>
    </w:p>
    <w:p w14:paraId="58B46DC1" w14:textId="77777777" w:rsidR="00F41D01" w:rsidRDefault="00F41D01">
      <w:pPr>
        <w:keepNext/>
        <w:widowControl w:val="0"/>
        <w:numPr>
          <w:ilvl w:val="1"/>
          <w:numId w:val="4"/>
        </w:numPr>
        <w:spacing w:line="360" w:lineRule="auto"/>
        <w:jc w:val="both"/>
        <w:outlineLvl w:val="1"/>
        <w:rPr>
          <w:b/>
          <w:bCs/>
          <w:lang w:eastAsia="zh-CN"/>
        </w:rPr>
      </w:pPr>
      <w:r>
        <w:t>Environmental Enrichment</w:t>
      </w:r>
    </w:p>
    <w:p w14:paraId="1CE360E7" w14:textId="77777777" w:rsidR="00F41D01" w:rsidRDefault="00F41D01">
      <w:pPr>
        <w:pStyle w:val="WXBodyText"/>
        <w:spacing w:before="0" w:after="0" w:line="360" w:lineRule="auto"/>
        <w:ind w:left="0" w:firstLineChars="200" w:firstLine="480"/>
        <w:rPr>
          <w:rFonts w:cs="Times New Roman"/>
        </w:rPr>
      </w:pPr>
      <w:r>
        <w:t>Provide toys for laboratory animals as environmental enrichment measures.</w:t>
      </w:r>
    </w:p>
    <w:p w14:paraId="5A0944F3" w14:textId="77777777" w:rsidR="00F41D01" w:rsidRDefault="00F41D01">
      <w:pPr>
        <w:keepNext/>
        <w:widowControl w:val="0"/>
        <w:numPr>
          <w:ilvl w:val="1"/>
          <w:numId w:val="4"/>
        </w:numPr>
        <w:spacing w:line="360" w:lineRule="auto"/>
        <w:jc w:val="both"/>
        <w:outlineLvl w:val="1"/>
        <w:rPr>
          <w:b/>
          <w:bCs/>
          <w:lang w:eastAsia="zh-CN"/>
        </w:rPr>
      </w:pPr>
      <w:r>
        <w:t>feed</w:t>
      </w:r>
    </w:p>
    <w:p w14:paraId="30A6FF9C" w14:textId="77777777" w:rsidR="00F41D01" w:rsidRDefault="00F41D01">
      <w:pPr>
        <w:pStyle w:val="WXBodyText"/>
        <w:spacing w:before="0" w:after="0" w:line="360" w:lineRule="auto"/>
        <w:ind w:left="0" w:firstLineChars="200" w:firstLine="480"/>
        <w:rPr>
          <w:rFonts w:cs="Times New Roman"/>
        </w:rPr>
      </w:pPr>
      <w:r>
        <w:t>Type: SPF rat and mouse maintenance feed;</w:t>
      </w:r>
    </w:p>
    <w:p w14:paraId="11A8DBA4" w14:textId="77777777" w:rsidR="00F41D01" w:rsidRDefault="00F41D01">
      <w:pPr>
        <w:pStyle w:val="WXBodyText"/>
        <w:spacing w:before="0" w:after="0" w:line="360" w:lineRule="auto"/>
        <w:ind w:left="0" w:firstLineChars="200" w:firstLine="480"/>
        <w:rPr>
          <w:rFonts w:cs="Times New Roman"/>
        </w:rPr>
      </w:pPr>
      <w:r>
        <w:t>Feed Batch Number: 18103213, 18113213;</w:t>
      </w:r>
    </w:p>
    <w:p w14:paraId="15FEDF7F" w14:textId="77777777" w:rsidR="00F41D01" w:rsidRDefault="00F41D01">
      <w:pPr>
        <w:pStyle w:val="WXBodyText"/>
        <w:spacing w:before="0" w:after="0" w:line="360" w:lineRule="auto"/>
        <w:ind w:left="0" w:firstLineChars="200" w:firstLine="480"/>
        <w:rPr>
          <w:rFonts w:cs="Times New Roman"/>
        </w:rPr>
      </w:pPr>
      <w:r>
        <w:t>Manufacturer: Beijing Sino-Australian Cooperation Feed Co., Ltd.;</w:t>
      </w:r>
    </w:p>
    <w:p w14:paraId="6DD0D876" w14:textId="77777777" w:rsidR="00F41D01" w:rsidRDefault="00F41D01">
      <w:pPr>
        <w:pStyle w:val="WXBodyText"/>
        <w:spacing w:before="0" w:after="0" w:line="360" w:lineRule="auto"/>
        <w:ind w:left="0" w:firstLineChars="200" w:firstLine="480"/>
        <w:rPr>
          <w:rFonts w:cs="Times New Roman"/>
        </w:rPr>
      </w:pPr>
      <w:r>
        <w:t>Production license No: SCXK(Beijing)2014-0010;</w:t>
      </w:r>
    </w:p>
    <w:p w14:paraId="000D1218" w14:textId="77777777" w:rsidR="00F41D01" w:rsidRDefault="00F41D01">
      <w:pPr>
        <w:pStyle w:val="WXBodyText"/>
        <w:spacing w:before="0" w:after="0" w:line="360" w:lineRule="auto"/>
        <w:ind w:left="0" w:firstLineChars="200" w:firstLine="480"/>
        <w:rPr>
          <w:rFonts w:cs="Times New Roman"/>
        </w:rPr>
      </w:pPr>
      <w:r>
        <w:t>Feeding method: ad libitum (except when the assay has special requirements);</w:t>
      </w:r>
    </w:p>
    <w:p w14:paraId="107BD380" w14:textId="77777777" w:rsidR="00F41D01" w:rsidRPr="0093543E" w:rsidRDefault="00F41D01">
      <w:pPr>
        <w:spacing w:line="360" w:lineRule="auto"/>
        <w:ind w:firstLineChars="200" w:firstLine="480"/>
        <w:jc w:val="both"/>
        <w:rPr>
          <w:sz w:val="22"/>
          <w:szCs w:val="22"/>
          <w:lang w:eastAsia="zh-CN"/>
        </w:rPr>
      </w:pPr>
      <w:r>
        <w:t>Feed testing: The supplier provides a quality certificate for the feed, certificate numbers: 1112621800002026, 1112621800002136;</w:t>
      </w:r>
    </w:p>
    <w:p w14:paraId="796D927D" w14:textId="77777777" w:rsidR="00F41D01" w:rsidRDefault="00F41D01">
      <w:pPr>
        <w:pStyle w:val="WXBodyText"/>
        <w:spacing w:before="0" w:after="0" w:line="360" w:lineRule="auto"/>
        <w:ind w:left="0" w:firstLineChars="200" w:firstLine="480"/>
        <w:rPr>
          <w:rFonts w:cs="Times New Roman"/>
        </w:rPr>
      </w:pPr>
      <w:r>
        <w:t>testing result:</w:t>
      </w:r>
    </w:p>
    <w:p w14:paraId="7B99CDB8" w14:textId="77777777" w:rsidR="00843646" w:rsidRDefault="00F41D01" w:rsidP="00843646">
      <w:pPr>
        <w:widowControl w:val="0"/>
        <w:spacing w:line="360" w:lineRule="auto"/>
        <w:ind w:firstLineChars="200" w:firstLine="480"/>
        <w:jc w:val="both"/>
        <w:rPr>
          <w:kern w:val="2"/>
          <w:szCs w:val="20"/>
          <w:lang w:eastAsia="zh-CN"/>
        </w:rPr>
      </w:pPr>
      <w:r>
        <w:t>Nutritional composition: Nutritional composition inspection report of feed batches 18103213 and 18113213 provided by SONY Testing Group Co., Ltd. (Report numbers: GMAXKCAK40861508, GMAJKSIK27539508), including indicators for moisture, crude protein, crude fat, crude fiber, crude ash, calcium, and phosphorus. Test results conform to GB14924.3-2010;</w:t>
      </w:r>
    </w:p>
    <w:p w14:paraId="567613D6" w14:textId="77777777" w:rsidR="00843646" w:rsidRDefault="00843646" w:rsidP="00843646">
      <w:pPr>
        <w:widowControl w:val="0"/>
        <w:spacing w:line="360" w:lineRule="auto"/>
        <w:ind w:firstLineChars="200" w:firstLine="480"/>
        <w:jc w:val="both"/>
        <w:rPr>
          <w:kern w:val="2"/>
          <w:szCs w:val="20"/>
          <w:lang w:eastAsia="zh-CN"/>
        </w:rPr>
      </w:pPr>
      <w:r>
        <w:t>chemical pollutants: including aflatoxin, lead, cadmium, mercury, dioxins, ochratoxin A, aflatoxin B1. The test results meet the standards of GB/T 14924.2-2001;</w:t>
      </w:r>
    </w:p>
    <w:p w14:paraId="0AE3ECA9" w14:textId="77777777" w:rsidR="00F41D01" w:rsidRDefault="00843646" w:rsidP="00843646">
      <w:pPr>
        <w:widowControl w:val="0"/>
        <w:spacing w:line="360" w:lineRule="auto"/>
        <w:ind w:firstLineChars="200" w:firstLine="480"/>
        <w:jc w:val="both"/>
        <w:rPr>
          <w:rFonts w:hint="eastAsia"/>
          <w:kern w:val="2"/>
          <w:szCs w:val="20"/>
          <w:lang w:eastAsia="zh-CN"/>
        </w:rPr>
      </w:pPr>
      <w:r>
        <w:t>Microbiological indicators: a microbiological testing report of feed batches 18103213 and 18113213 provided by Beijing Vital River Laboratory Animal Technology Co., Ltd. and Charles River Laboratories Inc. (Report IDs: BJVRL-FR-20181018C, GMABENWK32548508) includes total bacterial count, coliforms, mold and yeast counts, and Salmonella. The test results conform to GB/T 14924.2-2001.</w:t>
      </w:r>
    </w:p>
    <w:p w14:paraId="64FAC2CB" w14:textId="77777777" w:rsidR="00F41D01" w:rsidRDefault="00F41D01">
      <w:pPr>
        <w:keepNext/>
        <w:widowControl w:val="0"/>
        <w:numPr>
          <w:ilvl w:val="1"/>
          <w:numId w:val="4"/>
        </w:numPr>
        <w:spacing w:line="360" w:lineRule="auto"/>
        <w:jc w:val="both"/>
        <w:outlineLvl w:val="1"/>
        <w:rPr>
          <w:b/>
          <w:bCs/>
          <w:lang w:eastAsia="zh-CN"/>
        </w:rPr>
      </w:pPr>
      <w:r>
        <w:t>bedding</w:t>
      </w:r>
    </w:p>
    <w:p w14:paraId="030FD6D1" w14:textId="77777777" w:rsidR="00F41D01" w:rsidRDefault="00F41D01">
      <w:pPr>
        <w:pStyle w:val="WXBodyText"/>
        <w:spacing w:before="0" w:after="0" w:line="360" w:lineRule="auto"/>
        <w:ind w:left="0" w:firstLineChars="200" w:firstLine="480"/>
        <w:rPr>
          <w:rFonts w:cs="Times New Roman"/>
        </w:rPr>
      </w:pPr>
      <w:r>
        <w:t>bedding type: corn cob;</w:t>
      </w:r>
    </w:p>
    <w:p w14:paraId="11B0C713" w14:textId="77777777" w:rsidR="00F41D01" w:rsidRDefault="00F41D01">
      <w:pPr>
        <w:pStyle w:val="WXBodyText"/>
        <w:spacing w:before="0" w:after="0" w:line="360" w:lineRule="auto"/>
        <w:ind w:left="0" w:firstLineChars="200" w:firstLine="480"/>
        <w:rPr>
          <w:rFonts w:cs="Times New Roman"/>
        </w:rPr>
      </w:pPr>
      <w:r>
        <w:t>bedding batch number: 20180712;</w:t>
      </w:r>
    </w:p>
    <w:p w14:paraId="45D1F1C1" w14:textId="77777777" w:rsidR="00F41D01" w:rsidRDefault="00F41D01">
      <w:pPr>
        <w:pStyle w:val="WXBodyText"/>
        <w:spacing w:before="0" w:after="0" w:line="360" w:lineRule="auto"/>
        <w:ind w:left="0" w:firstLineChars="200" w:firstLine="480"/>
        <w:rPr>
          <w:rFonts w:cs="Times New Roman"/>
        </w:rPr>
      </w:pPr>
      <w:r>
        <w:t>Manufacturer: Jiangsu Hengrui Medicine Co., Ltd.</w:t>
      </w:r>
    </w:p>
    <w:p w14:paraId="22345F64" w14:textId="77777777" w:rsidR="00F41D01" w:rsidRDefault="00C52F08">
      <w:pPr>
        <w:pStyle w:val="WXBodyText"/>
        <w:spacing w:before="0" w:after="0" w:line="360" w:lineRule="auto"/>
        <w:ind w:left="0" w:firstLineChars="200" w:firstLine="480"/>
        <w:rPr>
          <w:rFonts w:cs="Times New Roman" w:hint="eastAsia"/>
        </w:rPr>
      </w:pPr>
      <w:r>
        <w:t>Storage and use: low temperature, dry, hygienic; Spread sterilized bedding on the bottom of the mouse cage, spread evenly across the whole bottom;</w:t>
      </w:r>
    </w:p>
    <w:p w14:paraId="4E3C56D8" w14:textId="77777777" w:rsidR="00F41D01" w:rsidRDefault="00F41D01">
      <w:pPr>
        <w:widowControl w:val="0"/>
        <w:spacing w:line="360" w:lineRule="auto"/>
        <w:ind w:firstLineChars="200" w:firstLine="480"/>
        <w:jc w:val="both"/>
        <w:rPr>
          <w:rFonts w:hint="eastAsia"/>
          <w:kern w:val="2"/>
          <w:szCs w:val="20"/>
          <w:lang w:eastAsia="zh-CN"/>
        </w:rPr>
      </w:pPr>
      <w:r>
        <w:t>Bedding testing: The supplier provides a quality assurance certificate for the feed, certificate number: No. 1201812080010; with testing reports provided by Juniperus Test Group Co., Ltd. for batch number 20180712 on bedding chemical pollutants (report number: BMA5HG9J16849708A). The testing standards include water absorbency (48-hour water absorption), moisture, total ash, lead, cadmium, arsenic, hexavalent chromium, mercury, and aflatoxin B1. The testing results meet the requirements.</w:t>
      </w:r>
    </w:p>
    <w:p w14:paraId="7BDC7C4C" w14:textId="77777777" w:rsidR="00F41D01" w:rsidRDefault="00F41D01">
      <w:pPr>
        <w:keepNext/>
        <w:widowControl w:val="0"/>
        <w:numPr>
          <w:ilvl w:val="1"/>
          <w:numId w:val="4"/>
        </w:numPr>
        <w:spacing w:line="360" w:lineRule="auto"/>
        <w:jc w:val="both"/>
        <w:outlineLvl w:val="1"/>
        <w:rPr>
          <w:b/>
          <w:bCs/>
          <w:lang w:eastAsia="zh-CN"/>
        </w:rPr>
      </w:pPr>
      <w:r>
        <w:t>Drinking Water</w:t>
      </w:r>
    </w:p>
    <w:p w14:paraId="54997C06" w14:textId="77777777" w:rsidR="00F41D01" w:rsidRDefault="00F41D01">
      <w:pPr>
        <w:pStyle w:val="WXBodyText"/>
        <w:spacing w:before="0" w:after="0" w:line="360" w:lineRule="auto"/>
        <w:ind w:left="0" w:firstLineChars="200" w:firstLine="480"/>
        <w:rPr>
          <w:rFonts w:cs="Times New Roman"/>
        </w:rPr>
      </w:pPr>
      <w:r>
        <w:t>Type: Reverse osmosis water (testing report as domestic drinking water);</w:t>
      </w:r>
    </w:p>
    <w:p w14:paraId="1F37DB4E" w14:textId="77777777" w:rsidR="00F41D01" w:rsidRDefault="00F41D01">
      <w:pPr>
        <w:pStyle w:val="WXBodyText"/>
        <w:spacing w:before="0" w:after="0" w:line="360" w:lineRule="auto"/>
        <w:ind w:left="0" w:firstLineChars="200" w:firstLine="480"/>
        <w:rPr>
          <w:rFonts w:cs="Times New Roman"/>
        </w:rPr>
      </w:pPr>
      <w:r>
        <w:t>water supply method: Drinking Water bottles provided, ad libitum (collection urine period remove the water bottles);</w:t>
      </w:r>
    </w:p>
    <w:p w14:paraId="3CE5131B" w14:textId="77777777" w:rsidR="00F41D01" w:rsidRDefault="00F41D01" w:rsidP="00217133">
      <w:pPr>
        <w:pStyle w:val="WXBodyText"/>
        <w:spacing w:before="0" w:after="0" w:line="360" w:lineRule="auto"/>
        <w:ind w:left="0" w:firstLineChars="200" w:firstLine="480"/>
        <w:rPr>
          <w:rFonts w:cs="Times New Roman"/>
        </w:rPr>
      </w:pPr>
      <w:r>
        <w:t>Testing of water quality routine indicators: with testing reports provided by Shanghai Huace Pinhui Testing Technology Co., Ltd. (Report numbers: A20180219731101, A20180219731102b). The testing items include: pH value, color, turbidity, odor and taste, visible matter to the naked eye, total bacterial colonies, total coliform bacteria, Escherichia coli, thermotolerant coliform bacteria, oxygen demand, total dissolved solids, total hardness, anionic synthetic detergents, total alpha radioactivity, total beta radioactivity, hexavalent chromium, cyanide compounds, fluoride compounds, chloride compounds, bromide compounds, phosphate compounds, acetate compounds, formate compounds, tetrahydrofuran, zinc, lead, selenium, mercury, aluminum, iron, cadmium, copper, nickel, and various fermentation substances. The testing results meet the requirements.</w:t>
      </w:r>
    </w:p>
    <w:p w14:paraId="3B1ACF7F" w14:textId="77777777" w:rsidR="00F41D01" w:rsidRDefault="00F41D01">
      <w:pPr>
        <w:keepNext/>
        <w:widowControl w:val="0"/>
        <w:numPr>
          <w:ilvl w:val="1"/>
          <w:numId w:val="4"/>
        </w:numPr>
        <w:spacing w:line="360" w:lineRule="auto"/>
        <w:jc w:val="both"/>
        <w:outlineLvl w:val="1"/>
        <w:rPr>
          <w:b/>
          <w:bCs/>
          <w:lang w:eastAsia="zh-CN"/>
        </w:rPr>
      </w:pPr>
      <w:r>
        <w:t>Animal Selection</w:t>
      </w:r>
    </w:p>
    <w:p w14:paraId="0E970911" w14:textId="77777777" w:rsidR="00F41D01" w:rsidRDefault="00C52F08">
      <w:pPr>
        <w:pStyle w:val="WXBodyText"/>
        <w:spacing w:before="0" w:after="0" w:line="360" w:lineRule="auto"/>
        <w:ind w:left="0" w:firstLineChars="200" w:firstLine="480"/>
        <w:rPr>
          <w:rFonts w:cs="Times New Roman"/>
        </w:rPr>
      </w:pPr>
      <w:r>
        <w:t>Selection of healthy (non-pregnant, nulliparous) ICR mice as test animals. All ICR mice passed the examination during the acclimatization period, selecting 60 of them for the study.</w:t>
      </w:r>
    </w:p>
    <w:p w14:paraId="5343810E" w14:textId="77777777" w:rsidR="00F41D01" w:rsidRPr="00A51B6B" w:rsidRDefault="00F41D01">
      <w:pPr>
        <w:spacing w:line="360" w:lineRule="auto"/>
        <w:ind w:firstLineChars="200" w:firstLine="480"/>
        <w:rPr>
          <w:lang w:eastAsia="zh-CN"/>
        </w:rPr>
      </w:pPr>
    </w:p>
    <w:p w14:paraId="5FBAD28C" w14:textId="77777777" w:rsidR="00F41D01" w:rsidRDefault="00C738CC">
      <w:pPr>
        <w:pStyle w:val="1"/>
        <w:widowControl w:val="0"/>
        <w:numPr>
          <w:ilvl w:val="0"/>
          <w:numId w:val="4"/>
        </w:numPr>
        <w:tabs>
          <w:tab w:val="clear" w:pos="720"/>
        </w:tabs>
        <w:spacing w:before="0" w:after="0" w:line="360" w:lineRule="auto"/>
        <w:rPr>
          <w:caps/>
          <w:kern w:val="2"/>
          <w:sz w:val="28"/>
          <w:lang w:eastAsia="zh-CN"/>
        </w:rPr>
      </w:pPr>
      <w:r>
        <w:t xml:space="preserve"> study design</w:t>
      </w:r>
    </w:p>
    <w:p w14:paraId="1D2C243F" w14:textId="77777777" w:rsidR="00F41D01" w:rsidRDefault="00F41D01">
      <w:pPr>
        <w:pStyle w:val="WXBodyText"/>
        <w:spacing w:before="0" w:after="0" w:line="360" w:lineRule="auto"/>
        <w:ind w:left="0" w:firstLineChars="200" w:firstLine="480"/>
        <w:rPr>
          <w:rFonts w:cs="Times New Roman"/>
          <w:szCs w:val="21"/>
        </w:rPr>
      </w:pPr>
      <w:r>
        <w:t>Group design: Vehicle control group, sbk002 dose group, and clo dose group;</w:t>
      </w:r>
    </w:p>
    <w:p w14:paraId="41774121" w14:textId="77777777" w:rsidR="00F41D01" w:rsidRDefault="00F41D01">
      <w:pPr>
        <w:pStyle w:val="WXBodyText"/>
        <w:spacing w:before="0" w:after="0" w:line="360" w:lineRule="auto"/>
        <w:ind w:left="0" w:firstLineChars="200" w:firstLine="480"/>
        <w:rPr>
          <w:rFonts w:cs="Times New Roman"/>
        </w:rPr>
      </w:pPr>
      <w:r>
        <w:t>animal number: total 60, each group 20;</w:t>
      </w:r>
    </w:p>
    <w:p w14:paraId="170A6A54" w14:textId="77777777" w:rsidR="00F41D01" w:rsidRDefault="00F41D01">
      <w:pPr>
        <w:pStyle w:val="WXBodyText"/>
        <w:spacing w:before="0" w:after="0" w:line="360" w:lineRule="auto"/>
        <w:ind w:left="0" w:firstLineChars="200" w:firstLine="480"/>
        <w:rPr>
          <w:rFonts w:cs="Times New Roman"/>
        </w:rPr>
      </w:pPr>
      <w:r>
        <w:t>sex ratio: female and male each half;</w:t>
      </w:r>
    </w:p>
    <w:p w14:paraId="059DDC1B" w14:textId="77777777" w:rsidR="00F41D01" w:rsidRDefault="00F41D01">
      <w:pPr>
        <w:spacing w:line="360" w:lineRule="auto"/>
        <w:ind w:firstLineChars="200" w:firstLine="480"/>
        <w:rPr>
          <w:lang w:eastAsia="zh-CN"/>
        </w:rPr>
      </w:pPr>
      <w:r>
        <w:t>Group assignment method: Using Pristima system for sex-random group assignment;</w:t>
      </w:r>
    </w:p>
    <w:p w14:paraId="1411A525" w14:textId="77777777" w:rsidR="00D428E5" w:rsidRDefault="00D428E5" w:rsidP="00D428E5">
      <w:pPr>
        <w:pStyle w:val="WXBodyText"/>
        <w:spacing w:before="0" w:after="0" w:line="360" w:lineRule="auto"/>
        <w:ind w:left="0" w:firstLineChars="200" w:firstLine="480"/>
        <w:rPr>
          <w:rFonts w:cs="Times New Roman" w:hint="eastAsia"/>
        </w:rPr>
      </w:pPr>
      <w:r>
        <w:t>Detailed group assignment information can be found in the table below:</w:t>
      </w:r>
    </w:p>
    <w:tbl>
      <w:tblPr>
        <w:tblpPr w:leftFromText="180" w:rightFromText="180" w:vertAnchor="text" w:horzAnchor="margin" w:tblpXSpec="center" w:tblpY="29"/>
        <w:tblW w:w="0" w:type="auto"/>
        <w:tblInd w:w="0" w:type="dxa"/>
        <w:tblBorders>
          <w:top w:val="single" w:sz="18" w:space="0" w:color="339966"/>
          <w:bottom w:val="single" w:sz="18" w:space="0" w:color="339966"/>
        </w:tblBorders>
        <w:tblLayout w:type="fixed"/>
        <w:tblCellMar>
          <w:left w:w="28" w:type="dxa"/>
          <w:right w:w="28" w:type="dxa"/>
        </w:tblCellMar>
        <w:tblLook w:val="0000" w:firstRow="0" w:lastRow="0" w:firstColumn="0" w:lastColumn="0" w:noHBand="0" w:noVBand="0"/>
      </w:tblPr>
      <w:tblGrid>
        <w:gridCol w:w="1492"/>
        <w:gridCol w:w="1386"/>
        <w:gridCol w:w="1280"/>
        <w:gridCol w:w="1138"/>
        <w:gridCol w:w="1565"/>
        <w:gridCol w:w="1528"/>
      </w:tblGrid>
      <w:tr w:rsidR="00D428E5" w14:paraId="0B4C79EB" w14:textId="77777777" w:rsidTr="00D428E5">
        <w:trPr>
          <w:trHeight w:val="340"/>
        </w:trPr>
        <w:tc>
          <w:tcPr>
            <w:tcW w:w="1492" w:type="dxa"/>
            <w:vMerge w:val="restart"/>
            <w:tcBorders>
              <w:top w:val="single" w:sz="12" w:space="0" w:color="auto"/>
              <w:bottom w:val="single" w:sz="4" w:space="0" w:color="auto"/>
            </w:tcBorders>
            <w:vAlign w:val="center"/>
          </w:tcPr>
          <w:p w14:paraId="03F92BCD" w14:textId="77777777" w:rsidR="00D428E5" w:rsidRDefault="00D428E5" w:rsidP="00D428E5">
            <w:pPr>
              <w:jc w:val="center"/>
              <w:rPr>
                <w:b/>
                <w:sz w:val="18"/>
                <w:szCs w:val="18"/>
              </w:rPr>
            </w:pPr>
            <w:r>
              <w:t>group</w:t>
            </w:r>
          </w:p>
        </w:tc>
        <w:tc>
          <w:tcPr>
            <w:tcW w:w="1386" w:type="dxa"/>
            <w:vMerge w:val="restart"/>
            <w:tcBorders>
              <w:top w:val="single" w:sz="12" w:space="0" w:color="auto"/>
            </w:tcBorders>
            <w:vAlign w:val="center"/>
          </w:tcPr>
          <w:p w14:paraId="09120329" w14:textId="77777777" w:rsidR="00D428E5" w:rsidRDefault="00D428E5" w:rsidP="00D428E5">
            <w:pPr>
              <w:jc w:val="center"/>
              <w:rPr>
                <w:rFonts w:hint="eastAsia"/>
                <w:b/>
                <w:sz w:val="18"/>
                <w:szCs w:val="18"/>
                <w:lang w:eastAsia="zh-CN"/>
              </w:rPr>
            </w:pPr>
            <w:r>
              <w:t>Test substance</w:t>
            </w:r>
          </w:p>
        </w:tc>
        <w:tc>
          <w:tcPr>
            <w:tcW w:w="1280" w:type="dxa"/>
            <w:vMerge w:val="restart"/>
            <w:tcBorders>
              <w:top w:val="single" w:sz="12" w:space="0" w:color="auto"/>
            </w:tcBorders>
            <w:vAlign w:val="center"/>
          </w:tcPr>
          <w:p w14:paraId="130FEB67" w14:textId="77777777" w:rsidR="00D428E5" w:rsidRDefault="00D428E5" w:rsidP="00D428E5">
            <w:pPr>
              <w:jc w:val="center"/>
              <w:rPr>
                <w:b/>
                <w:sz w:val="18"/>
                <w:szCs w:val="18"/>
                <w:lang w:eastAsia="zh-CN"/>
              </w:rPr>
            </w:pPr>
            <w:r>
              <w:t>Dosage</w:t>
            </w:r>
          </w:p>
          <w:p w14:paraId="64C68809" w14:textId="77777777" w:rsidR="00D428E5" w:rsidRDefault="00D428E5" w:rsidP="00D428E5">
            <w:pPr>
              <w:jc w:val="center"/>
              <w:rPr>
                <w:b/>
                <w:sz w:val="18"/>
                <w:szCs w:val="18"/>
                <w:lang w:eastAsia="zh-CN"/>
              </w:rPr>
            </w:pPr>
            <w:r>
              <w:rPr>
                <w:b/>
                <w:sz w:val="18"/>
                <w:szCs w:val="18"/>
                <w:lang w:eastAsia="zh-CN"/>
              </w:rPr>
              <w:t>（</w:t>
            </w:r>
            <w:r>
              <w:rPr>
                <w:b/>
                <w:sz w:val="18"/>
                <w:szCs w:val="18"/>
                <w:lang w:eastAsia="zh-CN"/>
              </w:rPr>
              <w:t>mg/kg</w:t>
            </w:r>
            <w:r>
              <w:rPr>
                <w:b/>
                <w:sz w:val="18"/>
                <w:szCs w:val="18"/>
                <w:lang w:eastAsia="zh-CN"/>
              </w:rPr>
              <w:t>）</w:t>
            </w:r>
          </w:p>
        </w:tc>
        <w:tc>
          <w:tcPr>
            <w:tcW w:w="1138" w:type="dxa"/>
            <w:vMerge w:val="restart"/>
            <w:tcBorders>
              <w:top w:val="single" w:sz="12" w:space="0" w:color="auto"/>
            </w:tcBorders>
            <w:vAlign w:val="center"/>
          </w:tcPr>
          <w:p w14:paraId="2F5DB543" w14:textId="77777777" w:rsidR="00D428E5" w:rsidRDefault="00D428E5" w:rsidP="00D428E5">
            <w:pPr>
              <w:ind w:left="12"/>
              <w:jc w:val="center"/>
              <w:rPr>
                <w:b/>
                <w:sz w:val="18"/>
                <w:szCs w:val="18"/>
                <w:lang w:eastAsia="zh-CN"/>
              </w:rPr>
            </w:pPr>
            <w:r>
              <w:t>Dose Concentration</w:t>
            </w:r>
          </w:p>
          <w:p w14:paraId="38FF85B6" w14:textId="77777777" w:rsidR="00D428E5" w:rsidRDefault="00D428E5" w:rsidP="00D428E5">
            <w:pPr>
              <w:jc w:val="center"/>
              <w:rPr>
                <w:b/>
                <w:sz w:val="18"/>
                <w:szCs w:val="18"/>
                <w:lang w:eastAsia="zh-CN"/>
              </w:rPr>
            </w:pPr>
            <w:r>
              <w:rPr>
                <w:b/>
                <w:sz w:val="18"/>
                <w:szCs w:val="18"/>
                <w:lang w:eastAsia="zh-CN"/>
              </w:rPr>
              <w:t>（</w:t>
            </w:r>
            <w:r>
              <w:rPr>
                <w:b/>
                <w:sz w:val="18"/>
                <w:szCs w:val="18"/>
                <w:lang w:eastAsia="zh-CN"/>
              </w:rPr>
              <w:t>mg/mL</w:t>
            </w:r>
            <w:r>
              <w:rPr>
                <w:b/>
                <w:sz w:val="18"/>
                <w:szCs w:val="18"/>
                <w:lang w:eastAsia="zh-CN"/>
              </w:rPr>
              <w:t>）</w:t>
            </w:r>
          </w:p>
        </w:tc>
        <w:tc>
          <w:tcPr>
            <w:tcW w:w="3093" w:type="dxa"/>
            <w:gridSpan w:val="2"/>
            <w:tcBorders>
              <w:top w:val="single" w:sz="12" w:space="0" w:color="auto"/>
              <w:bottom w:val="single" w:sz="4" w:space="0" w:color="auto"/>
            </w:tcBorders>
            <w:vAlign w:val="center"/>
          </w:tcPr>
          <w:p w14:paraId="3DB95DB3" w14:textId="77777777" w:rsidR="00D428E5" w:rsidRDefault="00D428E5" w:rsidP="00D428E5">
            <w:pPr>
              <w:ind w:left="12"/>
              <w:jc w:val="center"/>
              <w:rPr>
                <w:b/>
                <w:sz w:val="18"/>
                <w:szCs w:val="18"/>
              </w:rPr>
            </w:pPr>
            <w:r>
              <w:t>Animal number</w:t>
            </w:r>
          </w:p>
        </w:tc>
      </w:tr>
      <w:tr w:rsidR="00D428E5" w14:paraId="31E3D477" w14:textId="77777777" w:rsidTr="00D428E5">
        <w:trPr>
          <w:trHeight w:val="340"/>
        </w:trPr>
        <w:tc>
          <w:tcPr>
            <w:tcW w:w="1492" w:type="dxa"/>
            <w:vMerge/>
            <w:tcBorders>
              <w:top w:val="single" w:sz="4" w:space="0" w:color="auto"/>
              <w:bottom w:val="single" w:sz="4" w:space="0" w:color="auto"/>
            </w:tcBorders>
            <w:vAlign w:val="center"/>
          </w:tcPr>
          <w:p w14:paraId="0FEDD057" w14:textId="77777777" w:rsidR="00D428E5" w:rsidRDefault="00D428E5" w:rsidP="00D428E5">
            <w:pPr>
              <w:jc w:val="center"/>
              <w:rPr>
                <w:b/>
                <w:sz w:val="18"/>
                <w:szCs w:val="18"/>
              </w:rPr>
            </w:pPr>
          </w:p>
        </w:tc>
        <w:tc>
          <w:tcPr>
            <w:tcW w:w="1386" w:type="dxa"/>
            <w:vMerge/>
            <w:tcBorders>
              <w:bottom w:val="single" w:sz="4" w:space="0" w:color="auto"/>
            </w:tcBorders>
            <w:vAlign w:val="center"/>
          </w:tcPr>
          <w:p w14:paraId="315E5447" w14:textId="77777777" w:rsidR="00D428E5" w:rsidRDefault="00D428E5" w:rsidP="00D428E5">
            <w:pPr>
              <w:jc w:val="center"/>
              <w:rPr>
                <w:b/>
                <w:sz w:val="18"/>
                <w:szCs w:val="18"/>
              </w:rPr>
            </w:pPr>
          </w:p>
        </w:tc>
        <w:tc>
          <w:tcPr>
            <w:tcW w:w="1280" w:type="dxa"/>
            <w:vMerge/>
            <w:tcBorders>
              <w:bottom w:val="single" w:sz="4" w:space="0" w:color="auto"/>
            </w:tcBorders>
            <w:vAlign w:val="center"/>
          </w:tcPr>
          <w:p w14:paraId="0AD3E3E4" w14:textId="77777777" w:rsidR="00D428E5" w:rsidRDefault="00D428E5" w:rsidP="00D428E5">
            <w:pPr>
              <w:jc w:val="center"/>
              <w:rPr>
                <w:b/>
                <w:sz w:val="18"/>
                <w:szCs w:val="18"/>
              </w:rPr>
            </w:pPr>
          </w:p>
        </w:tc>
        <w:tc>
          <w:tcPr>
            <w:tcW w:w="1138" w:type="dxa"/>
            <w:vMerge/>
            <w:tcBorders>
              <w:bottom w:val="single" w:sz="4" w:space="0" w:color="auto"/>
            </w:tcBorders>
            <w:vAlign w:val="center"/>
          </w:tcPr>
          <w:p w14:paraId="7DDA48DD" w14:textId="77777777" w:rsidR="00D428E5" w:rsidRDefault="00D428E5" w:rsidP="00D428E5">
            <w:pPr>
              <w:jc w:val="center"/>
              <w:rPr>
                <w:b/>
                <w:sz w:val="18"/>
                <w:szCs w:val="18"/>
                <w:lang w:eastAsia="zh-CN"/>
              </w:rPr>
            </w:pPr>
          </w:p>
        </w:tc>
        <w:tc>
          <w:tcPr>
            <w:tcW w:w="1565" w:type="dxa"/>
            <w:tcBorders>
              <w:top w:val="single" w:sz="4" w:space="0" w:color="auto"/>
              <w:bottom w:val="single" w:sz="4" w:space="0" w:color="auto"/>
            </w:tcBorders>
            <w:vAlign w:val="center"/>
          </w:tcPr>
          <w:p w14:paraId="3A2A387A" w14:textId="77777777" w:rsidR="00D428E5" w:rsidRDefault="00D428E5" w:rsidP="00D428E5">
            <w:pPr>
              <w:jc w:val="center"/>
              <w:rPr>
                <w:rFonts w:hint="eastAsia"/>
                <w:b/>
                <w:sz w:val="18"/>
                <w:szCs w:val="18"/>
                <w:lang w:eastAsia="zh-CN"/>
              </w:rPr>
            </w:pPr>
            <w:r>
              <w:t>Female</w:t>
            </w:r>
          </w:p>
        </w:tc>
        <w:tc>
          <w:tcPr>
            <w:tcW w:w="1528" w:type="dxa"/>
            <w:tcBorders>
              <w:top w:val="single" w:sz="4" w:space="0" w:color="auto"/>
              <w:bottom w:val="single" w:sz="4" w:space="0" w:color="auto"/>
            </w:tcBorders>
            <w:vAlign w:val="center"/>
          </w:tcPr>
          <w:p w14:paraId="00C57345" w14:textId="77777777" w:rsidR="00D428E5" w:rsidRDefault="00D428E5" w:rsidP="00D428E5">
            <w:pPr>
              <w:jc w:val="center"/>
              <w:rPr>
                <w:rFonts w:hint="eastAsia"/>
                <w:b/>
                <w:sz w:val="18"/>
                <w:szCs w:val="18"/>
                <w:lang w:eastAsia="zh-CN"/>
              </w:rPr>
            </w:pPr>
            <w:r>
              <w:t>male</w:t>
            </w:r>
          </w:p>
        </w:tc>
      </w:tr>
      <w:tr w:rsidR="00D428E5" w14:paraId="207EB8EA" w14:textId="77777777" w:rsidTr="00D428E5">
        <w:trPr>
          <w:trHeight w:val="567"/>
        </w:trPr>
        <w:tc>
          <w:tcPr>
            <w:tcW w:w="1492" w:type="dxa"/>
            <w:tcBorders>
              <w:top w:val="single" w:sz="4" w:space="0" w:color="auto"/>
              <w:bottom w:val="nil"/>
            </w:tcBorders>
            <w:vAlign w:val="center"/>
          </w:tcPr>
          <w:p w14:paraId="0C5AAE21" w14:textId="77777777" w:rsidR="00D428E5" w:rsidRDefault="00D428E5" w:rsidP="00D428E5">
            <w:pPr>
              <w:widowControl w:val="0"/>
              <w:jc w:val="center"/>
              <w:rPr>
                <w:kern w:val="2"/>
                <w:sz w:val="18"/>
                <w:szCs w:val="18"/>
                <w:lang w:eastAsia="zh-CN"/>
              </w:rPr>
            </w:pPr>
            <w:r>
              <w:t>Vehicle control group</w:t>
            </w:r>
          </w:p>
        </w:tc>
        <w:tc>
          <w:tcPr>
            <w:tcW w:w="1386" w:type="dxa"/>
            <w:tcBorders>
              <w:top w:val="single" w:sz="4" w:space="0" w:color="auto"/>
              <w:bottom w:val="nil"/>
            </w:tcBorders>
            <w:vAlign w:val="center"/>
          </w:tcPr>
          <w:p w14:paraId="0DD6DF40" w14:textId="77777777" w:rsidR="00D428E5" w:rsidRDefault="00D428E5" w:rsidP="00D428E5">
            <w:pPr>
              <w:tabs>
                <w:tab w:val="center" w:pos="6300"/>
                <w:tab w:val="right" w:pos="8640"/>
              </w:tabs>
              <w:autoSpaceDE w:val="0"/>
              <w:autoSpaceDN w:val="0"/>
              <w:adjustRightInd w:val="0"/>
              <w:jc w:val="center"/>
              <w:rPr>
                <w:rFonts w:hint="eastAsia"/>
                <w:sz w:val="18"/>
                <w:szCs w:val="18"/>
                <w:lang w:eastAsia="zh-CN"/>
              </w:rPr>
            </w:pPr>
            <w:r>
              <w:rPr>
                <w:sz w:val="18"/>
                <w:szCs w:val="18"/>
                <w:lang w:eastAsia="zh-CN"/>
              </w:rPr>
              <w:t>0.5 % CMC-Na</w:t>
            </w:r>
          </w:p>
        </w:tc>
        <w:tc>
          <w:tcPr>
            <w:tcW w:w="1280" w:type="dxa"/>
            <w:tcBorders>
              <w:top w:val="single" w:sz="4" w:space="0" w:color="auto"/>
              <w:bottom w:val="nil"/>
            </w:tcBorders>
            <w:vAlign w:val="center"/>
          </w:tcPr>
          <w:p w14:paraId="073F5F60" w14:textId="77777777" w:rsidR="00D428E5" w:rsidRDefault="00D428E5" w:rsidP="00D428E5">
            <w:pPr>
              <w:widowControl w:val="0"/>
              <w:jc w:val="center"/>
              <w:rPr>
                <w:kern w:val="2"/>
                <w:sz w:val="18"/>
                <w:szCs w:val="18"/>
                <w:lang w:eastAsia="zh-CN"/>
              </w:rPr>
            </w:pPr>
            <w:r>
              <w:rPr>
                <w:rFonts w:hint="eastAsia"/>
                <w:kern w:val="2"/>
                <w:sz w:val="18"/>
                <w:szCs w:val="18"/>
                <w:lang w:eastAsia="zh-CN"/>
              </w:rPr>
              <w:t>/</w:t>
            </w:r>
          </w:p>
        </w:tc>
        <w:tc>
          <w:tcPr>
            <w:tcW w:w="1138" w:type="dxa"/>
            <w:tcBorders>
              <w:top w:val="single" w:sz="4" w:space="0" w:color="auto"/>
              <w:bottom w:val="nil"/>
            </w:tcBorders>
            <w:vAlign w:val="center"/>
          </w:tcPr>
          <w:p w14:paraId="253A9BCA" w14:textId="77777777" w:rsidR="00D428E5" w:rsidRDefault="00D428E5" w:rsidP="00D428E5">
            <w:pPr>
              <w:widowControl w:val="0"/>
              <w:jc w:val="center"/>
              <w:rPr>
                <w:kern w:val="2"/>
                <w:sz w:val="18"/>
                <w:szCs w:val="18"/>
                <w:lang w:eastAsia="zh-CN"/>
              </w:rPr>
            </w:pPr>
            <w:r>
              <w:rPr>
                <w:rFonts w:hint="eastAsia"/>
                <w:kern w:val="2"/>
                <w:sz w:val="18"/>
                <w:szCs w:val="18"/>
                <w:lang w:eastAsia="zh-CN"/>
              </w:rPr>
              <w:t>/</w:t>
            </w:r>
          </w:p>
        </w:tc>
        <w:tc>
          <w:tcPr>
            <w:tcW w:w="1565" w:type="dxa"/>
            <w:tcBorders>
              <w:top w:val="single" w:sz="4" w:space="0" w:color="auto"/>
              <w:bottom w:val="nil"/>
            </w:tcBorders>
            <w:vAlign w:val="center"/>
          </w:tcPr>
          <w:p w14:paraId="54774F2A"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1</w:t>
            </w:r>
            <w:r>
              <w:rPr>
                <w:kern w:val="2"/>
                <w:sz w:val="18"/>
                <w:szCs w:val="18"/>
                <w:lang w:eastAsia="zh-CN"/>
              </w:rPr>
              <w:t xml:space="preserve">F001 ~ </w:t>
            </w:r>
            <w:r>
              <w:rPr>
                <w:rFonts w:hint="eastAsia"/>
                <w:kern w:val="2"/>
                <w:sz w:val="18"/>
                <w:szCs w:val="18"/>
                <w:lang w:eastAsia="zh-CN"/>
              </w:rPr>
              <w:t>1</w:t>
            </w:r>
            <w:r>
              <w:rPr>
                <w:kern w:val="2"/>
                <w:sz w:val="18"/>
                <w:szCs w:val="18"/>
                <w:lang w:eastAsia="zh-CN"/>
              </w:rPr>
              <w:t>F0</w:t>
            </w:r>
            <w:r>
              <w:rPr>
                <w:rFonts w:hint="eastAsia"/>
                <w:kern w:val="2"/>
                <w:sz w:val="18"/>
                <w:szCs w:val="18"/>
                <w:lang w:eastAsia="zh-CN"/>
              </w:rPr>
              <w:t>10</w:t>
            </w:r>
          </w:p>
        </w:tc>
        <w:tc>
          <w:tcPr>
            <w:tcW w:w="1528" w:type="dxa"/>
            <w:tcBorders>
              <w:top w:val="single" w:sz="4" w:space="0" w:color="auto"/>
              <w:bottom w:val="nil"/>
            </w:tcBorders>
            <w:vAlign w:val="center"/>
          </w:tcPr>
          <w:p w14:paraId="0024D7FD"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1</w:t>
            </w:r>
            <w:r>
              <w:rPr>
                <w:kern w:val="2"/>
                <w:sz w:val="18"/>
                <w:szCs w:val="18"/>
                <w:lang w:eastAsia="zh-CN"/>
              </w:rPr>
              <w:t>M0</w:t>
            </w:r>
            <w:r>
              <w:rPr>
                <w:rFonts w:hint="eastAsia"/>
                <w:kern w:val="2"/>
                <w:sz w:val="18"/>
                <w:szCs w:val="18"/>
                <w:lang w:eastAsia="zh-CN"/>
              </w:rPr>
              <w:t>01</w:t>
            </w:r>
            <w:r>
              <w:rPr>
                <w:kern w:val="2"/>
                <w:sz w:val="18"/>
                <w:szCs w:val="18"/>
                <w:lang w:eastAsia="zh-CN"/>
              </w:rPr>
              <w:t xml:space="preserve"> ~ </w:t>
            </w:r>
            <w:r>
              <w:rPr>
                <w:rFonts w:hint="eastAsia"/>
                <w:kern w:val="2"/>
                <w:sz w:val="18"/>
                <w:szCs w:val="18"/>
                <w:lang w:eastAsia="zh-CN"/>
              </w:rPr>
              <w:t>1</w:t>
            </w:r>
            <w:r>
              <w:rPr>
                <w:kern w:val="2"/>
                <w:sz w:val="18"/>
                <w:szCs w:val="18"/>
                <w:lang w:eastAsia="zh-CN"/>
              </w:rPr>
              <w:t>M0</w:t>
            </w:r>
            <w:r>
              <w:rPr>
                <w:rFonts w:hint="eastAsia"/>
                <w:kern w:val="2"/>
                <w:sz w:val="18"/>
                <w:szCs w:val="18"/>
                <w:lang w:eastAsia="zh-CN"/>
              </w:rPr>
              <w:t>10</w:t>
            </w:r>
          </w:p>
        </w:tc>
      </w:tr>
      <w:tr w:rsidR="00D428E5" w14:paraId="0928134E" w14:textId="77777777" w:rsidTr="00D428E5">
        <w:trPr>
          <w:trHeight w:val="567"/>
        </w:trPr>
        <w:tc>
          <w:tcPr>
            <w:tcW w:w="1492" w:type="dxa"/>
            <w:tcBorders>
              <w:top w:val="nil"/>
              <w:bottom w:val="nil"/>
            </w:tcBorders>
            <w:vAlign w:val="center"/>
          </w:tcPr>
          <w:p w14:paraId="38889EBC" w14:textId="77777777" w:rsidR="00D428E5" w:rsidRDefault="00550166" w:rsidP="00D428E5">
            <w:pPr>
              <w:widowControl w:val="0"/>
              <w:jc w:val="center"/>
              <w:rPr>
                <w:rFonts w:hint="eastAsia"/>
                <w:sz w:val="18"/>
                <w:szCs w:val="18"/>
                <w:lang w:eastAsia="zh-CN"/>
              </w:rPr>
            </w:pPr>
            <w:r>
              <w:t>sbk002 dose group</w:t>
            </w:r>
          </w:p>
        </w:tc>
        <w:tc>
          <w:tcPr>
            <w:tcW w:w="1386" w:type="dxa"/>
            <w:tcBorders>
              <w:top w:val="nil"/>
              <w:bottom w:val="nil"/>
            </w:tcBorders>
            <w:vAlign w:val="center"/>
          </w:tcPr>
          <w:p w14:paraId="6C3E5D39" w14:textId="77777777" w:rsidR="00D428E5" w:rsidRDefault="00550166" w:rsidP="00D428E5">
            <w:pPr>
              <w:tabs>
                <w:tab w:val="center" w:pos="6300"/>
                <w:tab w:val="right" w:pos="8640"/>
              </w:tabs>
              <w:autoSpaceDE w:val="0"/>
              <w:autoSpaceDN w:val="0"/>
              <w:adjustRightInd w:val="0"/>
              <w:jc w:val="center"/>
              <w:rPr>
                <w:rFonts w:hint="eastAsia"/>
                <w:sz w:val="18"/>
                <w:szCs w:val="18"/>
                <w:lang w:eastAsia="zh-CN"/>
              </w:rPr>
            </w:pPr>
            <w:r>
              <w:rPr>
                <w:rFonts w:hint="eastAsia"/>
                <w:sz w:val="18"/>
                <w:szCs w:val="18"/>
                <w:lang w:eastAsia="zh-CN"/>
              </w:rPr>
              <w:t>sbk</w:t>
            </w:r>
            <w:r w:rsidR="00D428E5">
              <w:rPr>
                <w:rFonts w:hint="eastAsia"/>
                <w:sz w:val="18"/>
                <w:szCs w:val="18"/>
                <w:lang w:eastAsia="zh-CN"/>
              </w:rPr>
              <w:t>002</w:t>
            </w:r>
          </w:p>
        </w:tc>
        <w:tc>
          <w:tcPr>
            <w:tcW w:w="1280" w:type="dxa"/>
            <w:tcBorders>
              <w:top w:val="nil"/>
              <w:bottom w:val="nil"/>
            </w:tcBorders>
            <w:vAlign w:val="center"/>
          </w:tcPr>
          <w:p w14:paraId="2F8B4620" w14:textId="77777777" w:rsidR="00D428E5" w:rsidRDefault="00D428E5" w:rsidP="00D428E5">
            <w:pPr>
              <w:widowControl w:val="0"/>
              <w:jc w:val="center"/>
              <w:rPr>
                <w:rFonts w:hint="eastAsia"/>
                <w:kern w:val="2"/>
                <w:sz w:val="18"/>
                <w:szCs w:val="18"/>
                <w:lang w:eastAsia="zh-CN"/>
              </w:rPr>
            </w:pPr>
            <w:r>
              <w:rPr>
                <w:rFonts w:hint="eastAsia"/>
                <w:kern w:val="2"/>
                <w:sz w:val="18"/>
                <w:szCs w:val="18"/>
                <w:lang w:eastAsia="zh-CN"/>
              </w:rPr>
              <w:t>5000</w:t>
            </w:r>
          </w:p>
        </w:tc>
        <w:tc>
          <w:tcPr>
            <w:tcW w:w="1138" w:type="dxa"/>
            <w:tcBorders>
              <w:top w:val="nil"/>
              <w:bottom w:val="nil"/>
            </w:tcBorders>
            <w:vAlign w:val="center"/>
          </w:tcPr>
          <w:p w14:paraId="0D0DFB31" w14:textId="77777777" w:rsidR="00D428E5" w:rsidRDefault="00D428E5" w:rsidP="00D428E5">
            <w:pPr>
              <w:widowControl w:val="0"/>
              <w:jc w:val="center"/>
              <w:rPr>
                <w:rFonts w:hint="eastAsia"/>
                <w:kern w:val="2"/>
                <w:sz w:val="18"/>
                <w:szCs w:val="18"/>
                <w:lang w:eastAsia="zh-CN"/>
              </w:rPr>
            </w:pPr>
            <w:r>
              <w:rPr>
                <w:rFonts w:hint="eastAsia"/>
                <w:kern w:val="2"/>
                <w:sz w:val="18"/>
                <w:szCs w:val="18"/>
                <w:lang w:eastAsia="zh-CN"/>
              </w:rPr>
              <w:t>250</w:t>
            </w:r>
          </w:p>
        </w:tc>
        <w:tc>
          <w:tcPr>
            <w:tcW w:w="1565" w:type="dxa"/>
            <w:tcBorders>
              <w:top w:val="nil"/>
              <w:bottom w:val="nil"/>
            </w:tcBorders>
            <w:vAlign w:val="center"/>
          </w:tcPr>
          <w:p w14:paraId="6C6A37CD"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2</w:t>
            </w:r>
            <w:r>
              <w:rPr>
                <w:kern w:val="2"/>
                <w:sz w:val="18"/>
                <w:szCs w:val="18"/>
                <w:lang w:eastAsia="zh-CN"/>
              </w:rPr>
              <w:t xml:space="preserve">F001 ~ </w:t>
            </w:r>
            <w:r>
              <w:rPr>
                <w:rFonts w:hint="eastAsia"/>
                <w:kern w:val="2"/>
                <w:sz w:val="18"/>
                <w:szCs w:val="18"/>
                <w:lang w:eastAsia="zh-CN"/>
              </w:rPr>
              <w:t>2</w:t>
            </w:r>
            <w:r>
              <w:rPr>
                <w:kern w:val="2"/>
                <w:sz w:val="18"/>
                <w:szCs w:val="18"/>
                <w:lang w:eastAsia="zh-CN"/>
              </w:rPr>
              <w:t>F0</w:t>
            </w:r>
            <w:r>
              <w:rPr>
                <w:rFonts w:hint="eastAsia"/>
                <w:kern w:val="2"/>
                <w:sz w:val="18"/>
                <w:szCs w:val="18"/>
                <w:lang w:eastAsia="zh-CN"/>
              </w:rPr>
              <w:t>10</w:t>
            </w:r>
          </w:p>
        </w:tc>
        <w:tc>
          <w:tcPr>
            <w:tcW w:w="1528" w:type="dxa"/>
            <w:tcBorders>
              <w:top w:val="nil"/>
              <w:bottom w:val="nil"/>
            </w:tcBorders>
            <w:vAlign w:val="center"/>
          </w:tcPr>
          <w:p w14:paraId="41EBABBC"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2M001</w:t>
            </w:r>
            <w:r>
              <w:rPr>
                <w:kern w:val="2"/>
                <w:sz w:val="18"/>
                <w:szCs w:val="18"/>
                <w:lang w:eastAsia="zh-CN"/>
              </w:rPr>
              <w:t xml:space="preserve"> ~ </w:t>
            </w:r>
            <w:r>
              <w:rPr>
                <w:rFonts w:hint="eastAsia"/>
                <w:kern w:val="2"/>
                <w:sz w:val="18"/>
                <w:szCs w:val="18"/>
                <w:lang w:eastAsia="zh-CN"/>
              </w:rPr>
              <w:t>2M010</w:t>
            </w:r>
          </w:p>
        </w:tc>
      </w:tr>
      <w:tr w:rsidR="00D428E5" w14:paraId="619E4294" w14:textId="77777777" w:rsidTr="00D428E5">
        <w:trPr>
          <w:trHeight w:val="567"/>
        </w:trPr>
        <w:tc>
          <w:tcPr>
            <w:tcW w:w="1492" w:type="dxa"/>
            <w:tcBorders>
              <w:top w:val="nil"/>
              <w:bottom w:val="single" w:sz="12" w:space="0" w:color="000000"/>
            </w:tcBorders>
            <w:vAlign w:val="center"/>
          </w:tcPr>
          <w:p w14:paraId="6179602A" w14:textId="77777777" w:rsidR="00D428E5" w:rsidRDefault="00D428E5" w:rsidP="00D428E5">
            <w:pPr>
              <w:widowControl w:val="0"/>
              <w:jc w:val="center"/>
              <w:rPr>
                <w:rFonts w:hint="eastAsia"/>
                <w:sz w:val="18"/>
                <w:szCs w:val="18"/>
                <w:lang w:eastAsia="zh-CN"/>
              </w:rPr>
            </w:pPr>
            <w:r>
              <w:t>clodose group</w:t>
            </w:r>
          </w:p>
        </w:tc>
        <w:tc>
          <w:tcPr>
            <w:tcW w:w="1386" w:type="dxa"/>
            <w:tcBorders>
              <w:top w:val="nil"/>
              <w:bottom w:val="single" w:sz="12" w:space="0" w:color="000000"/>
            </w:tcBorders>
            <w:vAlign w:val="center"/>
          </w:tcPr>
          <w:p w14:paraId="086B1A61" w14:textId="77777777" w:rsidR="00D428E5" w:rsidRDefault="00D428E5" w:rsidP="00D428E5">
            <w:pPr>
              <w:tabs>
                <w:tab w:val="center" w:pos="6300"/>
                <w:tab w:val="right" w:pos="8640"/>
              </w:tabs>
              <w:autoSpaceDE w:val="0"/>
              <w:autoSpaceDN w:val="0"/>
              <w:adjustRightInd w:val="0"/>
              <w:jc w:val="center"/>
              <w:rPr>
                <w:rFonts w:hint="eastAsia"/>
                <w:sz w:val="18"/>
                <w:szCs w:val="18"/>
                <w:lang w:eastAsia="zh-CN"/>
              </w:rPr>
            </w:pPr>
            <w:r>
              <w:rPr>
                <w:sz w:val="18"/>
                <w:szCs w:val="18"/>
                <w:lang w:eastAsia="zh-CN"/>
              </w:rPr>
              <w:t>clo</w:t>
            </w:r>
          </w:p>
        </w:tc>
        <w:tc>
          <w:tcPr>
            <w:tcW w:w="1280" w:type="dxa"/>
            <w:tcBorders>
              <w:top w:val="nil"/>
              <w:bottom w:val="single" w:sz="12" w:space="0" w:color="000000"/>
            </w:tcBorders>
            <w:vAlign w:val="center"/>
          </w:tcPr>
          <w:p w14:paraId="0FDFBD07" w14:textId="77777777" w:rsidR="00D428E5" w:rsidRDefault="00D428E5" w:rsidP="00D428E5">
            <w:pPr>
              <w:widowControl w:val="0"/>
              <w:jc w:val="center"/>
              <w:rPr>
                <w:rFonts w:hint="eastAsia"/>
                <w:kern w:val="2"/>
                <w:sz w:val="18"/>
                <w:szCs w:val="18"/>
                <w:lang w:eastAsia="zh-CN"/>
              </w:rPr>
            </w:pPr>
            <w:r>
              <w:rPr>
                <w:rFonts w:hint="eastAsia"/>
                <w:kern w:val="2"/>
                <w:sz w:val="18"/>
                <w:szCs w:val="18"/>
                <w:lang w:eastAsia="zh-CN"/>
              </w:rPr>
              <w:t>5000</w:t>
            </w:r>
          </w:p>
        </w:tc>
        <w:tc>
          <w:tcPr>
            <w:tcW w:w="1138" w:type="dxa"/>
            <w:tcBorders>
              <w:top w:val="nil"/>
              <w:bottom w:val="single" w:sz="12" w:space="0" w:color="000000"/>
            </w:tcBorders>
            <w:vAlign w:val="center"/>
          </w:tcPr>
          <w:p w14:paraId="15637B74" w14:textId="77777777" w:rsidR="00D428E5" w:rsidRDefault="00D428E5" w:rsidP="00D428E5">
            <w:pPr>
              <w:widowControl w:val="0"/>
              <w:jc w:val="center"/>
              <w:rPr>
                <w:rFonts w:hint="eastAsia"/>
                <w:kern w:val="2"/>
                <w:sz w:val="18"/>
                <w:szCs w:val="18"/>
                <w:lang w:eastAsia="zh-CN"/>
              </w:rPr>
            </w:pPr>
            <w:r>
              <w:rPr>
                <w:rFonts w:hint="eastAsia"/>
                <w:kern w:val="2"/>
                <w:sz w:val="18"/>
                <w:szCs w:val="18"/>
                <w:lang w:eastAsia="zh-CN"/>
              </w:rPr>
              <w:t>250</w:t>
            </w:r>
          </w:p>
        </w:tc>
        <w:tc>
          <w:tcPr>
            <w:tcW w:w="1565" w:type="dxa"/>
            <w:tcBorders>
              <w:top w:val="nil"/>
              <w:bottom w:val="single" w:sz="12" w:space="0" w:color="000000"/>
            </w:tcBorders>
            <w:vAlign w:val="center"/>
          </w:tcPr>
          <w:p w14:paraId="2483D6AD"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3</w:t>
            </w:r>
            <w:r>
              <w:rPr>
                <w:kern w:val="2"/>
                <w:sz w:val="18"/>
                <w:szCs w:val="18"/>
                <w:lang w:eastAsia="zh-CN"/>
              </w:rPr>
              <w:t xml:space="preserve">F001 ~ </w:t>
            </w:r>
            <w:r>
              <w:rPr>
                <w:rFonts w:hint="eastAsia"/>
                <w:kern w:val="2"/>
                <w:sz w:val="18"/>
                <w:szCs w:val="18"/>
                <w:lang w:eastAsia="zh-CN"/>
              </w:rPr>
              <w:t>3</w:t>
            </w:r>
            <w:r>
              <w:rPr>
                <w:kern w:val="2"/>
                <w:sz w:val="18"/>
                <w:szCs w:val="18"/>
                <w:lang w:eastAsia="zh-CN"/>
              </w:rPr>
              <w:t>F0</w:t>
            </w:r>
            <w:r>
              <w:rPr>
                <w:rFonts w:hint="eastAsia"/>
                <w:kern w:val="2"/>
                <w:sz w:val="18"/>
                <w:szCs w:val="18"/>
                <w:lang w:eastAsia="zh-CN"/>
              </w:rPr>
              <w:t>10</w:t>
            </w:r>
          </w:p>
        </w:tc>
        <w:tc>
          <w:tcPr>
            <w:tcW w:w="1528" w:type="dxa"/>
            <w:tcBorders>
              <w:top w:val="nil"/>
              <w:bottom w:val="single" w:sz="12" w:space="0" w:color="000000"/>
            </w:tcBorders>
            <w:vAlign w:val="center"/>
          </w:tcPr>
          <w:p w14:paraId="70CF73E6" w14:textId="77777777" w:rsidR="00D428E5" w:rsidRDefault="00D428E5" w:rsidP="00D428E5">
            <w:pPr>
              <w:widowControl w:val="0"/>
              <w:tabs>
                <w:tab w:val="center" w:pos="6300"/>
                <w:tab w:val="right" w:pos="8640"/>
              </w:tabs>
              <w:autoSpaceDE w:val="0"/>
              <w:autoSpaceDN w:val="0"/>
              <w:adjustRightInd w:val="0"/>
              <w:jc w:val="center"/>
              <w:rPr>
                <w:kern w:val="2"/>
                <w:sz w:val="18"/>
                <w:szCs w:val="18"/>
                <w:lang w:eastAsia="zh-CN"/>
              </w:rPr>
            </w:pPr>
            <w:r>
              <w:rPr>
                <w:rFonts w:hint="eastAsia"/>
                <w:kern w:val="2"/>
                <w:sz w:val="18"/>
                <w:szCs w:val="18"/>
                <w:lang w:eastAsia="zh-CN"/>
              </w:rPr>
              <w:t>3M001</w:t>
            </w:r>
            <w:r>
              <w:rPr>
                <w:kern w:val="2"/>
                <w:sz w:val="18"/>
                <w:szCs w:val="18"/>
                <w:lang w:eastAsia="zh-CN"/>
              </w:rPr>
              <w:t xml:space="preserve"> ~ </w:t>
            </w:r>
            <w:r>
              <w:rPr>
                <w:rFonts w:hint="eastAsia"/>
                <w:kern w:val="2"/>
                <w:sz w:val="18"/>
                <w:szCs w:val="18"/>
                <w:lang w:eastAsia="zh-CN"/>
              </w:rPr>
              <w:t>3M010</w:t>
            </w:r>
          </w:p>
        </w:tc>
      </w:tr>
    </w:tbl>
    <w:p w14:paraId="0F6D03B5" w14:textId="77777777" w:rsidR="00F41D01" w:rsidRDefault="00D428E5" w:rsidP="00D428E5">
      <w:pPr>
        <w:pStyle w:val="WXBodyText"/>
        <w:spacing w:before="0" w:line="360" w:lineRule="auto"/>
        <w:ind w:left="0" w:firstLineChars="200" w:firstLine="420"/>
        <w:rPr>
          <w:rFonts w:cs="Times New Roman"/>
          <w:sz w:val="21"/>
          <w:szCs w:val="18"/>
        </w:rPr>
      </w:pPr>
      <w:r>
        <w:t>Note: The first digit of the animal number represents the group (1, 2, 3 respectively represent vehicle control group, sbk002 dose group, and clo dose group). The second letter represents the sex (F for female, M for male), and the last 3 digits represent the animal sequence number. “/” represents Not Applicable.</w:t>
      </w:r>
    </w:p>
    <w:p w14:paraId="6433E55C" w14:textId="77777777" w:rsidR="00F41D01" w:rsidRDefault="00F41D01">
      <w:pPr>
        <w:keepNext/>
        <w:widowControl w:val="0"/>
        <w:numPr>
          <w:ilvl w:val="1"/>
          <w:numId w:val="4"/>
        </w:numPr>
        <w:spacing w:line="360" w:lineRule="auto"/>
        <w:jc w:val="both"/>
        <w:outlineLvl w:val="1"/>
        <w:rPr>
          <w:b/>
          <w:bCs/>
          <w:lang w:eastAsia="zh-CN"/>
        </w:rPr>
      </w:pPr>
      <w:r>
        <w:t>Dosing Information</w:t>
      </w:r>
    </w:p>
    <w:p w14:paraId="35F2D383" w14:textId="77777777" w:rsidR="00B328ED" w:rsidRDefault="00F41D01" w:rsidP="00B328ED">
      <w:pPr>
        <w:pStyle w:val="WXBodyText"/>
        <w:spacing w:before="0" w:after="0" w:line="360" w:lineRule="auto"/>
        <w:ind w:left="0" w:firstLineChars="200" w:firstLine="480"/>
        <w:rPr>
          <w:rFonts w:cs="Times New Roman" w:hint="eastAsia"/>
        </w:rPr>
      </w:pPr>
      <w:r>
        <w:t>Dosage: sbk002 dose group and clo dose group, dosage is 5000 mg/kg;</w:t>
      </w:r>
    </w:p>
    <w:p w14:paraId="3FA9214E" w14:textId="77777777" w:rsidR="00B328ED" w:rsidRDefault="00B328ED" w:rsidP="00B328ED">
      <w:pPr>
        <w:pStyle w:val="WXBodyText"/>
        <w:spacing w:before="0" w:after="0" w:line="360" w:lineRule="auto"/>
        <w:ind w:left="0" w:firstLineChars="200" w:firstLine="480"/>
        <w:rPr>
          <w:rFonts w:cs="Times New Roman"/>
        </w:rPr>
      </w:pPr>
      <w:r>
        <w:t>dose volume: dose volume is 20 mL/kg;</w:t>
      </w:r>
    </w:p>
    <w:p w14:paraId="566F8992" w14:textId="77777777" w:rsidR="00B328ED" w:rsidRDefault="00B328ED" w:rsidP="00B328ED">
      <w:pPr>
        <w:pStyle w:val="WXBodyText"/>
        <w:spacing w:before="0" w:after="0" w:line="360" w:lineRule="auto"/>
        <w:ind w:left="0" w:firstLineChars="200" w:firstLine="480"/>
        <w:rPr>
          <w:rFonts w:cs="Times New Roman" w:hint="eastAsia"/>
        </w:rPr>
      </w:pPr>
      <w:r>
        <w:t>Dose Concentration: sbk002 dose group and clo dose group dose concentration are both 250 mg/mL;</w:t>
      </w:r>
    </w:p>
    <w:p w14:paraId="0FFD96E2" w14:textId="77777777" w:rsidR="00B328ED" w:rsidRDefault="00B328ED" w:rsidP="00B328ED">
      <w:pPr>
        <w:pStyle w:val="WXBodyText"/>
        <w:spacing w:before="0" w:after="0" w:line="360" w:lineRule="auto"/>
        <w:ind w:left="0" w:firstLineChars="200" w:firstLine="480"/>
        <w:rPr>
          <w:rFonts w:cs="Times New Roman"/>
        </w:rPr>
      </w:pPr>
      <w:r>
        <w:t>Route of administration: oral gavage, pre-dose with magnetic stirrer stirring at a certain speed for 15 min or more (speed set to form a clear depression but without foaming or large bubbles).</w:t>
      </w:r>
    </w:p>
    <w:p w14:paraId="0E9224B6" w14:textId="77777777" w:rsidR="00B328ED" w:rsidRDefault="00B328ED" w:rsidP="00B328ED">
      <w:pPr>
        <w:pStyle w:val="WXBodyText"/>
        <w:spacing w:before="0" w:after="0" w:line="360" w:lineRule="auto"/>
        <w:ind w:left="0" w:firstLineChars="200" w:firstLine="480"/>
        <w:rPr>
          <w:rFonts w:cs="Times New Roman"/>
        </w:rPr>
      </w:pPr>
      <w:r>
        <w:t>selection reason: consistent with clinical medication route;</w:t>
      </w:r>
    </w:p>
    <w:p w14:paraId="17970DF8" w14:textId="77777777" w:rsidR="00B328ED" w:rsidRDefault="00B328ED" w:rsidP="00B328ED">
      <w:pPr>
        <w:pStyle w:val="WXBodyText"/>
        <w:spacing w:before="0" w:after="0" w:line="360" w:lineRule="auto"/>
        <w:ind w:left="0" w:firstLineChars="200" w:firstLine="480"/>
        <w:rPr>
          <w:rFonts w:cs="Times New Roman"/>
        </w:rPr>
      </w:pPr>
      <w:r>
        <w:t>Frequency of administration and period: Administer once within 24 hours, followed by continuous observation for 14 days post-dosing, with fasting the night before dosing;</w:t>
      </w:r>
    </w:p>
    <w:p w14:paraId="18FFB13F" w14:textId="77777777" w:rsidR="00F41D01" w:rsidRDefault="00B328ED" w:rsidP="00B328ED">
      <w:pPr>
        <w:pStyle w:val="WXBodyText"/>
        <w:spacing w:before="0" w:after="0" w:line="360" w:lineRule="auto"/>
        <w:ind w:left="0" w:firstLineChars="200" w:firstLine="480"/>
        <w:rPr>
          <w:rFonts w:cs="Times New Roman"/>
        </w:rPr>
      </w:pPr>
      <w:r>
        <w:t>Pretest phase day 1 defined as P1, dosing day defined as dosing phase day 1 (D1).</w:t>
      </w:r>
    </w:p>
    <w:p w14:paraId="243F82AC" w14:textId="77777777" w:rsidR="0037118C" w:rsidRPr="003F36CB" w:rsidRDefault="00F41D01" w:rsidP="003F36CB">
      <w:pPr>
        <w:keepNext/>
        <w:widowControl w:val="0"/>
        <w:numPr>
          <w:ilvl w:val="1"/>
          <w:numId w:val="4"/>
        </w:numPr>
        <w:spacing w:line="360" w:lineRule="auto"/>
        <w:jc w:val="both"/>
        <w:outlineLvl w:val="1"/>
        <w:rPr>
          <w:rFonts w:hint="eastAsia"/>
          <w:b/>
          <w:bCs/>
          <w:lang w:eastAsia="zh-CN"/>
        </w:rPr>
      </w:pPr>
      <w:r>
        <w:t>dose design justification</w:t>
      </w:r>
    </w:p>
    <w:p w14:paraId="3384D095" w14:textId="77777777" w:rsidR="00F41D01" w:rsidRDefault="00953475">
      <w:pPr>
        <w:spacing w:line="360" w:lineRule="auto"/>
        <w:ind w:firstLine="480"/>
        <w:jc w:val="both"/>
        <w:rPr>
          <w:lang w:eastAsia="zh-CN"/>
        </w:rPr>
      </w:pPr>
      <w:r>
        <w:t>According to the Technical Guiding Principle for Single Dose Toxicity Study of Medicinal Products (Original CFDA, May 2014) and ICH M3 recommendations, the dosage for single dose toxicity studies should range from a dose with no observed toxic reaction to a dose presenting severe toxic reactions, or up to the Maximum Tolerated Dose (MTD). According to the data provided by the Sponsor: the single dose toxicity study dosage for the same class of drugs in mice is 5000 mg/kg, with no animal deaths. Considering the feasible concentration for preparing the test product, this study will employ sbk002 dose group with supposed oral gavage, with a dose volume of 20 mL/kg and a dosage of 5000 mg/kg. The clo dose group will be administered an equivalent dose of positive reference item sodium bicarbonate (clo). Additionally, a vehicle control group will be set, administered with an equivalent dose volume of the vehicle. This will provide reference for subsequent clinical study design and for safe drug usage.</w:t>
      </w:r>
    </w:p>
    <w:p w14:paraId="0942C4A4" w14:textId="77777777" w:rsidR="00F41D01" w:rsidRDefault="00F41D01" w:rsidP="00184341">
      <w:pPr>
        <w:pStyle w:val="1"/>
        <w:widowControl w:val="0"/>
        <w:numPr>
          <w:ilvl w:val="0"/>
          <w:numId w:val="4"/>
        </w:numPr>
        <w:tabs>
          <w:tab w:val="clear" w:pos="720"/>
        </w:tabs>
        <w:spacing w:beforeLines="100" w:before="240" w:after="0" w:line="360" w:lineRule="auto"/>
        <w:ind w:left="498" w:hangingChars="177" w:hanging="498"/>
        <w:rPr>
          <w:caps/>
          <w:kern w:val="2"/>
          <w:sz w:val="28"/>
          <w:lang w:eastAsia="zh-CN"/>
        </w:rPr>
      </w:pPr>
      <w:r>
        <w:t>observation and examination</w:t>
      </w:r>
    </w:p>
    <w:p w14:paraId="617E7941" w14:textId="77777777" w:rsidR="00F41D01" w:rsidRDefault="00F41D01">
      <w:pPr>
        <w:keepNext/>
        <w:widowControl w:val="0"/>
        <w:numPr>
          <w:ilvl w:val="1"/>
          <w:numId w:val="4"/>
        </w:numPr>
        <w:spacing w:line="360" w:lineRule="auto"/>
        <w:jc w:val="both"/>
        <w:outlineLvl w:val="1"/>
        <w:rPr>
          <w:b/>
          <w:bCs/>
          <w:lang w:eastAsia="zh-CN"/>
        </w:rPr>
      </w:pPr>
      <w:r>
        <w:t>General status observation</w:t>
      </w:r>
    </w:p>
    <w:p w14:paraId="4BFE9CDC" w14:textId="77777777" w:rsidR="00B328ED" w:rsidRDefault="00F41D01" w:rsidP="00B328ED">
      <w:pPr>
        <w:spacing w:line="360" w:lineRule="auto"/>
        <w:ind w:firstLineChars="200" w:firstLine="480"/>
        <w:jc w:val="both"/>
        <w:rPr>
          <w:lang w:eastAsia="zh-CN"/>
        </w:rPr>
      </w:pPr>
      <w:r>
        <w:t>Observation time: Continuously observe for 4 h after each dose; during the assay period, observe twice daily (once in the morning and once in the afternoon). If animals exhibit clear signs of toxicity, increase the observation frequency and record (observe once on the day of necropsy).</w:t>
      </w:r>
    </w:p>
    <w:p w14:paraId="01D4937F" w14:textId="77777777" w:rsidR="00F41D01" w:rsidRDefault="00B328ED" w:rsidP="00B328ED">
      <w:pPr>
        <w:pStyle w:val="30"/>
        <w:rPr>
          <w:lang w:eastAsia="zh-CN"/>
        </w:rPr>
      </w:pPr>
      <w:r>
        <w:t>Observation items: including but not limited to general conditions, behavioral status, eyes, oral cavity, muzzle, ears, hair and skin, feces, urine, genitalia, and other toxicity symptoms;</w:t>
      </w:r>
    </w:p>
    <w:p w14:paraId="532B0E02" w14:textId="77777777" w:rsidR="00F41D01" w:rsidRDefault="00F41D01">
      <w:pPr>
        <w:spacing w:line="360" w:lineRule="auto"/>
        <w:ind w:left="425"/>
        <w:rPr>
          <w:bCs/>
          <w:kern w:val="32"/>
          <w:lang w:eastAsia="zh-CN"/>
        </w:rPr>
      </w:pPr>
      <w:r>
        <w:t>Animals to be observed: all surviving laboratory animals.</w:t>
        <w:tab/>
      </w:r>
    </w:p>
    <w:p w14:paraId="35C53646" w14:textId="77777777" w:rsidR="00F41D01" w:rsidRDefault="00F41D01">
      <w:pPr>
        <w:keepNext/>
        <w:widowControl w:val="0"/>
        <w:numPr>
          <w:ilvl w:val="1"/>
          <w:numId w:val="4"/>
        </w:numPr>
        <w:spacing w:line="360" w:lineRule="auto"/>
        <w:jc w:val="both"/>
        <w:outlineLvl w:val="1"/>
        <w:rPr>
          <w:b/>
          <w:bCs/>
          <w:lang w:eastAsia="zh-CN"/>
        </w:rPr>
      </w:pPr>
      <w:r>
        <w:t>body weight</w:t>
      </w:r>
    </w:p>
    <w:p w14:paraId="69BFFA36" w14:textId="77777777" w:rsidR="00F41D01" w:rsidRDefault="00F41D01">
      <w:pPr>
        <w:pStyle w:val="WXBodyText"/>
        <w:spacing w:before="0" w:after="0" w:line="360" w:lineRule="auto"/>
        <w:ind w:left="0" w:firstLineChars="200" w:firstLine="480"/>
      </w:pPr>
      <w:r>
        <w:t>Measurement time: assay P1, D1, D2, D7, D14, and D15 each measured once (P1 signal weight for group assignment; D1 is pre- dose body weight, used for calculating the dose volume; D15 body weight is used only for calculating organ-to-body ratio and for calculating anesthesia dose, not included in the statistical analysis of body weight indicators; D1 and D15 body weight is not included in the analysis of body weight indicators, and the measurement frequency can be appropriately adjusted according to the toxic responses of the animals);</w:t>
      </w:r>
    </w:p>
    <w:p w14:paraId="04EEE135" w14:textId="77777777" w:rsidR="00F41D01" w:rsidRDefault="00F41D01">
      <w:pPr>
        <w:pStyle w:val="30"/>
        <w:rPr>
          <w:lang w:eastAsia="zh-CN"/>
        </w:rPr>
      </w:pPr>
      <w:r>
        <w:t>Animals to be measured: all surviving laboratory animals.</w:t>
      </w:r>
    </w:p>
    <w:p w14:paraId="5B425DD5" w14:textId="77777777" w:rsidR="00F41D01" w:rsidRDefault="00F41D01">
      <w:pPr>
        <w:keepNext/>
        <w:widowControl w:val="0"/>
        <w:numPr>
          <w:ilvl w:val="1"/>
          <w:numId w:val="4"/>
        </w:numPr>
        <w:spacing w:line="360" w:lineRule="auto"/>
        <w:jc w:val="both"/>
        <w:outlineLvl w:val="1"/>
        <w:rPr>
          <w:b/>
          <w:bCs/>
          <w:lang w:eastAsia="zh-CN"/>
        </w:rPr>
      </w:pPr>
      <w:r>
        <w:t>food consumption</w:t>
      </w:r>
    </w:p>
    <w:p w14:paraId="1C169B55" w14:textId="77777777" w:rsidR="00F41D01" w:rsidRDefault="00F41D01">
      <w:pPr>
        <w:pStyle w:val="WXBodyText"/>
        <w:spacing w:before="0" w:after="0" w:line="360" w:lineRule="auto"/>
        <w:ind w:left="0" w:firstLineChars="200" w:firstLine="480"/>
        <w:rPr>
          <w:rFonts w:cs="Times New Roman"/>
        </w:rPr>
      </w:pPr>
      <w:r>
        <w:t>Measurement time: P1 ~ P2, D1 ~ D2, D6 ~ D7, D13 ~ D14, each measured once (Pristima data report displays the leftover measurement dates, i.e., P2, D2, D7, D14);</w:t>
      </w:r>
    </w:p>
    <w:p w14:paraId="2A51D563" w14:textId="77777777" w:rsidR="00F41D01" w:rsidRDefault="00F41D01">
      <w:pPr>
        <w:pStyle w:val="WXBodyText"/>
        <w:spacing w:before="0" w:after="0" w:line="360" w:lineRule="auto"/>
        <w:ind w:left="0" w:firstLineChars="200" w:firstLine="480"/>
        <w:rPr>
          <w:rFonts w:cs="Times New Roman"/>
        </w:rPr>
      </w:pPr>
      <w:r>
        <w:t>Animals to be measured: All surviving laboratory animals;</w:t>
      </w:r>
    </w:p>
    <w:p w14:paraId="2073F1B6" w14:textId="77777777" w:rsidR="00F41D01" w:rsidRDefault="00F41D01" w:rsidP="007C1325">
      <w:pPr>
        <w:pStyle w:val="WXBodyText"/>
        <w:spacing w:before="0" w:after="0" w:line="360" w:lineRule="auto"/>
        <w:ind w:left="0" w:firstLineChars="200" w:firstLine="480"/>
        <w:rPr>
          <w:rFonts w:cs="Times New Roman"/>
        </w:rPr>
      </w:pPr>
      <w:r>
        <w:t>Method for measurement: Day 1 determination of the feed amount given to each cage; Day 2 determination of the remaining feed amount at approximately the same time. The difference between the two is the total feed intake for each cage over 24 hours. This is then divided by the number of animals per cage to calculate the average intake per animal (measurement frequency can be adjusted according to the characteristics of the test article).</w:t>
      </w:r>
    </w:p>
    <w:p w14:paraId="1B0C962E" w14:textId="77777777" w:rsidR="00F41D01" w:rsidRPr="00815B14" w:rsidRDefault="00F41D01" w:rsidP="00184341">
      <w:pPr>
        <w:pStyle w:val="1"/>
        <w:widowControl w:val="0"/>
        <w:numPr>
          <w:ilvl w:val="0"/>
          <w:numId w:val="4"/>
        </w:numPr>
        <w:tabs>
          <w:tab w:val="clear" w:pos="720"/>
        </w:tabs>
        <w:spacing w:beforeLines="100" w:before="240" w:after="0" w:line="360" w:lineRule="auto"/>
        <w:ind w:left="498" w:hangingChars="177" w:hanging="498"/>
        <w:rPr>
          <w:caps/>
          <w:kern w:val="2"/>
          <w:sz w:val="28"/>
          <w:lang w:eastAsia="zh-CN"/>
        </w:rPr>
      </w:pPr>
      <w:r>
        <w:t>Gross necropsy, organ weighing, and histopathological examination</w:t>
      </w:r>
    </w:p>
    <w:p w14:paraId="4CEA2BFE" w14:textId="77777777" w:rsidR="00F41D01" w:rsidRDefault="00F41D01" w:rsidP="00815B14">
      <w:pPr>
        <w:keepNext/>
        <w:widowControl w:val="0"/>
        <w:numPr>
          <w:ilvl w:val="1"/>
          <w:numId w:val="4"/>
        </w:numPr>
        <w:spacing w:line="360" w:lineRule="auto"/>
        <w:jc w:val="both"/>
        <w:outlineLvl w:val="1"/>
        <w:rPr>
          <w:b/>
          <w:kern w:val="2"/>
          <w:lang w:eastAsia="zh-CN"/>
        </w:rPr>
      </w:pPr>
      <w:r>
        <w:t>Necropsy Time</w:t>
      </w:r>
    </w:p>
    <w:p w14:paraId="4EA67B7A" w14:textId="77777777" w:rsidR="00F41D01" w:rsidRDefault="00F41D01">
      <w:pPr>
        <w:tabs>
          <w:tab w:val="left" w:pos="1077"/>
        </w:tabs>
        <w:spacing w:line="360" w:lineRule="auto"/>
        <w:ind w:firstLineChars="200" w:firstLine="480"/>
        <w:rPr>
          <w:bCs/>
          <w:kern w:val="32"/>
          <w:lang w:eastAsia="zh-CN"/>
        </w:rPr>
      </w:pPr>
      <w:r>
        <w:t>D15, animals to be necropsied fasted overnight.</w:t>
      </w:r>
    </w:p>
    <w:p w14:paraId="63DBC6BE" w14:textId="77777777" w:rsidR="00F41D01" w:rsidRDefault="00F41D01" w:rsidP="00815B14">
      <w:pPr>
        <w:keepNext/>
        <w:widowControl w:val="0"/>
        <w:numPr>
          <w:ilvl w:val="1"/>
          <w:numId w:val="4"/>
        </w:numPr>
        <w:spacing w:line="360" w:lineRule="auto"/>
        <w:jc w:val="both"/>
        <w:outlineLvl w:val="1"/>
        <w:rPr>
          <w:b/>
          <w:kern w:val="2"/>
          <w:lang w:eastAsia="zh-CN"/>
        </w:rPr>
      </w:pPr>
      <w:r>
        <w:t>anatomy animal</w:t>
      </w:r>
    </w:p>
    <w:p w14:paraId="0164558C" w14:textId="77777777" w:rsidR="00F41D01" w:rsidRDefault="00F41D01">
      <w:pPr>
        <w:tabs>
          <w:tab w:val="left" w:pos="1077"/>
        </w:tabs>
        <w:spacing w:line="360" w:lineRule="auto"/>
        <w:ind w:firstLineChars="200" w:firstLine="480"/>
        <w:jc w:val="both"/>
        <w:rPr>
          <w:bCs/>
          <w:kern w:val="32"/>
          <w:lang w:eastAsia="zh-CN"/>
        </w:rPr>
      </w:pPr>
      <w:r>
        <w:t>All surviving laboratory animals.</w:t>
      </w:r>
    </w:p>
    <w:p w14:paraId="01328C44" w14:textId="77777777" w:rsidR="00F41D01" w:rsidRDefault="00F41D01" w:rsidP="00815B14">
      <w:pPr>
        <w:keepNext/>
        <w:widowControl w:val="0"/>
        <w:numPr>
          <w:ilvl w:val="1"/>
          <w:numId w:val="4"/>
        </w:numPr>
        <w:spacing w:line="360" w:lineRule="auto"/>
        <w:jc w:val="both"/>
        <w:outlineLvl w:val="1"/>
        <w:rPr>
          <w:b/>
          <w:kern w:val="2"/>
          <w:lang w:eastAsia="zh-CN"/>
        </w:rPr>
      </w:pPr>
      <w:r>
        <w:t>anesthesia and euthanasia method</w:t>
      </w:r>
    </w:p>
    <w:p w14:paraId="0B3BCD39" w14:textId="77777777" w:rsidR="00F41D01" w:rsidRDefault="00953475">
      <w:pPr>
        <w:spacing w:line="360" w:lineRule="auto"/>
        <w:ind w:firstLineChars="200" w:firstLine="480"/>
        <w:jc w:val="both"/>
        <w:rPr>
          <w:lang w:eastAsia="zh-CN"/>
        </w:rPr>
      </w:pPr>
      <w:r>
        <w:t>Before anesthesia, fast the mice for at least 8 hours, anesthetize with intraperitoneal injection of pentobarbital sodium at a dose of 80 mg/kg, concentration of 10 mg/mL, and injection volume of 8 mL/kg (adjustments can be made according to the animal's anesthesia status), after anesthesia, perform euthanasia by exsanguination via the abdominal aorta.</w:t>
      </w:r>
    </w:p>
    <w:p w14:paraId="103CAB62" w14:textId="77777777" w:rsidR="00F41D01" w:rsidRDefault="00F41D01" w:rsidP="00815B14">
      <w:pPr>
        <w:keepNext/>
        <w:widowControl w:val="0"/>
        <w:numPr>
          <w:ilvl w:val="1"/>
          <w:numId w:val="4"/>
        </w:numPr>
        <w:spacing w:line="360" w:lineRule="auto"/>
        <w:jc w:val="both"/>
        <w:outlineLvl w:val="1"/>
        <w:rPr>
          <w:b/>
          <w:kern w:val="2"/>
          <w:lang w:eastAsia="zh-CN"/>
        </w:rPr>
      </w:pPr>
      <w:r>
        <w:t>gross necropsy observation</w:t>
      </w:r>
    </w:p>
    <w:p w14:paraId="02878520" w14:textId="77777777" w:rsidR="00F41D01" w:rsidRDefault="00F41D01">
      <w:pPr>
        <w:spacing w:line="360" w:lineRule="auto"/>
        <w:ind w:firstLineChars="200" w:firstLine="480"/>
        <w:jc w:val="both"/>
        <w:rPr>
          <w:rFonts w:hint="eastAsia"/>
          <w:lang w:eastAsia="zh-CN"/>
        </w:rPr>
      </w:pPr>
      <w:r>
        <w:t>First, perform general examinations, examining the animal's external appearance, including body shape, nutritional status, hair and skin, external genitalia, and various cavities; open the abdominal cavity, pelvic cavity, and thoracic cavity and examine internal organs, observing the positioning, color, size, hardness, and presence of hemorrhage or adhesion of each organ; and record the necropsy findings.</w:t>
      </w:r>
    </w:p>
    <w:p w14:paraId="240AD1AD" w14:textId="77777777" w:rsidR="00F41D01" w:rsidRDefault="00F41D01" w:rsidP="00815B14">
      <w:pPr>
        <w:keepNext/>
        <w:widowControl w:val="0"/>
        <w:numPr>
          <w:ilvl w:val="1"/>
          <w:numId w:val="4"/>
        </w:numPr>
        <w:spacing w:line="360" w:lineRule="auto"/>
        <w:jc w:val="both"/>
        <w:outlineLvl w:val="1"/>
        <w:rPr>
          <w:b/>
          <w:kern w:val="2"/>
          <w:lang w:eastAsia="zh-CN"/>
        </w:rPr>
      </w:pPr>
      <w:r>
        <w:t>organ weight</w:t>
      </w:r>
    </w:p>
    <w:p w14:paraId="4E1AA467" w14:textId="77777777" w:rsidR="00F41D01" w:rsidRDefault="00F41D01">
      <w:pPr>
        <w:spacing w:line="360" w:lineRule="auto"/>
        <w:ind w:firstLineChars="200" w:firstLine="480"/>
        <w:rPr>
          <w:lang w:eastAsia="zh-CN"/>
        </w:rPr>
      </w:pPr>
      <w:r>
        <w:t>weigh and record the absolute weight of tissues/organs (tissues/organs that need to be weighed are detailed in 7.6), and calculate organ-to-body ratio and organ-to-brain ratio</w:t>
      </w:r>
    </w:p>
    <w:p w14:paraId="6F21E9FE" w14:textId="77777777" w:rsidR="00F41D01" w:rsidRDefault="00F41D01">
      <w:pPr>
        <w:spacing w:line="360" w:lineRule="auto"/>
        <w:ind w:firstLineChars="200" w:firstLine="480"/>
        <w:jc w:val="both"/>
        <w:rPr>
          <w:rFonts w:hint="eastAsia"/>
          <w:lang w:eastAsia="zh-CN"/>
        </w:rPr>
      </w:pPr>
      <w:r>
        <w:t>organ-to-body ratio = organ weight (g) / body weight (g)× 100 %；</w:t>
      </w:r>
    </w:p>
    <w:p w14:paraId="031AA8AB" w14:textId="77777777" w:rsidR="00F41D01" w:rsidRDefault="00F41D01">
      <w:pPr>
        <w:spacing w:line="360" w:lineRule="auto"/>
        <w:ind w:firstLineChars="200" w:firstLine="480"/>
        <w:rPr>
          <w:lang w:eastAsia="zh-CN"/>
        </w:rPr>
      </w:pPr>
      <w:r>
        <w:t>Organ-to-brain ratio = organ weight (g) / brain weight (g) × 100%.</w:t>
      </w:r>
    </w:p>
    <w:p w14:paraId="30C5511C" w14:textId="77777777" w:rsidR="00F41D01" w:rsidRPr="00815B14" w:rsidRDefault="00F41D01" w:rsidP="00815B14">
      <w:pPr>
        <w:keepNext/>
        <w:widowControl w:val="0"/>
        <w:numPr>
          <w:ilvl w:val="1"/>
          <w:numId w:val="4"/>
        </w:numPr>
        <w:spacing w:line="360" w:lineRule="auto"/>
        <w:jc w:val="both"/>
        <w:outlineLvl w:val="1"/>
        <w:rPr>
          <w:b/>
          <w:kern w:val="2"/>
          <w:lang w:eastAsia="zh-CN"/>
        </w:rPr>
      </w:pPr>
      <w:r>
        <w:t>Tissue fixation, pathology examination</w:t>
      </w:r>
    </w:p>
    <w:p w14:paraId="1CC5605D" w14:textId="77777777" w:rsidR="00B328ED" w:rsidRDefault="00B328ED" w:rsidP="00B328ED">
      <w:pPr>
        <w:spacing w:line="360" w:lineRule="auto"/>
        <w:ind w:firstLineChars="200" w:firstLine="480"/>
        <w:jc w:val="both"/>
        <w:rPr>
          <w:lang w:eastAsia="zh-CN"/>
        </w:rPr>
      </w:pPr>
      <w:r>
        <w:t>Only for gross necropsy observation of any organs/tissues with abnormalities in volume, color, or consistency, perform trimming and fixation, followed by routine histology processes such as paraffin embedding, sectioning, slide preparation, and HE staining, and conduct histopathological examination. If storage is required, preserve bilateral eyeballs and optic nerves in 2.5% glutaraldehyde solution, testes, and epididymides in modified Davidson’s fixative, and other tissues/organs in 10% neutral buffered formalin.</w:t>
      </w:r>
    </w:p>
    <w:p w14:paraId="5B0E9B50" w14:textId="77777777" w:rsidR="00B328ED" w:rsidRDefault="00B328ED" w:rsidP="00B328ED">
      <w:pPr>
        <w:pStyle w:val="30"/>
        <w:rPr>
          <w:bCs/>
          <w:lang w:eastAsia="zh-CN"/>
        </w:rPr>
      </w:pPr>
      <w:r>
        <w:t>Tissues/organs that require extraction, weighing, fixation, and histopathological examination are listed in the following table:</w:t>
      </w:r>
    </w:p>
    <w:tbl>
      <w:tblPr>
        <w:tblW w:w="0" w:type="auto"/>
        <w:jc w:val="center"/>
        <w:tblInd w:w="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042"/>
        <w:gridCol w:w="935"/>
        <w:gridCol w:w="1383"/>
        <w:gridCol w:w="922"/>
        <w:gridCol w:w="90"/>
        <w:gridCol w:w="2216"/>
      </w:tblGrid>
      <w:tr w:rsidR="00B328ED" w14:paraId="45B83B72" w14:textId="77777777" w:rsidTr="00B328ED">
        <w:trPr>
          <w:trHeight w:val="502"/>
          <w:tblHeader/>
          <w:jc w:val="center"/>
        </w:trPr>
        <w:tc>
          <w:tcPr>
            <w:tcW w:w="3042" w:type="dxa"/>
            <w:tcBorders>
              <w:top w:val="single" w:sz="12" w:space="0" w:color="auto"/>
              <w:left w:val="nil"/>
              <w:bottom w:val="single" w:sz="4" w:space="0" w:color="auto"/>
            </w:tcBorders>
            <w:vAlign w:val="center"/>
          </w:tcPr>
          <w:p w14:paraId="5A69297F" w14:textId="77777777" w:rsidR="00B328ED" w:rsidRDefault="00B328ED" w:rsidP="00B328ED">
            <w:pPr>
              <w:jc w:val="center"/>
              <w:rPr>
                <w:b/>
                <w:sz w:val="18"/>
                <w:szCs w:val="18"/>
                <w:lang w:eastAsia="zh-CN"/>
              </w:rPr>
            </w:pPr>
            <w:r>
              <w:t>Tissues name</w:t>
            </w:r>
          </w:p>
        </w:tc>
        <w:tc>
          <w:tcPr>
            <w:tcW w:w="935" w:type="dxa"/>
            <w:tcBorders>
              <w:top w:val="single" w:sz="12" w:space="0" w:color="auto"/>
              <w:bottom w:val="single" w:sz="4" w:space="0" w:color="auto"/>
            </w:tcBorders>
            <w:vAlign w:val="center"/>
          </w:tcPr>
          <w:p w14:paraId="0F69DA63" w14:textId="77777777" w:rsidR="00B328ED" w:rsidRDefault="00B328ED" w:rsidP="00B328ED">
            <w:pPr>
              <w:jc w:val="center"/>
              <w:rPr>
                <w:b/>
                <w:sz w:val="18"/>
                <w:szCs w:val="18"/>
                <w:lang w:eastAsia="zh-CN"/>
              </w:rPr>
            </w:pPr>
            <w:r>
              <w:t>weigh</w:t>
            </w:r>
          </w:p>
        </w:tc>
        <w:tc>
          <w:tcPr>
            <w:tcW w:w="1383" w:type="dxa"/>
            <w:tcBorders>
              <w:top w:val="single" w:sz="12" w:space="0" w:color="auto"/>
              <w:bottom w:val="single" w:sz="4" w:space="0" w:color="auto"/>
            </w:tcBorders>
            <w:vAlign w:val="center"/>
          </w:tcPr>
          <w:p w14:paraId="6AEBB4FF" w14:textId="77777777" w:rsidR="00B328ED" w:rsidRDefault="00B328ED" w:rsidP="00B328ED">
            <w:pPr>
              <w:jc w:val="center"/>
              <w:rPr>
                <w:b/>
                <w:sz w:val="18"/>
                <w:szCs w:val="18"/>
                <w:lang w:eastAsia="zh-CN"/>
              </w:rPr>
            </w:pPr>
            <w:r>
              <w:t>fixative</w:t>
            </w:r>
          </w:p>
        </w:tc>
        <w:tc>
          <w:tcPr>
            <w:tcW w:w="922" w:type="dxa"/>
            <w:tcBorders>
              <w:top w:val="single" w:sz="12" w:space="0" w:color="auto"/>
              <w:bottom w:val="single" w:sz="4" w:space="0" w:color="auto"/>
            </w:tcBorders>
            <w:vAlign w:val="center"/>
          </w:tcPr>
          <w:p w14:paraId="6F8B7AD8" w14:textId="77777777" w:rsidR="00B328ED" w:rsidRDefault="00B328ED" w:rsidP="00B328ED">
            <w:pPr>
              <w:jc w:val="center"/>
              <w:rPr>
                <w:b/>
                <w:sz w:val="18"/>
                <w:szCs w:val="18"/>
                <w:lang w:eastAsia="zh-CN"/>
              </w:rPr>
            </w:pPr>
            <w:r>
              <w:t>Retention</w:t>
            </w:r>
          </w:p>
        </w:tc>
        <w:tc>
          <w:tcPr>
            <w:tcW w:w="2306" w:type="dxa"/>
            <w:gridSpan w:val="2"/>
            <w:tcBorders>
              <w:top w:val="single" w:sz="12" w:space="0" w:color="auto"/>
              <w:bottom w:val="single" w:sz="4" w:space="0" w:color="auto"/>
              <w:right w:val="nil"/>
            </w:tcBorders>
            <w:vAlign w:val="center"/>
          </w:tcPr>
          <w:p w14:paraId="54F49300" w14:textId="77777777" w:rsidR="00B328ED" w:rsidRDefault="00B328ED" w:rsidP="00B328ED">
            <w:pPr>
              <w:jc w:val="center"/>
              <w:rPr>
                <w:b/>
                <w:sz w:val="18"/>
                <w:szCs w:val="18"/>
                <w:lang w:eastAsia="zh-CN"/>
              </w:rPr>
            </w:pPr>
            <w:r>
              <w:t>histopathological examination</w:t>
            </w:r>
          </w:p>
        </w:tc>
      </w:tr>
      <w:tr w:rsidR="00B328ED" w14:paraId="155D0246" w14:textId="77777777" w:rsidTr="00B328ED">
        <w:trPr>
          <w:trHeight w:val="264"/>
          <w:jc w:val="center"/>
        </w:trPr>
        <w:tc>
          <w:tcPr>
            <w:tcW w:w="3042" w:type="dxa"/>
            <w:tcBorders>
              <w:top w:val="single" w:sz="4" w:space="0" w:color="auto"/>
              <w:left w:val="nil"/>
              <w:bottom w:val="single" w:sz="4" w:space="0" w:color="auto"/>
            </w:tcBorders>
            <w:vAlign w:val="center"/>
          </w:tcPr>
          <w:p w14:paraId="47CD5317" w14:textId="77777777" w:rsidR="00B328ED" w:rsidRDefault="00B328ED" w:rsidP="00B328ED">
            <w:pPr>
              <w:jc w:val="both"/>
              <w:rPr>
                <w:sz w:val="18"/>
                <w:szCs w:val="18"/>
                <w:lang w:eastAsia="zh-CN"/>
              </w:rPr>
            </w:pPr>
            <w:r>
              <w:t>Aorta</w:t>
            </w:r>
          </w:p>
        </w:tc>
        <w:tc>
          <w:tcPr>
            <w:tcW w:w="935" w:type="dxa"/>
            <w:tcBorders>
              <w:top w:val="single" w:sz="4" w:space="0" w:color="auto"/>
              <w:bottom w:val="single" w:sz="4" w:space="0" w:color="auto"/>
            </w:tcBorders>
            <w:vAlign w:val="center"/>
          </w:tcPr>
          <w:p w14:paraId="2AF9688E"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right w:val="nil"/>
            </w:tcBorders>
            <w:vAlign w:val="center"/>
          </w:tcPr>
          <w:p w14:paraId="3D2CE933" w14:textId="77777777" w:rsidR="00B328ED" w:rsidRDefault="00B328ED" w:rsidP="00B328ED">
            <w:pPr>
              <w:jc w:val="center"/>
              <w:rPr>
                <w:sz w:val="18"/>
                <w:szCs w:val="18"/>
                <w:lang w:eastAsia="zh-CN"/>
              </w:rPr>
            </w:pPr>
            <w:r>
              <w:rPr>
                <w:sz w:val="18"/>
                <w:szCs w:val="18"/>
                <w:lang w:eastAsia="zh-CN"/>
              </w:rPr>
              <w:t>F</w:t>
            </w:r>
          </w:p>
        </w:tc>
        <w:tc>
          <w:tcPr>
            <w:tcW w:w="922" w:type="dxa"/>
            <w:tcBorders>
              <w:top w:val="single" w:sz="4" w:space="0" w:color="auto"/>
              <w:left w:val="nil"/>
              <w:bottom w:val="single" w:sz="4" w:space="0" w:color="auto"/>
              <w:right w:val="nil"/>
            </w:tcBorders>
            <w:vAlign w:val="center"/>
          </w:tcPr>
          <w:p w14:paraId="7EFB2CA7" w14:textId="77777777" w:rsidR="00B328ED" w:rsidRDefault="00B328ED" w:rsidP="00B328ED">
            <w:pPr>
              <w:jc w:val="center"/>
              <w:rPr>
                <w:sz w:val="18"/>
                <w:szCs w:val="18"/>
                <w:lang w:eastAsia="zh-CN"/>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04ED0ECA" w14:textId="77777777" w:rsidR="00B328ED" w:rsidRDefault="00B328ED" w:rsidP="00B328ED">
            <w:pPr>
              <w:jc w:val="center"/>
              <w:rPr>
                <w:sz w:val="18"/>
                <w:szCs w:val="18"/>
                <w:lang w:eastAsia="zh-CN"/>
              </w:rPr>
            </w:pPr>
            <w:r>
              <w:rPr>
                <w:rFonts w:hint="eastAsia"/>
                <w:sz w:val="18"/>
                <w:szCs w:val="18"/>
                <w:lang w:eastAsia="zh-CN"/>
              </w:rPr>
              <w:t>#</w:t>
            </w:r>
          </w:p>
        </w:tc>
      </w:tr>
      <w:tr w:rsidR="00B328ED" w14:paraId="20AA21C9" w14:textId="77777777" w:rsidTr="00B328ED">
        <w:trPr>
          <w:trHeight w:val="247"/>
          <w:jc w:val="center"/>
        </w:trPr>
        <w:tc>
          <w:tcPr>
            <w:tcW w:w="3042" w:type="dxa"/>
            <w:tcBorders>
              <w:top w:val="single" w:sz="4" w:space="0" w:color="auto"/>
              <w:left w:val="nil"/>
              <w:bottom w:val="single" w:sz="4" w:space="0" w:color="auto"/>
            </w:tcBorders>
            <w:vAlign w:val="center"/>
          </w:tcPr>
          <w:p w14:paraId="2C2CF552" w14:textId="77777777" w:rsidR="00B328ED" w:rsidRDefault="00B328ED" w:rsidP="00B328ED">
            <w:pPr>
              <w:jc w:val="both"/>
              <w:rPr>
                <w:sz w:val="18"/>
                <w:szCs w:val="18"/>
                <w:lang w:eastAsia="zh-CN"/>
              </w:rPr>
            </w:pPr>
            <w:r>
              <w:t>adrenal glands</w:t>
            </w:r>
          </w:p>
        </w:tc>
        <w:tc>
          <w:tcPr>
            <w:tcW w:w="935" w:type="dxa"/>
            <w:tcBorders>
              <w:top w:val="single" w:sz="4" w:space="0" w:color="auto"/>
              <w:bottom w:val="single" w:sz="4" w:space="0" w:color="auto"/>
            </w:tcBorders>
            <w:vAlign w:val="center"/>
          </w:tcPr>
          <w:p w14:paraId="53CC25FA" w14:textId="77777777" w:rsidR="00B328ED" w:rsidRDefault="00B328ED" w:rsidP="00B328ED">
            <w:pPr>
              <w:jc w:val="center"/>
              <w:rPr>
                <w:sz w:val="18"/>
                <w:szCs w:val="18"/>
                <w:lang w:eastAsia="zh-CN"/>
              </w:rPr>
            </w:pPr>
            <w:r>
              <w:rPr>
                <w:sz w:val="18"/>
                <w:szCs w:val="18"/>
                <w:lang w:eastAsia="zh-CN"/>
              </w:rPr>
              <w:t>√</w:t>
            </w:r>
          </w:p>
        </w:tc>
        <w:tc>
          <w:tcPr>
            <w:tcW w:w="1383" w:type="dxa"/>
            <w:tcBorders>
              <w:top w:val="single" w:sz="4" w:space="0" w:color="auto"/>
              <w:bottom w:val="single" w:sz="4" w:space="0" w:color="auto"/>
              <w:right w:val="nil"/>
            </w:tcBorders>
            <w:vAlign w:val="center"/>
          </w:tcPr>
          <w:p w14:paraId="59D9C3D5" w14:textId="77777777" w:rsidR="00B328ED" w:rsidRDefault="00B328ED" w:rsidP="00B328ED">
            <w:pPr>
              <w:jc w:val="center"/>
              <w:rPr>
                <w:sz w:val="18"/>
                <w:szCs w:val="18"/>
                <w:lang w:eastAsia="zh-CN"/>
              </w:rPr>
            </w:pPr>
            <w:r>
              <w:rPr>
                <w:sz w:val="18"/>
                <w:szCs w:val="18"/>
                <w:lang w:eastAsia="zh-CN"/>
              </w:rPr>
              <w:t>F</w:t>
            </w:r>
          </w:p>
        </w:tc>
        <w:tc>
          <w:tcPr>
            <w:tcW w:w="922" w:type="dxa"/>
            <w:tcBorders>
              <w:top w:val="single" w:sz="4" w:space="0" w:color="auto"/>
              <w:left w:val="nil"/>
              <w:bottom w:val="single" w:sz="4" w:space="0" w:color="auto"/>
              <w:right w:val="nil"/>
            </w:tcBorders>
            <w:vAlign w:val="center"/>
          </w:tcPr>
          <w:p w14:paraId="123A9E52" w14:textId="77777777" w:rsidR="00B328ED" w:rsidRDefault="00B328ED" w:rsidP="00B328ED">
            <w:pPr>
              <w:jc w:val="center"/>
              <w:rPr>
                <w:sz w:val="18"/>
                <w:szCs w:val="18"/>
                <w:lang w:eastAsia="zh-CN"/>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DD85E64" w14:textId="77777777" w:rsidR="00B328ED" w:rsidRDefault="00B328ED" w:rsidP="00B328ED">
            <w:pPr>
              <w:jc w:val="center"/>
              <w:rPr>
                <w:sz w:val="18"/>
                <w:szCs w:val="18"/>
                <w:lang w:eastAsia="zh-CN"/>
              </w:rPr>
            </w:pPr>
            <w:r>
              <w:rPr>
                <w:rFonts w:hint="eastAsia"/>
                <w:sz w:val="18"/>
                <w:szCs w:val="18"/>
                <w:lang w:eastAsia="zh-CN"/>
              </w:rPr>
              <w:t>#</w:t>
            </w:r>
          </w:p>
        </w:tc>
      </w:tr>
      <w:tr w:rsidR="00B328ED" w14:paraId="62BDA8E3" w14:textId="77777777" w:rsidTr="00B328ED">
        <w:trPr>
          <w:trHeight w:val="264"/>
          <w:jc w:val="center"/>
        </w:trPr>
        <w:tc>
          <w:tcPr>
            <w:tcW w:w="3042" w:type="dxa"/>
            <w:tcBorders>
              <w:top w:val="single" w:sz="4" w:space="0" w:color="auto"/>
              <w:left w:val="nil"/>
              <w:bottom w:val="single" w:sz="4" w:space="0" w:color="auto"/>
            </w:tcBorders>
            <w:vAlign w:val="center"/>
          </w:tcPr>
          <w:p w14:paraId="39DECE72" w14:textId="77777777" w:rsidR="00B328ED" w:rsidRDefault="00B328ED" w:rsidP="00B328ED">
            <w:pPr>
              <w:jc w:val="both"/>
              <w:rPr>
                <w:sz w:val="18"/>
                <w:szCs w:val="18"/>
                <w:lang w:eastAsia="zh-CN"/>
              </w:rPr>
            </w:pPr>
            <w:r>
              <w:t>Bone and bone marrow (sternum)</w:t>
            </w:r>
          </w:p>
        </w:tc>
        <w:tc>
          <w:tcPr>
            <w:tcW w:w="935" w:type="dxa"/>
            <w:tcBorders>
              <w:top w:val="single" w:sz="4" w:space="0" w:color="auto"/>
              <w:bottom w:val="single" w:sz="4" w:space="0" w:color="auto"/>
            </w:tcBorders>
            <w:vAlign w:val="center"/>
          </w:tcPr>
          <w:p w14:paraId="33A2CE9F"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right w:val="nil"/>
            </w:tcBorders>
            <w:vAlign w:val="center"/>
          </w:tcPr>
          <w:p w14:paraId="07DD7020" w14:textId="77777777" w:rsidR="00B328ED" w:rsidRDefault="00B328ED" w:rsidP="00B328ED">
            <w:pPr>
              <w:jc w:val="center"/>
              <w:rPr>
                <w:sz w:val="18"/>
                <w:szCs w:val="18"/>
                <w:lang w:eastAsia="zh-CN"/>
              </w:rPr>
            </w:pPr>
            <w:r>
              <w:rPr>
                <w:sz w:val="18"/>
                <w:szCs w:val="18"/>
                <w:lang w:eastAsia="zh-CN"/>
              </w:rPr>
              <w:t>F</w:t>
            </w:r>
          </w:p>
        </w:tc>
        <w:tc>
          <w:tcPr>
            <w:tcW w:w="922" w:type="dxa"/>
            <w:tcBorders>
              <w:top w:val="single" w:sz="4" w:space="0" w:color="auto"/>
              <w:left w:val="nil"/>
              <w:bottom w:val="single" w:sz="4" w:space="0" w:color="auto"/>
              <w:right w:val="nil"/>
            </w:tcBorders>
            <w:vAlign w:val="center"/>
          </w:tcPr>
          <w:p w14:paraId="55231E3E" w14:textId="77777777" w:rsidR="00B328ED" w:rsidRDefault="00B328ED" w:rsidP="00B328ED">
            <w:pPr>
              <w:jc w:val="center"/>
              <w:rPr>
                <w:sz w:val="18"/>
                <w:szCs w:val="18"/>
                <w:lang w:eastAsia="zh-CN"/>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3F4C0737" w14:textId="77777777" w:rsidR="00B328ED" w:rsidRDefault="00B328ED" w:rsidP="00B328ED">
            <w:pPr>
              <w:jc w:val="center"/>
              <w:rPr>
                <w:sz w:val="18"/>
                <w:szCs w:val="18"/>
                <w:lang w:eastAsia="zh-CN"/>
              </w:rPr>
            </w:pPr>
            <w:r>
              <w:rPr>
                <w:rFonts w:hint="eastAsia"/>
                <w:sz w:val="18"/>
                <w:szCs w:val="18"/>
                <w:lang w:eastAsia="zh-CN"/>
              </w:rPr>
              <w:t>#</w:t>
            </w:r>
          </w:p>
        </w:tc>
      </w:tr>
      <w:tr w:rsidR="00B328ED" w14:paraId="454D66C4" w14:textId="77777777" w:rsidTr="00B328ED">
        <w:trPr>
          <w:trHeight w:val="264"/>
          <w:jc w:val="center"/>
        </w:trPr>
        <w:tc>
          <w:tcPr>
            <w:tcW w:w="3042" w:type="dxa"/>
            <w:tcBorders>
              <w:top w:val="single" w:sz="4" w:space="0" w:color="auto"/>
              <w:left w:val="nil"/>
              <w:bottom w:val="single" w:sz="4" w:space="0" w:color="auto"/>
            </w:tcBorders>
            <w:vAlign w:val="center"/>
          </w:tcPr>
          <w:p w14:paraId="2104F97D" w14:textId="77777777" w:rsidR="00B328ED" w:rsidRDefault="00B328ED" w:rsidP="00B328ED">
            <w:pPr>
              <w:jc w:val="both"/>
              <w:rPr>
                <w:sz w:val="18"/>
                <w:szCs w:val="18"/>
                <w:lang w:eastAsia="zh-CN"/>
              </w:rPr>
            </w:pPr>
            <w:r>
              <w:t>Bone (Femur, including knee joint)</w:t>
            </w:r>
          </w:p>
        </w:tc>
        <w:tc>
          <w:tcPr>
            <w:tcW w:w="935" w:type="dxa"/>
            <w:tcBorders>
              <w:top w:val="single" w:sz="4" w:space="0" w:color="auto"/>
              <w:bottom w:val="single" w:sz="4" w:space="0" w:color="auto"/>
            </w:tcBorders>
            <w:vAlign w:val="center"/>
          </w:tcPr>
          <w:p w14:paraId="56E3EEE6"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right w:val="nil"/>
            </w:tcBorders>
            <w:vAlign w:val="center"/>
          </w:tcPr>
          <w:p w14:paraId="0150DA21" w14:textId="77777777" w:rsidR="00B328ED" w:rsidRDefault="00B328ED" w:rsidP="00B328ED">
            <w:pPr>
              <w:jc w:val="center"/>
              <w:rPr>
                <w:sz w:val="18"/>
                <w:szCs w:val="18"/>
                <w:lang w:eastAsia="zh-CN"/>
              </w:rPr>
            </w:pPr>
            <w:r>
              <w:rPr>
                <w:sz w:val="18"/>
                <w:szCs w:val="18"/>
                <w:lang w:eastAsia="zh-CN"/>
              </w:rPr>
              <w:t>F</w:t>
            </w:r>
          </w:p>
        </w:tc>
        <w:tc>
          <w:tcPr>
            <w:tcW w:w="922" w:type="dxa"/>
            <w:tcBorders>
              <w:top w:val="single" w:sz="4" w:space="0" w:color="auto"/>
              <w:left w:val="nil"/>
              <w:bottom w:val="single" w:sz="4" w:space="0" w:color="auto"/>
              <w:right w:val="nil"/>
            </w:tcBorders>
            <w:vAlign w:val="center"/>
          </w:tcPr>
          <w:p w14:paraId="15CCDF09" w14:textId="77777777" w:rsidR="00B328ED" w:rsidRDefault="00B328ED" w:rsidP="00B328ED">
            <w:pPr>
              <w:jc w:val="center"/>
              <w:rPr>
                <w:sz w:val="18"/>
                <w:szCs w:val="18"/>
                <w:lang w:eastAsia="zh-CN"/>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F9514D7" w14:textId="77777777" w:rsidR="00B328ED" w:rsidRDefault="00B328ED" w:rsidP="00B328ED">
            <w:pPr>
              <w:jc w:val="center"/>
              <w:rPr>
                <w:sz w:val="18"/>
                <w:szCs w:val="18"/>
                <w:lang w:eastAsia="zh-CN"/>
              </w:rPr>
            </w:pPr>
            <w:r>
              <w:rPr>
                <w:rFonts w:hint="eastAsia"/>
                <w:sz w:val="18"/>
                <w:szCs w:val="18"/>
                <w:lang w:eastAsia="zh-CN"/>
              </w:rPr>
              <w:t>#</w:t>
            </w:r>
          </w:p>
        </w:tc>
      </w:tr>
      <w:tr w:rsidR="00B328ED" w14:paraId="58D4B102" w14:textId="77777777" w:rsidTr="00B328ED">
        <w:trPr>
          <w:trHeight w:val="247"/>
          <w:jc w:val="center"/>
        </w:trPr>
        <w:tc>
          <w:tcPr>
            <w:tcW w:w="3042" w:type="dxa"/>
            <w:tcBorders>
              <w:top w:val="single" w:sz="4" w:space="0" w:color="auto"/>
              <w:left w:val="nil"/>
              <w:bottom w:val="single" w:sz="4" w:space="0" w:color="auto"/>
            </w:tcBorders>
            <w:vAlign w:val="center"/>
          </w:tcPr>
          <w:p w14:paraId="456C4997" w14:textId="77777777" w:rsidR="00B328ED" w:rsidRDefault="00B328ED" w:rsidP="00B328ED">
            <w:pPr>
              <w:jc w:val="both"/>
              <w:rPr>
                <w:sz w:val="18"/>
                <w:szCs w:val="18"/>
                <w:lang w:eastAsia="zh-CN"/>
              </w:rPr>
            </w:pPr>
            <w:r>
              <w:t>brain (cerebrum, cerebellum, brain stem)</w:t>
            </w:r>
          </w:p>
        </w:tc>
        <w:tc>
          <w:tcPr>
            <w:tcW w:w="935" w:type="dxa"/>
            <w:tcBorders>
              <w:top w:val="single" w:sz="4" w:space="0" w:color="auto"/>
              <w:bottom w:val="single" w:sz="4" w:space="0" w:color="auto"/>
            </w:tcBorders>
            <w:vAlign w:val="center"/>
          </w:tcPr>
          <w:p w14:paraId="664FFE45"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25DA83CC"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4AFEDDB5"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2E8C563A" w14:textId="77777777" w:rsidR="00B328ED" w:rsidRDefault="00B328ED" w:rsidP="00B328ED">
            <w:pPr>
              <w:jc w:val="center"/>
              <w:rPr>
                <w:sz w:val="18"/>
                <w:szCs w:val="18"/>
              </w:rPr>
            </w:pPr>
            <w:r>
              <w:rPr>
                <w:rFonts w:hint="eastAsia"/>
                <w:sz w:val="18"/>
                <w:szCs w:val="18"/>
                <w:lang w:eastAsia="zh-CN"/>
              </w:rPr>
              <w:t>#</w:t>
            </w:r>
          </w:p>
        </w:tc>
      </w:tr>
      <w:tr w:rsidR="00B328ED" w14:paraId="70A22621" w14:textId="77777777" w:rsidTr="00B328ED">
        <w:trPr>
          <w:trHeight w:val="247"/>
          <w:jc w:val="center"/>
        </w:trPr>
        <w:tc>
          <w:tcPr>
            <w:tcW w:w="3042" w:type="dxa"/>
            <w:tcBorders>
              <w:top w:val="single" w:sz="4" w:space="0" w:color="auto"/>
              <w:left w:val="nil"/>
              <w:bottom w:val="single" w:sz="4" w:space="0" w:color="auto"/>
            </w:tcBorders>
            <w:vAlign w:val="center"/>
          </w:tcPr>
          <w:p w14:paraId="72976D92" w14:textId="77777777" w:rsidR="00B328ED" w:rsidRDefault="00B328ED" w:rsidP="00B328ED">
            <w:pPr>
              <w:jc w:val="both"/>
              <w:rPr>
                <w:sz w:val="18"/>
                <w:szCs w:val="18"/>
                <w:lang w:eastAsia="zh-CN"/>
              </w:rPr>
            </w:pPr>
            <w:r>
              <w:t>testes</w:t>
            </w:r>
          </w:p>
        </w:tc>
        <w:tc>
          <w:tcPr>
            <w:tcW w:w="935" w:type="dxa"/>
            <w:tcBorders>
              <w:top w:val="single" w:sz="4" w:space="0" w:color="auto"/>
              <w:bottom w:val="single" w:sz="4" w:space="0" w:color="auto"/>
            </w:tcBorders>
            <w:vAlign w:val="center"/>
          </w:tcPr>
          <w:p w14:paraId="36535DB2" w14:textId="77777777" w:rsidR="00B328ED" w:rsidRDefault="00B328ED" w:rsidP="00B328ED">
            <w:pPr>
              <w:jc w:val="center"/>
              <w:rPr>
                <w:sz w:val="18"/>
                <w:szCs w:val="18"/>
              </w:rPr>
            </w:pPr>
            <w:r>
              <w:rPr>
                <w:sz w:val="18"/>
                <w:szCs w:val="18"/>
                <w:lang w:eastAsia="zh-CN"/>
              </w:rPr>
              <w:t>√</w:t>
            </w:r>
          </w:p>
        </w:tc>
        <w:tc>
          <w:tcPr>
            <w:tcW w:w="1383" w:type="dxa"/>
            <w:tcBorders>
              <w:top w:val="single" w:sz="4" w:space="0" w:color="auto"/>
              <w:bottom w:val="single" w:sz="4" w:space="0" w:color="auto"/>
              <w:right w:val="nil"/>
            </w:tcBorders>
            <w:vAlign w:val="center"/>
          </w:tcPr>
          <w:p w14:paraId="373E3F9F" w14:textId="77777777" w:rsidR="00B328ED" w:rsidRDefault="00B328ED" w:rsidP="00B328ED">
            <w:pPr>
              <w:jc w:val="center"/>
              <w:rPr>
                <w:sz w:val="18"/>
                <w:szCs w:val="18"/>
              </w:rPr>
            </w:pPr>
            <w:r>
              <w:rPr>
                <w:sz w:val="18"/>
                <w:szCs w:val="18"/>
                <w:lang w:eastAsia="zh-CN"/>
              </w:rPr>
              <w:t>MD</w:t>
            </w:r>
          </w:p>
        </w:tc>
        <w:tc>
          <w:tcPr>
            <w:tcW w:w="922" w:type="dxa"/>
            <w:tcBorders>
              <w:top w:val="single" w:sz="4" w:space="0" w:color="auto"/>
              <w:left w:val="nil"/>
              <w:bottom w:val="single" w:sz="4" w:space="0" w:color="auto"/>
              <w:right w:val="nil"/>
            </w:tcBorders>
            <w:vAlign w:val="center"/>
          </w:tcPr>
          <w:p w14:paraId="6A1B74F3"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3A628557" w14:textId="77777777" w:rsidR="00B328ED" w:rsidRDefault="00B328ED" w:rsidP="00B328ED">
            <w:pPr>
              <w:jc w:val="center"/>
              <w:rPr>
                <w:sz w:val="18"/>
                <w:szCs w:val="18"/>
              </w:rPr>
            </w:pPr>
            <w:r>
              <w:rPr>
                <w:rFonts w:hint="eastAsia"/>
                <w:sz w:val="18"/>
                <w:szCs w:val="18"/>
                <w:lang w:eastAsia="zh-CN"/>
              </w:rPr>
              <w:t>#</w:t>
            </w:r>
          </w:p>
        </w:tc>
      </w:tr>
      <w:tr w:rsidR="00B328ED" w14:paraId="3FA6413F" w14:textId="77777777" w:rsidTr="00B328ED">
        <w:trPr>
          <w:trHeight w:val="247"/>
          <w:jc w:val="center"/>
        </w:trPr>
        <w:tc>
          <w:tcPr>
            <w:tcW w:w="3042" w:type="dxa"/>
            <w:tcBorders>
              <w:top w:val="single" w:sz="4" w:space="0" w:color="auto"/>
              <w:left w:val="nil"/>
              <w:bottom w:val="single" w:sz="4" w:space="0" w:color="auto"/>
            </w:tcBorders>
            <w:vAlign w:val="center"/>
          </w:tcPr>
          <w:p w14:paraId="179DC3CA" w14:textId="77777777" w:rsidR="00B328ED" w:rsidRDefault="00B328ED" w:rsidP="00B328ED">
            <w:pPr>
              <w:jc w:val="both"/>
              <w:rPr>
                <w:sz w:val="18"/>
                <w:szCs w:val="18"/>
                <w:lang w:eastAsia="zh-CN"/>
              </w:rPr>
            </w:pPr>
            <w:r>
              <w:t>epididymis</w:t>
            </w:r>
          </w:p>
        </w:tc>
        <w:tc>
          <w:tcPr>
            <w:tcW w:w="935" w:type="dxa"/>
            <w:tcBorders>
              <w:top w:val="single" w:sz="4" w:space="0" w:color="auto"/>
              <w:bottom w:val="single" w:sz="4" w:space="0" w:color="auto"/>
            </w:tcBorders>
            <w:vAlign w:val="center"/>
          </w:tcPr>
          <w:p w14:paraId="1A6CE358" w14:textId="77777777" w:rsidR="00B328ED" w:rsidRDefault="00B328ED" w:rsidP="00B328ED">
            <w:pPr>
              <w:jc w:val="center"/>
              <w:rPr>
                <w:sz w:val="18"/>
                <w:szCs w:val="18"/>
              </w:rPr>
            </w:pPr>
            <w:r>
              <w:rPr>
                <w:sz w:val="18"/>
                <w:szCs w:val="18"/>
                <w:lang w:eastAsia="zh-CN"/>
              </w:rPr>
              <w:t>√</w:t>
            </w:r>
          </w:p>
        </w:tc>
        <w:tc>
          <w:tcPr>
            <w:tcW w:w="1383" w:type="dxa"/>
            <w:tcBorders>
              <w:top w:val="single" w:sz="4" w:space="0" w:color="auto"/>
              <w:bottom w:val="single" w:sz="4" w:space="0" w:color="auto"/>
              <w:right w:val="nil"/>
            </w:tcBorders>
            <w:vAlign w:val="center"/>
          </w:tcPr>
          <w:p w14:paraId="5E5A5AF8" w14:textId="77777777" w:rsidR="00B328ED" w:rsidRDefault="00B328ED" w:rsidP="00B328ED">
            <w:pPr>
              <w:jc w:val="center"/>
              <w:rPr>
                <w:sz w:val="18"/>
                <w:szCs w:val="18"/>
              </w:rPr>
            </w:pPr>
            <w:r>
              <w:rPr>
                <w:sz w:val="18"/>
                <w:szCs w:val="18"/>
                <w:lang w:eastAsia="zh-CN"/>
              </w:rPr>
              <w:t>MD</w:t>
            </w:r>
          </w:p>
        </w:tc>
        <w:tc>
          <w:tcPr>
            <w:tcW w:w="922" w:type="dxa"/>
            <w:tcBorders>
              <w:top w:val="single" w:sz="4" w:space="0" w:color="auto"/>
              <w:left w:val="nil"/>
              <w:bottom w:val="single" w:sz="4" w:space="0" w:color="auto"/>
              <w:right w:val="nil"/>
            </w:tcBorders>
            <w:vAlign w:val="center"/>
          </w:tcPr>
          <w:p w14:paraId="4B60B82E"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58869F9D" w14:textId="77777777" w:rsidR="00B328ED" w:rsidRDefault="00B328ED" w:rsidP="00B328ED">
            <w:pPr>
              <w:jc w:val="center"/>
              <w:rPr>
                <w:sz w:val="18"/>
                <w:szCs w:val="18"/>
              </w:rPr>
            </w:pPr>
            <w:r>
              <w:rPr>
                <w:rFonts w:hint="eastAsia"/>
                <w:sz w:val="18"/>
                <w:szCs w:val="18"/>
                <w:lang w:eastAsia="zh-CN"/>
              </w:rPr>
              <w:t>#</w:t>
            </w:r>
          </w:p>
        </w:tc>
      </w:tr>
      <w:tr w:rsidR="00B328ED" w14:paraId="7B5BA58A" w14:textId="77777777" w:rsidTr="00B328ED">
        <w:trPr>
          <w:trHeight w:val="247"/>
          <w:jc w:val="center"/>
        </w:trPr>
        <w:tc>
          <w:tcPr>
            <w:tcW w:w="3042" w:type="dxa"/>
            <w:tcBorders>
              <w:top w:val="single" w:sz="4" w:space="0" w:color="auto"/>
              <w:left w:val="nil"/>
              <w:bottom w:val="single" w:sz="4" w:space="0" w:color="auto"/>
            </w:tcBorders>
            <w:vAlign w:val="center"/>
          </w:tcPr>
          <w:p w14:paraId="6821E759" w14:textId="77777777" w:rsidR="00B328ED" w:rsidRDefault="00B328ED" w:rsidP="00B328ED">
            <w:pPr>
              <w:jc w:val="both"/>
              <w:rPr>
                <w:sz w:val="18"/>
                <w:szCs w:val="18"/>
              </w:rPr>
            </w:pPr>
            <w:r>
              <w:t>eye and optic nerve*</w:t>
            </w:r>
          </w:p>
        </w:tc>
        <w:tc>
          <w:tcPr>
            <w:tcW w:w="935" w:type="dxa"/>
            <w:tcBorders>
              <w:top w:val="single" w:sz="4" w:space="0" w:color="auto"/>
              <w:bottom w:val="single" w:sz="4" w:space="0" w:color="auto"/>
            </w:tcBorders>
            <w:vAlign w:val="center"/>
          </w:tcPr>
          <w:p w14:paraId="77B53CE3"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7EEDBE75" w14:textId="77777777" w:rsidR="00B328ED" w:rsidRDefault="00B328ED" w:rsidP="00B328ED">
            <w:pPr>
              <w:jc w:val="center"/>
              <w:rPr>
                <w:sz w:val="18"/>
                <w:szCs w:val="18"/>
              </w:rPr>
            </w:pPr>
            <w:r>
              <w:rPr>
                <w:sz w:val="18"/>
                <w:szCs w:val="18"/>
              </w:rPr>
              <w:t>2.5%G</w:t>
            </w:r>
          </w:p>
        </w:tc>
        <w:tc>
          <w:tcPr>
            <w:tcW w:w="922" w:type="dxa"/>
            <w:tcBorders>
              <w:top w:val="single" w:sz="4" w:space="0" w:color="auto"/>
              <w:left w:val="nil"/>
              <w:bottom w:val="single" w:sz="4" w:space="0" w:color="auto"/>
              <w:right w:val="nil"/>
            </w:tcBorders>
            <w:vAlign w:val="center"/>
          </w:tcPr>
          <w:p w14:paraId="01B08139"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B5A1EC7" w14:textId="77777777" w:rsidR="00B328ED" w:rsidRDefault="00B328ED" w:rsidP="00B328ED">
            <w:pPr>
              <w:jc w:val="center"/>
              <w:rPr>
                <w:sz w:val="18"/>
                <w:szCs w:val="18"/>
              </w:rPr>
            </w:pPr>
            <w:r>
              <w:rPr>
                <w:rFonts w:hint="eastAsia"/>
                <w:sz w:val="18"/>
                <w:szCs w:val="18"/>
                <w:lang w:eastAsia="zh-CN"/>
              </w:rPr>
              <w:t>#</w:t>
            </w:r>
          </w:p>
        </w:tc>
      </w:tr>
      <w:tr w:rsidR="00B328ED" w14:paraId="49D1AC1F" w14:textId="77777777" w:rsidTr="00B328ED">
        <w:trPr>
          <w:trHeight w:val="264"/>
          <w:jc w:val="center"/>
        </w:trPr>
        <w:tc>
          <w:tcPr>
            <w:tcW w:w="3042" w:type="dxa"/>
            <w:tcBorders>
              <w:top w:val="single" w:sz="4" w:space="0" w:color="auto"/>
              <w:left w:val="nil"/>
              <w:bottom w:val="single" w:sz="4" w:space="0" w:color="auto"/>
            </w:tcBorders>
            <w:vAlign w:val="center"/>
          </w:tcPr>
          <w:p w14:paraId="05EA899C" w14:textId="77777777" w:rsidR="00B328ED" w:rsidRDefault="00B328ED" w:rsidP="00B328ED">
            <w:pPr>
              <w:jc w:val="both"/>
              <w:rPr>
                <w:sz w:val="18"/>
                <w:szCs w:val="18"/>
              </w:rPr>
            </w:pPr>
            <w:r>
              <w:t>esophagus</w:t>
            </w:r>
          </w:p>
        </w:tc>
        <w:tc>
          <w:tcPr>
            <w:tcW w:w="935" w:type="dxa"/>
            <w:tcBorders>
              <w:top w:val="single" w:sz="4" w:space="0" w:color="auto"/>
              <w:bottom w:val="single" w:sz="4" w:space="0" w:color="auto"/>
            </w:tcBorders>
            <w:vAlign w:val="center"/>
          </w:tcPr>
          <w:p w14:paraId="11ADDD7F"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561710F9"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4DF3175E"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01D4551B" w14:textId="77777777" w:rsidR="00B328ED" w:rsidRDefault="00B328ED" w:rsidP="00B328ED">
            <w:pPr>
              <w:jc w:val="center"/>
              <w:rPr>
                <w:sz w:val="18"/>
                <w:szCs w:val="18"/>
              </w:rPr>
            </w:pPr>
            <w:r>
              <w:rPr>
                <w:rFonts w:hint="eastAsia"/>
                <w:sz w:val="18"/>
                <w:szCs w:val="18"/>
                <w:lang w:eastAsia="zh-CN"/>
              </w:rPr>
              <w:t>#</w:t>
            </w:r>
          </w:p>
        </w:tc>
      </w:tr>
      <w:tr w:rsidR="00B328ED" w14:paraId="0F24DE10" w14:textId="77777777" w:rsidTr="00B328ED">
        <w:trPr>
          <w:trHeight w:val="264"/>
          <w:jc w:val="center"/>
        </w:trPr>
        <w:tc>
          <w:tcPr>
            <w:tcW w:w="3042" w:type="dxa"/>
            <w:tcBorders>
              <w:top w:val="single" w:sz="4" w:space="0" w:color="auto"/>
              <w:left w:val="nil"/>
              <w:bottom w:val="single" w:sz="4" w:space="0" w:color="auto"/>
            </w:tcBorders>
            <w:vAlign w:val="center"/>
          </w:tcPr>
          <w:p w14:paraId="0BC50DC4" w14:textId="77777777" w:rsidR="00B328ED" w:rsidRDefault="00B328ED" w:rsidP="00B328ED">
            <w:pPr>
              <w:jc w:val="both"/>
              <w:rPr>
                <w:sz w:val="18"/>
                <w:szCs w:val="18"/>
              </w:rPr>
            </w:pPr>
            <w:r>
              <w:t>harderian glands</w:t>
            </w:r>
          </w:p>
        </w:tc>
        <w:tc>
          <w:tcPr>
            <w:tcW w:w="935" w:type="dxa"/>
            <w:tcBorders>
              <w:top w:val="single" w:sz="4" w:space="0" w:color="auto"/>
              <w:bottom w:val="single" w:sz="4" w:space="0" w:color="auto"/>
            </w:tcBorders>
            <w:vAlign w:val="center"/>
          </w:tcPr>
          <w:p w14:paraId="21ADBCEC"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21355D5D"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74B7208"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44626E0E" w14:textId="77777777" w:rsidR="00B328ED" w:rsidRDefault="00B328ED" w:rsidP="00B328ED">
            <w:pPr>
              <w:jc w:val="center"/>
              <w:rPr>
                <w:sz w:val="18"/>
                <w:szCs w:val="18"/>
              </w:rPr>
            </w:pPr>
            <w:r>
              <w:rPr>
                <w:rFonts w:hint="eastAsia"/>
                <w:sz w:val="18"/>
                <w:szCs w:val="18"/>
                <w:lang w:eastAsia="zh-CN"/>
              </w:rPr>
              <w:t>#</w:t>
            </w:r>
          </w:p>
        </w:tc>
      </w:tr>
      <w:tr w:rsidR="00B328ED" w14:paraId="3A54EAE3" w14:textId="77777777" w:rsidTr="00B328ED">
        <w:trPr>
          <w:trHeight w:val="247"/>
          <w:jc w:val="center"/>
        </w:trPr>
        <w:tc>
          <w:tcPr>
            <w:tcW w:w="3042" w:type="dxa"/>
            <w:tcBorders>
              <w:top w:val="single" w:sz="4" w:space="0" w:color="auto"/>
              <w:left w:val="nil"/>
              <w:bottom w:val="single" w:sz="4" w:space="0" w:color="auto"/>
            </w:tcBorders>
            <w:vAlign w:val="center"/>
          </w:tcPr>
          <w:p w14:paraId="1467D086" w14:textId="77777777" w:rsidR="00B328ED" w:rsidRDefault="00B328ED" w:rsidP="00B328ED">
            <w:pPr>
              <w:jc w:val="both"/>
              <w:rPr>
                <w:sz w:val="18"/>
                <w:szCs w:val="18"/>
              </w:rPr>
            </w:pPr>
            <w:r>
              <w:t>heart</w:t>
            </w:r>
          </w:p>
        </w:tc>
        <w:tc>
          <w:tcPr>
            <w:tcW w:w="935" w:type="dxa"/>
            <w:tcBorders>
              <w:top w:val="single" w:sz="4" w:space="0" w:color="auto"/>
              <w:bottom w:val="single" w:sz="4" w:space="0" w:color="auto"/>
            </w:tcBorders>
            <w:vAlign w:val="center"/>
          </w:tcPr>
          <w:p w14:paraId="6DB76DCF"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30FC82D4"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6233D6C1"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9C29ED9" w14:textId="77777777" w:rsidR="00B328ED" w:rsidRDefault="00B328ED" w:rsidP="00B328ED">
            <w:pPr>
              <w:jc w:val="center"/>
              <w:rPr>
                <w:sz w:val="18"/>
                <w:szCs w:val="18"/>
              </w:rPr>
            </w:pPr>
            <w:r>
              <w:rPr>
                <w:rFonts w:hint="eastAsia"/>
                <w:sz w:val="18"/>
                <w:szCs w:val="18"/>
                <w:lang w:eastAsia="zh-CN"/>
              </w:rPr>
              <w:t>#</w:t>
            </w:r>
          </w:p>
        </w:tc>
      </w:tr>
      <w:tr w:rsidR="00B328ED" w14:paraId="7926F5E3" w14:textId="77777777" w:rsidTr="00B328ED">
        <w:trPr>
          <w:trHeight w:val="264"/>
          <w:jc w:val="center"/>
        </w:trPr>
        <w:tc>
          <w:tcPr>
            <w:tcW w:w="3042" w:type="dxa"/>
            <w:tcBorders>
              <w:top w:val="single" w:sz="4" w:space="0" w:color="auto"/>
              <w:left w:val="nil"/>
              <w:bottom w:val="single" w:sz="4" w:space="0" w:color="auto"/>
            </w:tcBorders>
            <w:vAlign w:val="center"/>
          </w:tcPr>
          <w:p w14:paraId="66C3CA46" w14:textId="77777777" w:rsidR="00B328ED" w:rsidRDefault="00B328ED" w:rsidP="00B328ED">
            <w:pPr>
              <w:jc w:val="both"/>
              <w:rPr>
                <w:sz w:val="18"/>
                <w:szCs w:val="18"/>
              </w:rPr>
            </w:pPr>
            <w:r>
              <w:t>kidney</w:t>
            </w:r>
          </w:p>
        </w:tc>
        <w:tc>
          <w:tcPr>
            <w:tcW w:w="935" w:type="dxa"/>
            <w:tcBorders>
              <w:top w:val="single" w:sz="4" w:space="0" w:color="auto"/>
              <w:bottom w:val="single" w:sz="4" w:space="0" w:color="auto"/>
            </w:tcBorders>
            <w:vAlign w:val="center"/>
          </w:tcPr>
          <w:p w14:paraId="0033C809"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5D8DA442"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DE37184"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39868848" w14:textId="77777777" w:rsidR="00B328ED" w:rsidRDefault="00B328ED" w:rsidP="00B328ED">
            <w:pPr>
              <w:jc w:val="center"/>
              <w:rPr>
                <w:sz w:val="18"/>
                <w:szCs w:val="18"/>
              </w:rPr>
            </w:pPr>
            <w:r>
              <w:rPr>
                <w:rFonts w:hint="eastAsia"/>
                <w:sz w:val="18"/>
                <w:szCs w:val="18"/>
                <w:lang w:eastAsia="zh-CN"/>
              </w:rPr>
              <w:t>#</w:t>
            </w:r>
          </w:p>
        </w:tc>
      </w:tr>
      <w:tr w:rsidR="00B328ED" w14:paraId="5B94CDF3" w14:textId="77777777" w:rsidTr="00B328ED">
        <w:trPr>
          <w:trHeight w:val="264"/>
          <w:jc w:val="center"/>
        </w:trPr>
        <w:tc>
          <w:tcPr>
            <w:tcW w:w="3042" w:type="dxa"/>
            <w:tcBorders>
              <w:top w:val="single" w:sz="4" w:space="0" w:color="auto"/>
              <w:left w:val="nil"/>
              <w:bottom w:val="single" w:sz="4" w:space="0" w:color="auto"/>
            </w:tcBorders>
            <w:vAlign w:val="center"/>
          </w:tcPr>
          <w:p w14:paraId="66B40D75" w14:textId="77777777" w:rsidR="00B328ED" w:rsidRDefault="00B328ED" w:rsidP="00B328ED">
            <w:pPr>
              <w:jc w:val="both"/>
              <w:rPr>
                <w:sz w:val="18"/>
                <w:szCs w:val="18"/>
              </w:rPr>
            </w:pPr>
            <w:r>
              <w:t>large intestine (colon)</w:t>
            </w:r>
          </w:p>
        </w:tc>
        <w:tc>
          <w:tcPr>
            <w:tcW w:w="935" w:type="dxa"/>
            <w:tcBorders>
              <w:top w:val="single" w:sz="4" w:space="0" w:color="auto"/>
              <w:bottom w:val="single" w:sz="4" w:space="0" w:color="auto"/>
            </w:tcBorders>
            <w:vAlign w:val="center"/>
          </w:tcPr>
          <w:p w14:paraId="2475356C"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3F8F23A3"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156EEEA"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2F188AE2" w14:textId="77777777" w:rsidR="00B328ED" w:rsidRDefault="00B328ED" w:rsidP="00B328ED">
            <w:pPr>
              <w:jc w:val="center"/>
              <w:rPr>
                <w:sz w:val="18"/>
                <w:szCs w:val="18"/>
              </w:rPr>
            </w:pPr>
            <w:r>
              <w:rPr>
                <w:rFonts w:hint="eastAsia"/>
                <w:sz w:val="18"/>
                <w:szCs w:val="18"/>
                <w:lang w:eastAsia="zh-CN"/>
              </w:rPr>
              <w:t>#</w:t>
            </w:r>
          </w:p>
        </w:tc>
      </w:tr>
      <w:tr w:rsidR="00B328ED" w14:paraId="6AF95858" w14:textId="77777777" w:rsidTr="00B328ED">
        <w:trPr>
          <w:trHeight w:val="247"/>
          <w:jc w:val="center"/>
        </w:trPr>
        <w:tc>
          <w:tcPr>
            <w:tcW w:w="3042" w:type="dxa"/>
            <w:tcBorders>
              <w:top w:val="single" w:sz="4" w:space="0" w:color="auto"/>
              <w:left w:val="nil"/>
              <w:bottom w:val="single" w:sz="4" w:space="0" w:color="auto"/>
            </w:tcBorders>
            <w:vAlign w:val="center"/>
          </w:tcPr>
          <w:p w14:paraId="76ADD8E9" w14:textId="77777777" w:rsidR="00B328ED" w:rsidRDefault="00B328ED" w:rsidP="00B328ED">
            <w:pPr>
              <w:jc w:val="both"/>
              <w:rPr>
                <w:sz w:val="18"/>
                <w:szCs w:val="18"/>
              </w:rPr>
            </w:pPr>
            <w:r>
              <w:t>large intestine (cecum)</w:t>
            </w:r>
          </w:p>
        </w:tc>
        <w:tc>
          <w:tcPr>
            <w:tcW w:w="935" w:type="dxa"/>
            <w:tcBorders>
              <w:top w:val="single" w:sz="4" w:space="0" w:color="auto"/>
              <w:bottom w:val="single" w:sz="4" w:space="0" w:color="auto"/>
            </w:tcBorders>
            <w:vAlign w:val="center"/>
          </w:tcPr>
          <w:p w14:paraId="06676998"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484AA4F0"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2A67848"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7614DFA" w14:textId="77777777" w:rsidR="00B328ED" w:rsidRDefault="00B328ED" w:rsidP="00B328ED">
            <w:pPr>
              <w:jc w:val="center"/>
              <w:rPr>
                <w:sz w:val="18"/>
                <w:szCs w:val="18"/>
              </w:rPr>
            </w:pPr>
            <w:r>
              <w:rPr>
                <w:rFonts w:hint="eastAsia"/>
                <w:sz w:val="18"/>
                <w:szCs w:val="18"/>
                <w:lang w:eastAsia="zh-CN"/>
              </w:rPr>
              <w:t>#</w:t>
            </w:r>
          </w:p>
        </w:tc>
      </w:tr>
      <w:tr w:rsidR="00B328ED" w14:paraId="29081281" w14:textId="77777777" w:rsidTr="00B328ED">
        <w:trPr>
          <w:trHeight w:val="264"/>
          <w:jc w:val="center"/>
        </w:trPr>
        <w:tc>
          <w:tcPr>
            <w:tcW w:w="3042" w:type="dxa"/>
            <w:tcBorders>
              <w:top w:val="single" w:sz="4" w:space="0" w:color="auto"/>
              <w:left w:val="nil"/>
              <w:bottom w:val="single" w:sz="4" w:space="0" w:color="auto"/>
            </w:tcBorders>
            <w:vAlign w:val="center"/>
          </w:tcPr>
          <w:p w14:paraId="7ABF10CA" w14:textId="77777777" w:rsidR="00B328ED" w:rsidRDefault="00B328ED" w:rsidP="00B328ED">
            <w:pPr>
              <w:jc w:val="both"/>
              <w:rPr>
                <w:sz w:val="18"/>
                <w:szCs w:val="18"/>
              </w:rPr>
            </w:pPr>
            <w:r>
              <w:t>large intestine (rectum)</w:t>
            </w:r>
          </w:p>
        </w:tc>
        <w:tc>
          <w:tcPr>
            <w:tcW w:w="935" w:type="dxa"/>
            <w:tcBorders>
              <w:top w:val="single" w:sz="4" w:space="0" w:color="auto"/>
              <w:bottom w:val="single" w:sz="4" w:space="0" w:color="auto"/>
            </w:tcBorders>
            <w:vAlign w:val="center"/>
          </w:tcPr>
          <w:p w14:paraId="0EF41A16"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4599657B"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28D6EEF6"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589A0D96" w14:textId="77777777" w:rsidR="00B328ED" w:rsidRDefault="00B328ED" w:rsidP="00B328ED">
            <w:pPr>
              <w:jc w:val="center"/>
              <w:rPr>
                <w:sz w:val="18"/>
                <w:szCs w:val="18"/>
              </w:rPr>
            </w:pPr>
            <w:r>
              <w:rPr>
                <w:rFonts w:hint="eastAsia"/>
                <w:sz w:val="18"/>
                <w:szCs w:val="18"/>
                <w:lang w:eastAsia="zh-CN"/>
              </w:rPr>
              <w:t>#</w:t>
            </w:r>
          </w:p>
        </w:tc>
      </w:tr>
      <w:tr w:rsidR="00B328ED" w14:paraId="0E323048" w14:textId="77777777" w:rsidTr="00B328ED">
        <w:trPr>
          <w:trHeight w:val="264"/>
          <w:jc w:val="center"/>
        </w:trPr>
        <w:tc>
          <w:tcPr>
            <w:tcW w:w="3042" w:type="dxa"/>
            <w:tcBorders>
              <w:top w:val="single" w:sz="4" w:space="0" w:color="auto"/>
              <w:left w:val="nil"/>
              <w:bottom w:val="single" w:sz="4" w:space="0" w:color="auto"/>
            </w:tcBorders>
            <w:vAlign w:val="center"/>
          </w:tcPr>
          <w:p w14:paraId="35BA9EA1" w14:textId="77777777" w:rsidR="00B328ED" w:rsidRDefault="00B328ED" w:rsidP="00B328ED">
            <w:pPr>
              <w:jc w:val="both"/>
              <w:rPr>
                <w:rFonts w:hint="eastAsia"/>
                <w:sz w:val="18"/>
                <w:szCs w:val="18"/>
                <w:lang w:eastAsia="zh-CN"/>
              </w:rPr>
            </w:pPr>
            <w:r>
              <w:t>Liver with gallbladder</w:t>
            </w:r>
          </w:p>
        </w:tc>
        <w:tc>
          <w:tcPr>
            <w:tcW w:w="935" w:type="dxa"/>
            <w:tcBorders>
              <w:top w:val="single" w:sz="4" w:space="0" w:color="auto"/>
              <w:bottom w:val="single" w:sz="4" w:space="0" w:color="auto"/>
            </w:tcBorders>
            <w:vAlign w:val="center"/>
          </w:tcPr>
          <w:p w14:paraId="53645011"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4A608440"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3BE708D"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BF0C13D" w14:textId="77777777" w:rsidR="00B328ED" w:rsidRDefault="00B328ED" w:rsidP="00B328ED">
            <w:pPr>
              <w:jc w:val="center"/>
              <w:rPr>
                <w:sz w:val="18"/>
                <w:szCs w:val="18"/>
              </w:rPr>
            </w:pPr>
            <w:r>
              <w:rPr>
                <w:rFonts w:hint="eastAsia"/>
                <w:sz w:val="18"/>
                <w:szCs w:val="18"/>
                <w:lang w:eastAsia="zh-CN"/>
              </w:rPr>
              <w:t>#</w:t>
            </w:r>
          </w:p>
        </w:tc>
      </w:tr>
      <w:tr w:rsidR="00B328ED" w14:paraId="0D5983E9" w14:textId="77777777" w:rsidTr="00B328ED">
        <w:trPr>
          <w:trHeight w:val="247"/>
          <w:jc w:val="center"/>
        </w:trPr>
        <w:tc>
          <w:tcPr>
            <w:tcW w:w="3042" w:type="dxa"/>
            <w:tcBorders>
              <w:top w:val="single" w:sz="4" w:space="0" w:color="auto"/>
              <w:left w:val="nil"/>
              <w:bottom w:val="single" w:sz="4" w:space="0" w:color="auto"/>
            </w:tcBorders>
            <w:vAlign w:val="center"/>
          </w:tcPr>
          <w:p w14:paraId="3672FC05" w14:textId="77777777" w:rsidR="00B328ED" w:rsidRDefault="00B328ED" w:rsidP="00B328ED">
            <w:pPr>
              <w:jc w:val="both"/>
              <w:rPr>
                <w:sz w:val="18"/>
                <w:szCs w:val="18"/>
              </w:rPr>
            </w:pPr>
            <w:r>
              <w:t>lungs and main bronchi</w:t>
            </w:r>
          </w:p>
        </w:tc>
        <w:tc>
          <w:tcPr>
            <w:tcW w:w="935" w:type="dxa"/>
            <w:tcBorders>
              <w:top w:val="single" w:sz="4" w:space="0" w:color="auto"/>
              <w:bottom w:val="single" w:sz="4" w:space="0" w:color="auto"/>
            </w:tcBorders>
            <w:vAlign w:val="center"/>
          </w:tcPr>
          <w:p w14:paraId="743B18B1" w14:textId="77777777" w:rsidR="00B328ED" w:rsidRDefault="00B328ED" w:rsidP="00B328ED">
            <w:pPr>
              <w:jc w:val="center"/>
              <w:rPr>
                <w:sz w:val="18"/>
                <w:szCs w:val="18"/>
              </w:rPr>
            </w:pPr>
            <w:r>
              <w:rPr>
                <w:sz w:val="18"/>
                <w:szCs w:val="18"/>
                <w:lang w:eastAsia="zh-CN"/>
              </w:rPr>
              <w:t>√</w:t>
            </w:r>
          </w:p>
        </w:tc>
        <w:tc>
          <w:tcPr>
            <w:tcW w:w="1383" w:type="dxa"/>
            <w:tcBorders>
              <w:top w:val="single" w:sz="4" w:space="0" w:color="auto"/>
              <w:bottom w:val="single" w:sz="4" w:space="0" w:color="auto"/>
              <w:right w:val="nil"/>
            </w:tcBorders>
            <w:vAlign w:val="center"/>
          </w:tcPr>
          <w:p w14:paraId="1A2F2614"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DD496C6"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FA8E4AB" w14:textId="77777777" w:rsidR="00B328ED" w:rsidRDefault="00B328ED" w:rsidP="00B328ED">
            <w:pPr>
              <w:jc w:val="center"/>
              <w:rPr>
                <w:sz w:val="18"/>
                <w:szCs w:val="18"/>
              </w:rPr>
            </w:pPr>
            <w:r>
              <w:rPr>
                <w:rFonts w:hint="eastAsia"/>
                <w:sz w:val="18"/>
                <w:szCs w:val="18"/>
                <w:lang w:eastAsia="zh-CN"/>
              </w:rPr>
              <w:t>#</w:t>
            </w:r>
          </w:p>
        </w:tc>
      </w:tr>
      <w:tr w:rsidR="00B328ED" w14:paraId="04743763" w14:textId="77777777" w:rsidTr="00B328ED">
        <w:trPr>
          <w:trHeight w:val="264"/>
          <w:jc w:val="center"/>
        </w:trPr>
        <w:tc>
          <w:tcPr>
            <w:tcW w:w="3042" w:type="dxa"/>
            <w:tcBorders>
              <w:top w:val="single" w:sz="4" w:space="0" w:color="auto"/>
              <w:left w:val="nil"/>
              <w:bottom w:val="single" w:sz="4" w:space="0" w:color="auto"/>
            </w:tcBorders>
            <w:vAlign w:val="center"/>
          </w:tcPr>
          <w:p w14:paraId="3E264B00" w14:textId="77777777" w:rsidR="00B328ED" w:rsidRDefault="00B328ED" w:rsidP="00B328ED">
            <w:pPr>
              <w:jc w:val="both"/>
              <w:rPr>
                <w:sz w:val="18"/>
                <w:szCs w:val="18"/>
              </w:rPr>
            </w:pPr>
            <w:r>
              <w:t>lymph node (Mesentery)</w:t>
            </w:r>
          </w:p>
        </w:tc>
        <w:tc>
          <w:tcPr>
            <w:tcW w:w="935" w:type="dxa"/>
            <w:tcBorders>
              <w:top w:val="single" w:sz="4" w:space="0" w:color="auto"/>
              <w:bottom w:val="single" w:sz="4" w:space="0" w:color="auto"/>
            </w:tcBorders>
            <w:vAlign w:val="center"/>
          </w:tcPr>
          <w:p w14:paraId="5E18122B"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5C7DED49"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6604F869"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7BACDC0" w14:textId="77777777" w:rsidR="00B328ED" w:rsidRDefault="00B328ED" w:rsidP="00B328ED">
            <w:pPr>
              <w:jc w:val="center"/>
              <w:rPr>
                <w:sz w:val="18"/>
                <w:szCs w:val="18"/>
              </w:rPr>
            </w:pPr>
            <w:r>
              <w:rPr>
                <w:rFonts w:hint="eastAsia"/>
                <w:sz w:val="18"/>
                <w:szCs w:val="18"/>
                <w:lang w:eastAsia="zh-CN"/>
              </w:rPr>
              <w:t>#</w:t>
            </w:r>
          </w:p>
        </w:tc>
      </w:tr>
      <w:tr w:rsidR="00B328ED" w14:paraId="23E79E7A" w14:textId="77777777" w:rsidTr="00B328ED">
        <w:trPr>
          <w:trHeight w:val="247"/>
          <w:jc w:val="center"/>
        </w:trPr>
        <w:tc>
          <w:tcPr>
            <w:tcW w:w="3042" w:type="dxa"/>
            <w:tcBorders>
              <w:top w:val="single" w:sz="4" w:space="0" w:color="auto"/>
              <w:left w:val="nil"/>
              <w:bottom w:val="single" w:sz="4" w:space="0" w:color="auto"/>
            </w:tcBorders>
            <w:vAlign w:val="center"/>
          </w:tcPr>
          <w:p w14:paraId="797D955F" w14:textId="77777777" w:rsidR="00B328ED" w:rsidRDefault="00B328ED" w:rsidP="00B328ED">
            <w:pPr>
              <w:jc w:val="both"/>
              <w:rPr>
                <w:sz w:val="18"/>
                <w:szCs w:val="18"/>
              </w:rPr>
            </w:pPr>
            <w:r>
              <w:t>pancreas</w:t>
            </w:r>
          </w:p>
        </w:tc>
        <w:tc>
          <w:tcPr>
            <w:tcW w:w="935" w:type="dxa"/>
            <w:tcBorders>
              <w:top w:val="single" w:sz="4" w:space="0" w:color="auto"/>
              <w:bottom w:val="single" w:sz="4" w:space="0" w:color="auto"/>
            </w:tcBorders>
            <w:vAlign w:val="center"/>
          </w:tcPr>
          <w:p w14:paraId="61D8577E"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43A171E3"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239AE7A2"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08B50759" w14:textId="77777777" w:rsidR="00B328ED" w:rsidRDefault="00B328ED" w:rsidP="00B328ED">
            <w:pPr>
              <w:jc w:val="center"/>
              <w:rPr>
                <w:sz w:val="18"/>
                <w:szCs w:val="18"/>
              </w:rPr>
            </w:pPr>
            <w:r>
              <w:rPr>
                <w:rFonts w:hint="eastAsia"/>
                <w:sz w:val="18"/>
                <w:szCs w:val="18"/>
                <w:lang w:eastAsia="zh-CN"/>
              </w:rPr>
              <w:t>#</w:t>
            </w:r>
          </w:p>
        </w:tc>
      </w:tr>
      <w:tr w:rsidR="00B328ED" w14:paraId="1F589463" w14:textId="77777777" w:rsidTr="00B328ED">
        <w:trPr>
          <w:trHeight w:val="247"/>
          <w:jc w:val="center"/>
        </w:trPr>
        <w:tc>
          <w:tcPr>
            <w:tcW w:w="3042" w:type="dxa"/>
            <w:tcBorders>
              <w:top w:val="single" w:sz="4" w:space="0" w:color="auto"/>
              <w:left w:val="nil"/>
              <w:bottom w:val="single" w:sz="4" w:space="0" w:color="auto"/>
            </w:tcBorders>
            <w:vAlign w:val="center"/>
          </w:tcPr>
          <w:p w14:paraId="07B76A31" w14:textId="77777777" w:rsidR="00B328ED" w:rsidRDefault="00B328ED" w:rsidP="00B328ED">
            <w:pPr>
              <w:jc w:val="both"/>
              <w:rPr>
                <w:rFonts w:hint="eastAsia"/>
                <w:sz w:val="18"/>
                <w:szCs w:val="18"/>
                <w:lang w:eastAsia="zh-CN"/>
              </w:rPr>
            </w:pPr>
            <w:r>
              <w:t>prostate gland</w:t>
            </w:r>
          </w:p>
        </w:tc>
        <w:tc>
          <w:tcPr>
            <w:tcW w:w="935" w:type="dxa"/>
            <w:tcBorders>
              <w:top w:val="single" w:sz="4" w:space="0" w:color="auto"/>
              <w:bottom w:val="single" w:sz="4" w:space="0" w:color="auto"/>
            </w:tcBorders>
            <w:vAlign w:val="center"/>
          </w:tcPr>
          <w:p w14:paraId="2271924D" w14:textId="77777777" w:rsidR="00B328ED" w:rsidRDefault="00B328ED" w:rsidP="00B328ED">
            <w:pPr>
              <w:jc w:val="center"/>
              <w:rPr>
                <w:sz w:val="18"/>
                <w:szCs w:val="18"/>
              </w:rPr>
            </w:pPr>
            <w:r>
              <w:rPr>
                <w:sz w:val="18"/>
                <w:szCs w:val="18"/>
                <w:lang w:eastAsia="zh-CN"/>
              </w:rPr>
              <w:t>√</w:t>
            </w:r>
          </w:p>
        </w:tc>
        <w:tc>
          <w:tcPr>
            <w:tcW w:w="1383" w:type="dxa"/>
            <w:tcBorders>
              <w:top w:val="single" w:sz="4" w:space="0" w:color="auto"/>
              <w:bottom w:val="single" w:sz="4" w:space="0" w:color="auto"/>
              <w:right w:val="nil"/>
            </w:tcBorders>
            <w:vAlign w:val="center"/>
          </w:tcPr>
          <w:p w14:paraId="7A0645CC"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5DB09B4B"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5B427392" w14:textId="77777777" w:rsidR="00B328ED" w:rsidRDefault="00B328ED" w:rsidP="00B328ED">
            <w:pPr>
              <w:jc w:val="center"/>
              <w:rPr>
                <w:sz w:val="18"/>
                <w:szCs w:val="18"/>
              </w:rPr>
            </w:pPr>
            <w:r>
              <w:rPr>
                <w:rFonts w:hint="eastAsia"/>
                <w:sz w:val="18"/>
                <w:szCs w:val="18"/>
                <w:lang w:eastAsia="zh-CN"/>
              </w:rPr>
              <w:t>#</w:t>
            </w:r>
          </w:p>
        </w:tc>
      </w:tr>
      <w:tr w:rsidR="00B328ED" w14:paraId="1A2F576A" w14:textId="77777777" w:rsidTr="00B328ED">
        <w:trPr>
          <w:trHeight w:val="264"/>
          <w:jc w:val="center"/>
        </w:trPr>
        <w:tc>
          <w:tcPr>
            <w:tcW w:w="3042" w:type="dxa"/>
            <w:tcBorders>
              <w:top w:val="single" w:sz="4" w:space="0" w:color="auto"/>
              <w:left w:val="nil"/>
              <w:bottom w:val="single" w:sz="4" w:space="0" w:color="auto"/>
            </w:tcBorders>
            <w:vAlign w:val="center"/>
          </w:tcPr>
          <w:p w14:paraId="24416678" w14:textId="77777777" w:rsidR="00B328ED" w:rsidRDefault="00B328ED" w:rsidP="00B328ED">
            <w:pPr>
              <w:jc w:val="both"/>
              <w:rPr>
                <w:sz w:val="18"/>
                <w:szCs w:val="18"/>
              </w:rPr>
            </w:pPr>
            <w:r>
              <w:t>pituitary</w:t>
            </w:r>
          </w:p>
        </w:tc>
        <w:tc>
          <w:tcPr>
            <w:tcW w:w="935" w:type="dxa"/>
            <w:tcBorders>
              <w:top w:val="single" w:sz="4" w:space="0" w:color="auto"/>
              <w:bottom w:val="single" w:sz="4" w:space="0" w:color="auto"/>
            </w:tcBorders>
            <w:vAlign w:val="center"/>
          </w:tcPr>
          <w:p w14:paraId="7C04CE86"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5F73EF14"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DA7AA9A"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2448DC12" w14:textId="77777777" w:rsidR="00B328ED" w:rsidRDefault="00B328ED" w:rsidP="00B328ED">
            <w:pPr>
              <w:jc w:val="center"/>
              <w:rPr>
                <w:sz w:val="18"/>
                <w:szCs w:val="18"/>
              </w:rPr>
            </w:pPr>
            <w:r>
              <w:rPr>
                <w:rFonts w:hint="eastAsia"/>
                <w:sz w:val="18"/>
                <w:szCs w:val="18"/>
                <w:lang w:eastAsia="zh-CN"/>
              </w:rPr>
              <w:t>#</w:t>
            </w:r>
          </w:p>
        </w:tc>
      </w:tr>
      <w:tr w:rsidR="00B328ED" w14:paraId="16FF55C3" w14:textId="77777777" w:rsidTr="00B328ED">
        <w:trPr>
          <w:trHeight w:val="247"/>
          <w:jc w:val="center"/>
        </w:trPr>
        <w:tc>
          <w:tcPr>
            <w:tcW w:w="3042" w:type="dxa"/>
            <w:tcBorders>
              <w:top w:val="single" w:sz="4" w:space="0" w:color="auto"/>
              <w:left w:val="nil"/>
              <w:bottom w:val="single" w:sz="4" w:space="0" w:color="auto"/>
            </w:tcBorders>
            <w:vAlign w:val="center"/>
          </w:tcPr>
          <w:p w14:paraId="25392BD1" w14:textId="77777777" w:rsidR="00B328ED" w:rsidRDefault="00B328ED" w:rsidP="00B328ED">
            <w:pPr>
              <w:jc w:val="both"/>
              <w:rPr>
                <w:sz w:val="18"/>
                <w:szCs w:val="18"/>
              </w:rPr>
            </w:pPr>
            <w:r>
              <w:t>Sciatic nerve</w:t>
            </w:r>
          </w:p>
        </w:tc>
        <w:tc>
          <w:tcPr>
            <w:tcW w:w="935" w:type="dxa"/>
            <w:tcBorders>
              <w:top w:val="single" w:sz="4" w:space="0" w:color="auto"/>
              <w:bottom w:val="single" w:sz="4" w:space="0" w:color="auto"/>
            </w:tcBorders>
            <w:vAlign w:val="center"/>
          </w:tcPr>
          <w:p w14:paraId="1D52AE25"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07EF8448"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0AB27289"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AE0A3F8" w14:textId="77777777" w:rsidR="00B328ED" w:rsidRDefault="00B328ED" w:rsidP="00B328ED">
            <w:pPr>
              <w:jc w:val="center"/>
              <w:rPr>
                <w:sz w:val="18"/>
                <w:szCs w:val="18"/>
              </w:rPr>
            </w:pPr>
            <w:r>
              <w:rPr>
                <w:rFonts w:hint="eastAsia"/>
                <w:sz w:val="18"/>
                <w:szCs w:val="18"/>
                <w:lang w:eastAsia="zh-CN"/>
              </w:rPr>
              <w:t>#</w:t>
            </w:r>
          </w:p>
        </w:tc>
      </w:tr>
      <w:tr w:rsidR="00B328ED" w14:paraId="4437FF4A" w14:textId="77777777" w:rsidTr="00B328ED">
        <w:trPr>
          <w:trHeight w:val="264"/>
          <w:jc w:val="center"/>
        </w:trPr>
        <w:tc>
          <w:tcPr>
            <w:tcW w:w="3042" w:type="dxa"/>
            <w:tcBorders>
              <w:top w:val="single" w:sz="4" w:space="0" w:color="auto"/>
              <w:left w:val="nil"/>
              <w:bottom w:val="single" w:sz="4" w:space="0" w:color="auto"/>
            </w:tcBorders>
            <w:vAlign w:val="center"/>
          </w:tcPr>
          <w:p w14:paraId="5C89C645" w14:textId="77777777" w:rsidR="00B328ED" w:rsidRDefault="00B328ED" w:rsidP="00B328ED">
            <w:pPr>
              <w:jc w:val="both"/>
              <w:rPr>
                <w:sz w:val="18"/>
                <w:szCs w:val="18"/>
              </w:rPr>
            </w:pPr>
            <w:r>
              <w:t>Skeletal muscle (biceps femoris)</w:t>
            </w:r>
          </w:p>
        </w:tc>
        <w:tc>
          <w:tcPr>
            <w:tcW w:w="935" w:type="dxa"/>
            <w:tcBorders>
              <w:top w:val="single" w:sz="4" w:space="0" w:color="auto"/>
              <w:bottom w:val="single" w:sz="4" w:space="0" w:color="auto"/>
            </w:tcBorders>
            <w:vAlign w:val="center"/>
          </w:tcPr>
          <w:p w14:paraId="2C883A41"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012FACC1"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D031320"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1A017025" w14:textId="77777777" w:rsidR="00B328ED" w:rsidRDefault="00B328ED" w:rsidP="00B328ED">
            <w:pPr>
              <w:jc w:val="center"/>
              <w:rPr>
                <w:sz w:val="18"/>
                <w:szCs w:val="18"/>
              </w:rPr>
            </w:pPr>
            <w:r>
              <w:rPr>
                <w:rFonts w:hint="eastAsia"/>
                <w:sz w:val="18"/>
                <w:szCs w:val="18"/>
                <w:lang w:eastAsia="zh-CN"/>
              </w:rPr>
              <w:t>#</w:t>
            </w:r>
          </w:p>
        </w:tc>
      </w:tr>
      <w:tr w:rsidR="00B328ED" w14:paraId="3C05BAA1" w14:textId="77777777" w:rsidTr="00B328ED">
        <w:trPr>
          <w:trHeight w:val="264"/>
          <w:jc w:val="center"/>
        </w:trPr>
        <w:tc>
          <w:tcPr>
            <w:tcW w:w="3042" w:type="dxa"/>
            <w:tcBorders>
              <w:top w:val="single" w:sz="4" w:space="0" w:color="auto"/>
              <w:left w:val="nil"/>
              <w:bottom w:val="single" w:sz="4" w:space="0" w:color="auto"/>
            </w:tcBorders>
            <w:vAlign w:val="center"/>
          </w:tcPr>
          <w:p w14:paraId="334992C9" w14:textId="77777777" w:rsidR="00B328ED" w:rsidRDefault="00B328ED" w:rsidP="00B328ED">
            <w:pPr>
              <w:jc w:val="both"/>
              <w:rPr>
                <w:sz w:val="18"/>
                <w:szCs w:val="18"/>
              </w:rPr>
            </w:pPr>
            <w:r>
              <w:t>spleen</w:t>
            </w:r>
          </w:p>
        </w:tc>
        <w:tc>
          <w:tcPr>
            <w:tcW w:w="935" w:type="dxa"/>
            <w:tcBorders>
              <w:top w:val="single" w:sz="4" w:space="0" w:color="auto"/>
              <w:bottom w:val="single" w:sz="4" w:space="0" w:color="auto"/>
            </w:tcBorders>
            <w:vAlign w:val="center"/>
          </w:tcPr>
          <w:p w14:paraId="28910389"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right w:val="nil"/>
            </w:tcBorders>
            <w:vAlign w:val="center"/>
          </w:tcPr>
          <w:p w14:paraId="5E41626E"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0D69F0A1"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3440FBB9" w14:textId="77777777" w:rsidR="00B328ED" w:rsidRDefault="00B328ED" w:rsidP="00B328ED">
            <w:pPr>
              <w:jc w:val="center"/>
              <w:rPr>
                <w:sz w:val="18"/>
                <w:szCs w:val="18"/>
              </w:rPr>
            </w:pPr>
            <w:r>
              <w:rPr>
                <w:rFonts w:hint="eastAsia"/>
                <w:sz w:val="18"/>
                <w:szCs w:val="18"/>
                <w:lang w:eastAsia="zh-CN"/>
              </w:rPr>
              <w:t>#</w:t>
            </w:r>
          </w:p>
        </w:tc>
      </w:tr>
      <w:tr w:rsidR="00B328ED" w14:paraId="7D426C1F" w14:textId="77777777" w:rsidTr="00B328ED">
        <w:trPr>
          <w:trHeight w:val="247"/>
          <w:jc w:val="center"/>
        </w:trPr>
        <w:tc>
          <w:tcPr>
            <w:tcW w:w="3042" w:type="dxa"/>
            <w:tcBorders>
              <w:top w:val="single" w:sz="4" w:space="0" w:color="auto"/>
              <w:left w:val="nil"/>
              <w:bottom w:val="single" w:sz="4" w:space="0" w:color="auto"/>
            </w:tcBorders>
            <w:vAlign w:val="center"/>
          </w:tcPr>
          <w:p w14:paraId="42D584D6" w14:textId="77777777" w:rsidR="00B328ED" w:rsidRDefault="00B328ED" w:rsidP="00B328ED">
            <w:pPr>
              <w:jc w:val="both"/>
              <w:rPr>
                <w:sz w:val="18"/>
                <w:szCs w:val="18"/>
              </w:rPr>
            </w:pPr>
            <w:r>
              <w:t>Stomach</w:t>
            </w:r>
          </w:p>
        </w:tc>
        <w:tc>
          <w:tcPr>
            <w:tcW w:w="935" w:type="dxa"/>
            <w:tcBorders>
              <w:top w:val="single" w:sz="4" w:space="0" w:color="auto"/>
              <w:bottom w:val="single" w:sz="4" w:space="0" w:color="auto"/>
            </w:tcBorders>
            <w:vAlign w:val="center"/>
          </w:tcPr>
          <w:p w14:paraId="1455D11F"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3B4461C3"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496744F7"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19CD8A61" w14:textId="77777777" w:rsidR="00B328ED" w:rsidRDefault="00B328ED" w:rsidP="00B328ED">
            <w:pPr>
              <w:jc w:val="center"/>
              <w:rPr>
                <w:sz w:val="18"/>
                <w:szCs w:val="18"/>
              </w:rPr>
            </w:pPr>
            <w:r>
              <w:rPr>
                <w:rFonts w:hint="eastAsia"/>
                <w:sz w:val="18"/>
                <w:szCs w:val="18"/>
                <w:lang w:eastAsia="zh-CN"/>
              </w:rPr>
              <w:t>#</w:t>
            </w:r>
          </w:p>
        </w:tc>
      </w:tr>
      <w:tr w:rsidR="00B328ED" w14:paraId="76C57B56" w14:textId="77777777" w:rsidTr="00B328ED">
        <w:trPr>
          <w:trHeight w:val="264"/>
          <w:jc w:val="center"/>
        </w:trPr>
        <w:tc>
          <w:tcPr>
            <w:tcW w:w="3042" w:type="dxa"/>
            <w:tcBorders>
              <w:top w:val="single" w:sz="4" w:space="0" w:color="auto"/>
              <w:left w:val="nil"/>
              <w:bottom w:val="single" w:sz="4" w:space="0" w:color="auto"/>
            </w:tcBorders>
            <w:vAlign w:val="center"/>
          </w:tcPr>
          <w:p w14:paraId="783AED00" w14:textId="77777777" w:rsidR="00B328ED" w:rsidRDefault="00B328ED" w:rsidP="00B328ED">
            <w:pPr>
              <w:jc w:val="both"/>
              <w:rPr>
                <w:sz w:val="18"/>
                <w:szCs w:val="18"/>
              </w:rPr>
            </w:pPr>
            <w:r>
              <w:t>small intestine (duodenum)</w:t>
            </w:r>
          </w:p>
        </w:tc>
        <w:tc>
          <w:tcPr>
            <w:tcW w:w="935" w:type="dxa"/>
            <w:tcBorders>
              <w:top w:val="single" w:sz="4" w:space="0" w:color="auto"/>
              <w:bottom w:val="single" w:sz="4" w:space="0" w:color="auto"/>
            </w:tcBorders>
            <w:vAlign w:val="center"/>
          </w:tcPr>
          <w:p w14:paraId="07A31011"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15AC016B"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02BF23EA"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9D18AC4" w14:textId="77777777" w:rsidR="00B328ED" w:rsidRDefault="00B328ED" w:rsidP="00B328ED">
            <w:pPr>
              <w:jc w:val="center"/>
              <w:rPr>
                <w:sz w:val="18"/>
                <w:szCs w:val="18"/>
              </w:rPr>
            </w:pPr>
            <w:r>
              <w:rPr>
                <w:rFonts w:hint="eastAsia"/>
                <w:sz w:val="18"/>
                <w:szCs w:val="18"/>
                <w:lang w:eastAsia="zh-CN"/>
              </w:rPr>
              <w:t>#</w:t>
            </w:r>
          </w:p>
        </w:tc>
      </w:tr>
      <w:tr w:rsidR="00B328ED" w14:paraId="0961B599" w14:textId="77777777" w:rsidTr="00B328ED">
        <w:trPr>
          <w:trHeight w:val="264"/>
          <w:jc w:val="center"/>
        </w:trPr>
        <w:tc>
          <w:tcPr>
            <w:tcW w:w="3042" w:type="dxa"/>
            <w:tcBorders>
              <w:top w:val="single" w:sz="4" w:space="0" w:color="auto"/>
              <w:left w:val="nil"/>
              <w:bottom w:val="single" w:sz="4" w:space="0" w:color="auto"/>
            </w:tcBorders>
            <w:vAlign w:val="center"/>
          </w:tcPr>
          <w:p w14:paraId="11198602" w14:textId="77777777" w:rsidR="00B328ED" w:rsidRDefault="00B328ED" w:rsidP="00B328ED">
            <w:pPr>
              <w:jc w:val="both"/>
              <w:rPr>
                <w:sz w:val="18"/>
                <w:szCs w:val="18"/>
              </w:rPr>
            </w:pPr>
            <w:r>
              <w:t>small intestine (jejunum)</w:t>
            </w:r>
          </w:p>
        </w:tc>
        <w:tc>
          <w:tcPr>
            <w:tcW w:w="935" w:type="dxa"/>
            <w:tcBorders>
              <w:top w:val="single" w:sz="4" w:space="0" w:color="auto"/>
              <w:bottom w:val="single" w:sz="4" w:space="0" w:color="auto"/>
            </w:tcBorders>
            <w:vAlign w:val="center"/>
          </w:tcPr>
          <w:p w14:paraId="1B36C6A2"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1F6EE868"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7CD6900E"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4E6164B8" w14:textId="77777777" w:rsidR="00B328ED" w:rsidRDefault="00B328ED" w:rsidP="00B328ED">
            <w:pPr>
              <w:jc w:val="center"/>
              <w:rPr>
                <w:sz w:val="18"/>
                <w:szCs w:val="18"/>
              </w:rPr>
            </w:pPr>
            <w:r>
              <w:rPr>
                <w:rFonts w:hint="eastAsia"/>
                <w:sz w:val="18"/>
                <w:szCs w:val="18"/>
                <w:lang w:eastAsia="zh-CN"/>
              </w:rPr>
              <w:t>#</w:t>
            </w:r>
          </w:p>
        </w:tc>
      </w:tr>
      <w:tr w:rsidR="00B328ED" w14:paraId="69DBD258" w14:textId="77777777" w:rsidTr="00B328ED">
        <w:trPr>
          <w:trHeight w:val="247"/>
          <w:jc w:val="center"/>
        </w:trPr>
        <w:tc>
          <w:tcPr>
            <w:tcW w:w="3042" w:type="dxa"/>
            <w:tcBorders>
              <w:top w:val="single" w:sz="4" w:space="0" w:color="auto"/>
              <w:left w:val="nil"/>
              <w:bottom w:val="single" w:sz="4" w:space="0" w:color="auto"/>
            </w:tcBorders>
            <w:vAlign w:val="center"/>
          </w:tcPr>
          <w:p w14:paraId="04805E64" w14:textId="77777777" w:rsidR="00B328ED" w:rsidRDefault="00B328ED" w:rsidP="00B328ED">
            <w:pPr>
              <w:jc w:val="both"/>
              <w:rPr>
                <w:sz w:val="18"/>
                <w:szCs w:val="18"/>
              </w:rPr>
            </w:pPr>
            <w:r>
              <w:t>small intestine (ileum)</w:t>
            </w:r>
          </w:p>
        </w:tc>
        <w:tc>
          <w:tcPr>
            <w:tcW w:w="935" w:type="dxa"/>
            <w:tcBorders>
              <w:top w:val="single" w:sz="4" w:space="0" w:color="auto"/>
              <w:bottom w:val="single" w:sz="4" w:space="0" w:color="auto"/>
            </w:tcBorders>
            <w:vAlign w:val="center"/>
          </w:tcPr>
          <w:p w14:paraId="4BB1D175"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7FBD5901"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E0C83F6"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612F2CF0" w14:textId="77777777" w:rsidR="00B328ED" w:rsidRDefault="00B328ED" w:rsidP="00B328ED">
            <w:pPr>
              <w:jc w:val="center"/>
              <w:rPr>
                <w:sz w:val="18"/>
                <w:szCs w:val="18"/>
              </w:rPr>
            </w:pPr>
            <w:r>
              <w:rPr>
                <w:rFonts w:hint="eastAsia"/>
                <w:sz w:val="18"/>
                <w:szCs w:val="18"/>
                <w:lang w:eastAsia="zh-CN"/>
              </w:rPr>
              <w:t>#</w:t>
            </w:r>
          </w:p>
        </w:tc>
      </w:tr>
      <w:tr w:rsidR="00B328ED" w14:paraId="544408E5" w14:textId="77777777" w:rsidTr="00B328ED">
        <w:trPr>
          <w:trHeight w:val="247"/>
          <w:jc w:val="center"/>
        </w:trPr>
        <w:tc>
          <w:tcPr>
            <w:tcW w:w="3042" w:type="dxa"/>
            <w:tcBorders>
              <w:top w:val="single" w:sz="4" w:space="0" w:color="auto"/>
              <w:left w:val="nil"/>
              <w:bottom w:val="single" w:sz="4" w:space="0" w:color="auto"/>
            </w:tcBorders>
            <w:vAlign w:val="center"/>
          </w:tcPr>
          <w:p w14:paraId="31216E09" w14:textId="77777777" w:rsidR="00B328ED" w:rsidRDefault="00B328ED" w:rsidP="00B328ED">
            <w:pPr>
              <w:jc w:val="both"/>
              <w:rPr>
                <w:rFonts w:hint="eastAsia"/>
                <w:sz w:val="18"/>
                <w:szCs w:val="18"/>
                <w:lang w:eastAsia="zh-CN"/>
              </w:rPr>
            </w:pPr>
            <w:r>
              <w:t>Seminal vesicles</w:t>
            </w:r>
          </w:p>
        </w:tc>
        <w:tc>
          <w:tcPr>
            <w:tcW w:w="935" w:type="dxa"/>
            <w:tcBorders>
              <w:top w:val="single" w:sz="4" w:space="0" w:color="auto"/>
              <w:bottom w:val="single" w:sz="4" w:space="0" w:color="auto"/>
            </w:tcBorders>
            <w:vAlign w:val="center"/>
          </w:tcPr>
          <w:p w14:paraId="6A87109B" w14:textId="77777777" w:rsidR="00B328ED" w:rsidRDefault="00B328ED" w:rsidP="00B328ED">
            <w:pPr>
              <w:jc w:val="center"/>
              <w:rPr>
                <w:sz w:val="18"/>
                <w:szCs w:val="18"/>
              </w:rPr>
            </w:pPr>
          </w:p>
        </w:tc>
        <w:tc>
          <w:tcPr>
            <w:tcW w:w="1383" w:type="dxa"/>
            <w:tcBorders>
              <w:top w:val="single" w:sz="4" w:space="0" w:color="auto"/>
              <w:bottom w:val="single" w:sz="4" w:space="0" w:color="auto"/>
              <w:right w:val="nil"/>
            </w:tcBorders>
            <w:vAlign w:val="center"/>
          </w:tcPr>
          <w:p w14:paraId="5A94F322"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1F403D9D"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E8876D7" w14:textId="77777777" w:rsidR="00B328ED" w:rsidRDefault="00B328ED" w:rsidP="00B328ED">
            <w:pPr>
              <w:jc w:val="center"/>
              <w:rPr>
                <w:sz w:val="18"/>
                <w:szCs w:val="18"/>
              </w:rPr>
            </w:pPr>
            <w:r>
              <w:rPr>
                <w:rFonts w:hint="eastAsia"/>
                <w:sz w:val="18"/>
                <w:szCs w:val="18"/>
                <w:lang w:eastAsia="zh-CN"/>
              </w:rPr>
              <w:t>#</w:t>
            </w:r>
          </w:p>
        </w:tc>
      </w:tr>
      <w:tr w:rsidR="00B328ED" w14:paraId="34220A50" w14:textId="77777777" w:rsidTr="00B328ED">
        <w:trPr>
          <w:trHeight w:val="264"/>
          <w:jc w:val="center"/>
        </w:trPr>
        <w:tc>
          <w:tcPr>
            <w:tcW w:w="3042" w:type="dxa"/>
            <w:tcBorders>
              <w:top w:val="single" w:sz="4" w:space="0" w:color="auto"/>
              <w:left w:val="nil"/>
              <w:bottom w:val="single" w:sz="4" w:space="0" w:color="auto"/>
            </w:tcBorders>
            <w:vAlign w:val="center"/>
          </w:tcPr>
          <w:p w14:paraId="51161D85" w14:textId="77777777" w:rsidR="00B328ED" w:rsidRDefault="00B328ED" w:rsidP="00B328ED">
            <w:pPr>
              <w:jc w:val="both"/>
              <w:rPr>
                <w:sz w:val="18"/>
                <w:szCs w:val="18"/>
                <w:lang w:eastAsia="zh-CN"/>
              </w:rPr>
            </w:pPr>
            <w:r>
              <w:t>Skin and mammary gland (inguinal)</w:t>
            </w:r>
          </w:p>
        </w:tc>
        <w:tc>
          <w:tcPr>
            <w:tcW w:w="935" w:type="dxa"/>
            <w:tcBorders>
              <w:top w:val="single" w:sz="4" w:space="0" w:color="auto"/>
              <w:bottom w:val="single" w:sz="4" w:space="0" w:color="auto"/>
            </w:tcBorders>
            <w:vAlign w:val="center"/>
          </w:tcPr>
          <w:p w14:paraId="58775979"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right w:val="nil"/>
            </w:tcBorders>
            <w:vAlign w:val="center"/>
          </w:tcPr>
          <w:p w14:paraId="75B04ED8"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07CDB726"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79F7D7E3" w14:textId="77777777" w:rsidR="00B328ED" w:rsidRDefault="00B328ED" w:rsidP="00B328ED">
            <w:pPr>
              <w:jc w:val="center"/>
              <w:rPr>
                <w:sz w:val="18"/>
                <w:szCs w:val="18"/>
              </w:rPr>
            </w:pPr>
            <w:r>
              <w:rPr>
                <w:rFonts w:hint="eastAsia"/>
                <w:sz w:val="18"/>
                <w:szCs w:val="18"/>
                <w:lang w:eastAsia="zh-CN"/>
              </w:rPr>
              <w:t>#</w:t>
            </w:r>
          </w:p>
        </w:tc>
      </w:tr>
      <w:tr w:rsidR="00B328ED" w14:paraId="3F6CA9BD" w14:textId="77777777" w:rsidTr="00B328ED">
        <w:trPr>
          <w:trHeight w:val="247"/>
          <w:jc w:val="center"/>
        </w:trPr>
        <w:tc>
          <w:tcPr>
            <w:tcW w:w="3042" w:type="dxa"/>
            <w:tcBorders>
              <w:top w:val="single" w:sz="4" w:space="0" w:color="auto"/>
              <w:left w:val="nil"/>
              <w:bottom w:val="single" w:sz="4" w:space="0" w:color="auto"/>
              <w:right w:val="nil"/>
            </w:tcBorders>
            <w:vAlign w:val="center"/>
          </w:tcPr>
          <w:p w14:paraId="18F279CE" w14:textId="77777777" w:rsidR="00B328ED" w:rsidRDefault="00B328ED" w:rsidP="00B328ED">
            <w:pPr>
              <w:jc w:val="both"/>
              <w:rPr>
                <w:sz w:val="18"/>
                <w:szCs w:val="18"/>
                <w:lang w:eastAsia="zh-CN"/>
              </w:rPr>
            </w:pPr>
            <w:r>
              <w:t>Salivary gland (submandibular gland, sublingual gland)</w:t>
            </w:r>
          </w:p>
        </w:tc>
        <w:tc>
          <w:tcPr>
            <w:tcW w:w="935" w:type="dxa"/>
            <w:tcBorders>
              <w:top w:val="single" w:sz="4" w:space="0" w:color="auto"/>
              <w:left w:val="nil"/>
              <w:bottom w:val="single" w:sz="4" w:space="0" w:color="auto"/>
              <w:right w:val="nil"/>
            </w:tcBorders>
            <w:vAlign w:val="center"/>
          </w:tcPr>
          <w:p w14:paraId="2937860A" w14:textId="77777777" w:rsidR="00B328ED" w:rsidRDefault="00B328ED" w:rsidP="00B328ED">
            <w:pPr>
              <w:jc w:val="center"/>
              <w:rPr>
                <w:sz w:val="18"/>
                <w:szCs w:val="18"/>
                <w:lang w:eastAsia="zh-CN"/>
              </w:rPr>
            </w:pPr>
          </w:p>
        </w:tc>
        <w:tc>
          <w:tcPr>
            <w:tcW w:w="1383" w:type="dxa"/>
            <w:tcBorders>
              <w:top w:val="single" w:sz="4" w:space="0" w:color="auto"/>
              <w:left w:val="nil"/>
              <w:bottom w:val="single" w:sz="4" w:space="0" w:color="auto"/>
              <w:right w:val="nil"/>
            </w:tcBorders>
            <w:vAlign w:val="center"/>
          </w:tcPr>
          <w:p w14:paraId="521DFBEF" w14:textId="77777777" w:rsidR="00B328ED" w:rsidRDefault="00B328ED" w:rsidP="00B328ED">
            <w:pPr>
              <w:jc w:val="center"/>
              <w:rPr>
                <w:sz w:val="18"/>
                <w:szCs w:val="18"/>
              </w:rPr>
            </w:pPr>
            <w:r>
              <w:rPr>
                <w:sz w:val="18"/>
                <w:szCs w:val="18"/>
              </w:rPr>
              <w:t>F</w:t>
            </w:r>
          </w:p>
        </w:tc>
        <w:tc>
          <w:tcPr>
            <w:tcW w:w="922" w:type="dxa"/>
            <w:tcBorders>
              <w:top w:val="single" w:sz="4" w:space="0" w:color="auto"/>
              <w:left w:val="nil"/>
              <w:bottom w:val="single" w:sz="4" w:space="0" w:color="auto"/>
              <w:right w:val="nil"/>
            </w:tcBorders>
            <w:vAlign w:val="center"/>
          </w:tcPr>
          <w:p w14:paraId="6356D28B" w14:textId="77777777" w:rsidR="00B328ED" w:rsidRDefault="00B328ED" w:rsidP="00B328ED">
            <w:pPr>
              <w:jc w:val="center"/>
              <w:rPr>
                <w:sz w:val="18"/>
                <w:szCs w:val="18"/>
              </w:rPr>
            </w:pPr>
            <w:r>
              <w:rPr>
                <w:rFonts w:hint="eastAsia"/>
                <w:sz w:val="18"/>
                <w:szCs w:val="18"/>
                <w:lang w:eastAsia="zh-CN"/>
              </w:rPr>
              <w:t>#</w:t>
            </w:r>
          </w:p>
        </w:tc>
        <w:tc>
          <w:tcPr>
            <w:tcW w:w="2306" w:type="dxa"/>
            <w:gridSpan w:val="2"/>
            <w:tcBorders>
              <w:top w:val="single" w:sz="4" w:space="0" w:color="auto"/>
              <w:left w:val="nil"/>
              <w:bottom w:val="single" w:sz="4" w:space="0" w:color="auto"/>
              <w:right w:val="nil"/>
            </w:tcBorders>
            <w:vAlign w:val="center"/>
          </w:tcPr>
          <w:p w14:paraId="14D80CB8" w14:textId="77777777" w:rsidR="00B328ED" w:rsidRDefault="00B328ED" w:rsidP="00B328ED">
            <w:pPr>
              <w:jc w:val="center"/>
              <w:rPr>
                <w:sz w:val="18"/>
                <w:szCs w:val="18"/>
              </w:rPr>
            </w:pPr>
            <w:r>
              <w:rPr>
                <w:rFonts w:hint="eastAsia"/>
                <w:sz w:val="18"/>
                <w:szCs w:val="18"/>
                <w:lang w:eastAsia="zh-CN"/>
              </w:rPr>
              <w:t>#</w:t>
            </w:r>
          </w:p>
        </w:tc>
      </w:tr>
      <w:tr w:rsidR="00B328ED" w14:paraId="66F1D18B" w14:textId="77777777" w:rsidTr="00B328ED">
        <w:trPr>
          <w:trHeight w:val="264"/>
          <w:jc w:val="center"/>
        </w:trPr>
        <w:tc>
          <w:tcPr>
            <w:tcW w:w="3042" w:type="dxa"/>
            <w:tcBorders>
              <w:top w:val="single" w:sz="4" w:space="0" w:color="auto"/>
              <w:left w:val="nil"/>
              <w:bottom w:val="single" w:sz="4" w:space="0" w:color="auto"/>
              <w:right w:val="nil"/>
            </w:tcBorders>
            <w:vAlign w:val="center"/>
          </w:tcPr>
          <w:p w14:paraId="46B888A8" w14:textId="77777777" w:rsidR="00B328ED" w:rsidRDefault="00B328ED" w:rsidP="00B328ED">
            <w:pPr>
              <w:jc w:val="both"/>
              <w:rPr>
                <w:sz w:val="18"/>
                <w:szCs w:val="18"/>
              </w:rPr>
            </w:pPr>
            <w:r>
              <w:t>Spinal cord (neck, thoracic, lumbar)</w:t>
            </w:r>
          </w:p>
        </w:tc>
        <w:tc>
          <w:tcPr>
            <w:tcW w:w="935" w:type="dxa"/>
            <w:tcBorders>
              <w:top w:val="single" w:sz="4" w:space="0" w:color="auto"/>
              <w:left w:val="nil"/>
              <w:bottom w:val="single" w:sz="4" w:space="0" w:color="auto"/>
              <w:right w:val="nil"/>
            </w:tcBorders>
            <w:vAlign w:val="center"/>
          </w:tcPr>
          <w:p w14:paraId="305F7C6F" w14:textId="77777777" w:rsidR="00B328ED" w:rsidRDefault="00B328ED" w:rsidP="00B328ED">
            <w:pPr>
              <w:jc w:val="center"/>
              <w:rPr>
                <w:sz w:val="18"/>
                <w:szCs w:val="18"/>
              </w:rPr>
            </w:pPr>
          </w:p>
        </w:tc>
        <w:tc>
          <w:tcPr>
            <w:tcW w:w="1383" w:type="dxa"/>
            <w:tcBorders>
              <w:top w:val="single" w:sz="4" w:space="0" w:color="auto"/>
              <w:left w:val="nil"/>
              <w:bottom w:val="single" w:sz="4" w:space="0" w:color="auto"/>
              <w:right w:val="nil"/>
            </w:tcBorders>
            <w:vAlign w:val="center"/>
          </w:tcPr>
          <w:p w14:paraId="5A357B46"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left w:val="nil"/>
              <w:bottom w:val="single" w:sz="4" w:space="0" w:color="auto"/>
              <w:right w:val="nil"/>
            </w:tcBorders>
            <w:vAlign w:val="center"/>
          </w:tcPr>
          <w:p w14:paraId="50C71B2C"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left w:val="nil"/>
              <w:bottom w:val="single" w:sz="4" w:space="0" w:color="auto"/>
              <w:right w:val="nil"/>
            </w:tcBorders>
            <w:vAlign w:val="center"/>
          </w:tcPr>
          <w:p w14:paraId="016A52A9" w14:textId="77777777" w:rsidR="00B328ED" w:rsidRDefault="00B328ED" w:rsidP="00B328ED">
            <w:pPr>
              <w:jc w:val="center"/>
              <w:rPr>
                <w:sz w:val="18"/>
                <w:szCs w:val="18"/>
              </w:rPr>
            </w:pPr>
            <w:r>
              <w:rPr>
                <w:rFonts w:hint="eastAsia"/>
                <w:sz w:val="18"/>
                <w:szCs w:val="18"/>
                <w:lang w:eastAsia="zh-CN"/>
              </w:rPr>
              <w:t>#</w:t>
            </w:r>
          </w:p>
        </w:tc>
      </w:tr>
      <w:tr w:rsidR="00B328ED" w14:paraId="34DEF6BE" w14:textId="77777777" w:rsidTr="00B328ED">
        <w:trPr>
          <w:trHeight w:val="264"/>
          <w:jc w:val="center"/>
        </w:trPr>
        <w:tc>
          <w:tcPr>
            <w:tcW w:w="3042" w:type="dxa"/>
            <w:tcBorders>
              <w:top w:val="single" w:sz="4" w:space="0" w:color="auto"/>
              <w:left w:val="nil"/>
              <w:bottom w:val="single" w:sz="4" w:space="0" w:color="auto"/>
              <w:right w:val="nil"/>
            </w:tcBorders>
            <w:vAlign w:val="center"/>
          </w:tcPr>
          <w:p w14:paraId="6600AB85" w14:textId="77777777" w:rsidR="00B328ED" w:rsidRDefault="00B328ED" w:rsidP="00B328ED">
            <w:pPr>
              <w:jc w:val="both"/>
              <w:rPr>
                <w:sz w:val="18"/>
                <w:szCs w:val="18"/>
              </w:rPr>
            </w:pPr>
            <w:r>
              <w:t>thymus (or thymus region)</w:t>
            </w:r>
          </w:p>
        </w:tc>
        <w:tc>
          <w:tcPr>
            <w:tcW w:w="935" w:type="dxa"/>
            <w:tcBorders>
              <w:top w:val="single" w:sz="4" w:space="0" w:color="auto"/>
              <w:left w:val="nil"/>
              <w:bottom w:val="single" w:sz="4" w:space="0" w:color="auto"/>
              <w:right w:val="nil"/>
            </w:tcBorders>
            <w:vAlign w:val="center"/>
          </w:tcPr>
          <w:p w14:paraId="42C0F372" w14:textId="77777777" w:rsidR="00B328ED" w:rsidRDefault="00B328ED" w:rsidP="00B328ED">
            <w:pPr>
              <w:jc w:val="center"/>
              <w:rPr>
                <w:sz w:val="18"/>
                <w:szCs w:val="18"/>
              </w:rPr>
            </w:pPr>
            <w:r>
              <w:rPr>
                <w:sz w:val="18"/>
                <w:szCs w:val="18"/>
              </w:rPr>
              <w:t>√</w:t>
            </w:r>
          </w:p>
        </w:tc>
        <w:tc>
          <w:tcPr>
            <w:tcW w:w="1383" w:type="dxa"/>
            <w:tcBorders>
              <w:top w:val="single" w:sz="4" w:space="0" w:color="auto"/>
              <w:left w:val="nil"/>
              <w:bottom w:val="single" w:sz="4" w:space="0" w:color="auto"/>
            </w:tcBorders>
            <w:vAlign w:val="center"/>
          </w:tcPr>
          <w:p w14:paraId="7F4825FD"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0DE6695A"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5B6460B5" w14:textId="77777777" w:rsidR="00B328ED" w:rsidRDefault="00B328ED" w:rsidP="00B328ED">
            <w:pPr>
              <w:jc w:val="center"/>
              <w:rPr>
                <w:sz w:val="18"/>
                <w:szCs w:val="18"/>
              </w:rPr>
            </w:pPr>
            <w:r>
              <w:rPr>
                <w:rFonts w:hint="eastAsia"/>
                <w:sz w:val="18"/>
                <w:szCs w:val="18"/>
                <w:lang w:eastAsia="zh-CN"/>
              </w:rPr>
              <w:t>#</w:t>
            </w:r>
          </w:p>
        </w:tc>
      </w:tr>
      <w:tr w:rsidR="00B328ED" w14:paraId="18E1C42D" w14:textId="77777777" w:rsidTr="00B328ED">
        <w:trPr>
          <w:trHeight w:val="264"/>
          <w:jc w:val="center"/>
        </w:trPr>
        <w:tc>
          <w:tcPr>
            <w:tcW w:w="3042" w:type="dxa"/>
            <w:tcBorders>
              <w:top w:val="single" w:sz="4" w:space="0" w:color="auto"/>
              <w:left w:val="nil"/>
              <w:bottom w:val="single" w:sz="4" w:space="0" w:color="auto"/>
            </w:tcBorders>
            <w:vAlign w:val="center"/>
          </w:tcPr>
          <w:p w14:paraId="68AC9B95" w14:textId="77777777" w:rsidR="00B328ED" w:rsidRDefault="00B328ED" w:rsidP="00B328ED">
            <w:pPr>
              <w:jc w:val="both"/>
              <w:rPr>
                <w:sz w:val="18"/>
                <w:szCs w:val="18"/>
              </w:rPr>
            </w:pPr>
            <w:r>
              <w:t>thyroid gland containing parathyroid gland*</w:t>
            </w:r>
          </w:p>
        </w:tc>
        <w:tc>
          <w:tcPr>
            <w:tcW w:w="935" w:type="dxa"/>
            <w:tcBorders>
              <w:top w:val="single" w:sz="4" w:space="0" w:color="auto"/>
              <w:bottom w:val="single" w:sz="4" w:space="0" w:color="auto"/>
            </w:tcBorders>
            <w:vAlign w:val="center"/>
          </w:tcPr>
          <w:p w14:paraId="40D984B0" w14:textId="77777777" w:rsidR="00B328ED" w:rsidRDefault="00B328ED" w:rsidP="00B328ED">
            <w:pPr>
              <w:jc w:val="center"/>
              <w:rPr>
                <w:rFonts w:ascii="Cambria Math" w:hAnsi="Cambria Math"/>
                <w:sz w:val="18"/>
                <w:szCs w:val="18"/>
              </w:rPr>
            </w:pPr>
          </w:p>
        </w:tc>
        <w:tc>
          <w:tcPr>
            <w:tcW w:w="1383" w:type="dxa"/>
            <w:tcBorders>
              <w:top w:val="single" w:sz="4" w:space="0" w:color="auto"/>
              <w:bottom w:val="single" w:sz="4" w:space="0" w:color="auto"/>
            </w:tcBorders>
            <w:vAlign w:val="center"/>
          </w:tcPr>
          <w:p w14:paraId="73C41A71"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45375E55"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782AB153" w14:textId="77777777" w:rsidR="00B328ED" w:rsidRDefault="00B328ED" w:rsidP="00B328ED">
            <w:pPr>
              <w:jc w:val="center"/>
              <w:rPr>
                <w:sz w:val="18"/>
                <w:szCs w:val="18"/>
              </w:rPr>
            </w:pPr>
            <w:r>
              <w:rPr>
                <w:rFonts w:hint="eastAsia"/>
                <w:sz w:val="18"/>
                <w:szCs w:val="18"/>
                <w:lang w:eastAsia="zh-CN"/>
              </w:rPr>
              <w:t>#</w:t>
            </w:r>
          </w:p>
        </w:tc>
      </w:tr>
      <w:tr w:rsidR="00B328ED" w14:paraId="392C4A00" w14:textId="77777777" w:rsidTr="00B328ED">
        <w:trPr>
          <w:trHeight w:val="247"/>
          <w:jc w:val="center"/>
        </w:trPr>
        <w:tc>
          <w:tcPr>
            <w:tcW w:w="3042" w:type="dxa"/>
            <w:tcBorders>
              <w:top w:val="single" w:sz="4" w:space="0" w:color="auto"/>
              <w:left w:val="nil"/>
              <w:bottom w:val="single" w:sz="4" w:space="0" w:color="auto"/>
            </w:tcBorders>
            <w:vAlign w:val="center"/>
          </w:tcPr>
          <w:p w14:paraId="282FB21D" w14:textId="77777777" w:rsidR="00B328ED" w:rsidRDefault="00B328ED" w:rsidP="00B328ED">
            <w:pPr>
              <w:jc w:val="both"/>
              <w:rPr>
                <w:sz w:val="18"/>
                <w:szCs w:val="18"/>
              </w:rPr>
            </w:pPr>
            <w:r>
              <w:t>Trachea</w:t>
            </w:r>
          </w:p>
        </w:tc>
        <w:tc>
          <w:tcPr>
            <w:tcW w:w="935" w:type="dxa"/>
            <w:tcBorders>
              <w:top w:val="single" w:sz="4" w:space="0" w:color="auto"/>
              <w:bottom w:val="single" w:sz="4" w:space="0" w:color="auto"/>
            </w:tcBorders>
            <w:vAlign w:val="center"/>
          </w:tcPr>
          <w:p w14:paraId="48D0CC1D" w14:textId="77777777" w:rsidR="00B328ED" w:rsidRDefault="00B328ED" w:rsidP="00B328ED">
            <w:pPr>
              <w:jc w:val="center"/>
              <w:rPr>
                <w:sz w:val="18"/>
                <w:szCs w:val="18"/>
              </w:rPr>
            </w:pPr>
          </w:p>
        </w:tc>
        <w:tc>
          <w:tcPr>
            <w:tcW w:w="1383" w:type="dxa"/>
            <w:tcBorders>
              <w:top w:val="single" w:sz="4" w:space="0" w:color="auto"/>
              <w:bottom w:val="single" w:sz="4" w:space="0" w:color="auto"/>
            </w:tcBorders>
            <w:vAlign w:val="center"/>
          </w:tcPr>
          <w:p w14:paraId="0D335C9D"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0674B1FB"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45DC8D7A" w14:textId="77777777" w:rsidR="00B328ED" w:rsidRDefault="00B328ED" w:rsidP="00B328ED">
            <w:pPr>
              <w:jc w:val="center"/>
              <w:rPr>
                <w:sz w:val="18"/>
                <w:szCs w:val="18"/>
              </w:rPr>
            </w:pPr>
            <w:r>
              <w:rPr>
                <w:rFonts w:hint="eastAsia"/>
                <w:sz w:val="18"/>
                <w:szCs w:val="18"/>
                <w:lang w:eastAsia="zh-CN"/>
              </w:rPr>
              <w:t>#</w:t>
            </w:r>
          </w:p>
        </w:tc>
      </w:tr>
      <w:tr w:rsidR="00B328ED" w14:paraId="39F65BE1" w14:textId="77777777" w:rsidTr="00B328ED">
        <w:trPr>
          <w:trHeight w:val="264"/>
          <w:jc w:val="center"/>
        </w:trPr>
        <w:tc>
          <w:tcPr>
            <w:tcW w:w="3042" w:type="dxa"/>
            <w:tcBorders>
              <w:top w:val="single" w:sz="4" w:space="0" w:color="auto"/>
              <w:left w:val="nil"/>
              <w:bottom w:val="single" w:sz="4" w:space="0" w:color="auto"/>
            </w:tcBorders>
            <w:vAlign w:val="center"/>
          </w:tcPr>
          <w:p w14:paraId="731FC32E" w14:textId="77777777" w:rsidR="00B328ED" w:rsidRDefault="00B328ED" w:rsidP="00B328ED">
            <w:pPr>
              <w:jc w:val="both"/>
              <w:rPr>
                <w:sz w:val="18"/>
                <w:szCs w:val="18"/>
              </w:rPr>
            </w:pPr>
            <w:r>
              <w:t>urinary bladder</w:t>
            </w:r>
          </w:p>
        </w:tc>
        <w:tc>
          <w:tcPr>
            <w:tcW w:w="935" w:type="dxa"/>
            <w:tcBorders>
              <w:top w:val="single" w:sz="4" w:space="0" w:color="auto"/>
              <w:bottom w:val="single" w:sz="4" w:space="0" w:color="auto"/>
            </w:tcBorders>
            <w:vAlign w:val="center"/>
          </w:tcPr>
          <w:p w14:paraId="248FAC1B" w14:textId="77777777" w:rsidR="00B328ED" w:rsidRDefault="00B328ED" w:rsidP="00B328ED">
            <w:pPr>
              <w:jc w:val="center"/>
              <w:rPr>
                <w:sz w:val="18"/>
                <w:szCs w:val="18"/>
              </w:rPr>
            </w:pPr>
          </w:p>
        </w:tc>
        <w:tc>
          <w:tcPr>
            <w:tcW w:w="1383" w:type="dxa"/>
            <w:tcBorders>
              <w:top w:val="single" w:sz="4" w:space="0" w:color="auto"/>
              <w:bottom w:val="single" w:sz="4" w:space="0" w:color="auto"/>
            </w:tcBorders>
            <w:vAlign w:val="center"/>
          </w:tcPr>
          <w:p w14:paraId="36CA4CF8"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09F792AD"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79C29C62" w14:textId="77777777" w:rsidR="00B328ED" w:rsidRDefault="00B328ED" w:rsidP="00B328ED">
            <w:pPr>
              <w:jc w:val="center"/>
              <w:rPr>
                <w:sz w:val="18"/>
                <w:szCs w:val="18"/>
              </w:rPr>
            </w:pPr>
            <w:r>
              <w:rPr>
                <w:rFonts w:hint="eastAsia"/>
                <w:sz w:val="18"/>
                <w:szCs w:val="18"/>
                <w:lang w:eastAsia="zh-CN"/>
              </w:rPr>
              <w:t>#</w:t>
            </w:r>
          </w:p>
        </w:tc>
      </w:tr>
      <w:tr w:rsidR="00B328ED" w14:paraId="54941F84" w14:textId="77777777" w:rsidTr="00B328ED">
        <w:trPr>
          <w:trHeight w:val="264"/>
          <w:jc w:val="center"/>
        </w:trPr>
        <w:tc>
          <w:tcPr>
            <w:tcW w:w="3042" w:type="dxa"/>
            <w:tcBorders>
              <w:top w:val="single" w:sz="4" w:space="0" w:color="auto"/>
              <w:left w:val="nil"/>
              <w:bottom w:val="single" w:sz="4" w:space="0" w:color="auto"/>
            </w:tcBorders>
            <w:vAlign w:val="center"/>
          </w:tcPr>
          <w:p w14:paraId="3B2F9F61" w14:textId="77777777" w:rsidR="00B328ED" w:rsidRDefault="00B328ED" w:rsidP="00B328ED">
            <w:pPr>
              <w:jc w:val="both"/>
              <w:rPr>
                <w:sz w:val="18"/>
                <w:szCs w:val="18"/>
              </w:rPr>
            </w:pPr>
            <w:r>
              <w:t>Ovary</w:t>
            </w:r>
          </w:p>
        </w:tc>
        <w:tc>
          <w:tcPr>
            <w:tcW w:w="935" w:type="dxa"/>
            <w:tcBorders>
              <w:top w:val="single" w:sz="4" w:space="0" w:color="auto"/>
              <w:bottom w:val="single" w:sz="4" w:space="0" w:color="auto"/>
            </w:tcBorders>
            <w:vAlign w:val="center"/>
          </w:tcPr>
          <w:p w14:paraId="2D022182"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tcBorders>
            <w:vAlign w:val="center"/>
          </w:tcPr>
          <w:p w14:paraId="45CC46D4"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48C5FB3F"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6E447D9F" w14:textId="77777777" w:rsidR="00B328ED" w:rsidRDefault="00B328ED" w:rsidP="00B328ED">
            <w:pPr>
              <w:jc w:val="center"/>
              <w:rPr>
                <w:sz w:val="18"/>
                <w:szCs w:val="18"/>
              </w:rPr>
            </w:pPr>
            <w:r>
              <w:rPr>
                <w:rFonts w:hint="eastAsia"/>
                <w:sz w:val="18"/>
                <w:szCs w:val="18"/>
                <w:lang w:eastAsia="zh-CN"/>
              </w:rPr>
              <w:t>#</w:t>
            </w:r>
          </w:p>
        </w:tc>
      </w:tr>
      <w:tr w:rsidR="00B328ED" w14:paraId="7E1A358D" w14:textId="77777777" w:rsidTr="00B328ED">
        <w:trPr>
          <w:trHeight w:val="247"/>
          <w:jc w:val="center"/>
        </w:trPr>
        <w:tc>
          <w:tcPr>
            <w:tcW w:w="3042" w:type="dxa"/>
            <w:tcBorders>
              <w:top w:val="single" w:sz="4" w:space="0" w:color="auto"/>
              <w:left w:val="nil"/>
              <w:bottom w:val="single" w:sz="4" w:space="0" w:color="auto"/>
            </w:tcBorders>
            <w:vAlign w:val="center"/>
          </w:tcPr>
          <w:p w14:paraId="5189F460" w14:textId="77777777" w:rsidR="00B328ED" w:rsidRDefault="00B328ED" w:rsidP="00B328ED">
            <w:pPr>
              <w:jc w:val="both"/>
              <w:rPr>
                <w:sz w:val="18"/>
                <w:szCs w:val="18"/>
              </w:rPr>
            </w:pPr>
            <w:r>
              <w:t>fallopian tube</w:t>
            </w:r>
          </w:p>
        </w:tc>
        <w:tc>
          <w:tcPr>
            <w:tcW w:w="935" w:type="dxa"/>
            <w:tcBorders>
              <w:top w:val="single" w:sz="4" w:space="0" w:color="auto"/>
              <w:bottom w:val="single" w:sz="4" w:space="0" w:color="auto"/>
            </w:tcBorders>
            <w:vAlign w:val="center"/>
          </w:tcPr>
          <w:p w14:paraId="3470F685" w14:textId="77777777" w:rsidR="00B328ED" w:rsidRDefault="00B328ED" w:rsidP="00B328ED">
            <w:pPr>
              <w:jc w:val="center"/>
              <w:rPr>
                <w:sz w:val="18"/>
                <w:szCs w:val="18"/>
              </w:rPr>
            </w:pPr>
          </w:p>
        </w:tc>
        <w:tc>
          <w:tcPr>
            <w:tcW w:w="1383" w:type="dxa"/>
            <w:tcBorders>
              <w:top w:val="single" w:sz="4" w:space="0" w:color="auto"/>
              <w:bottom w:val="single" w:sz="4" w:space="0" w:color="auto"/>
            </w:tcBorders>
            <w:vAlign w:val="center"/>
          </w:tcPr>
          <w:p w14:paraId="6CAE1884"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6DEF75BD"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1684C22F" w14:textId="77777777" w:rsidR="00B328ED" w:rsidRDefault="00B328ED" w:rsidP="00B328ED">
            <w:pPr>
              <w:jc w:val="center"/>
              <w:rPr>
                <w:sz w:val="18"/>
                <w:szCs w:val="18"/>
              </w:rPr>
            </w:pPr>
            <w:r>
              <w:rPr>
                <w:rFonts w:hint="eastAsia"/>
                <w:sz w:val="18"/>
                <w:szCs w:val="18"/>
                <w:lang w:eastAsia="zh-CN"/>
              </w:rPr>
              <w:t>#</w:t>
            </w:r>
          </w:p>
        </w:tc>
      </w:tr>
      <w:tr w:rsidR="00B328ED" w14:paraId="36297A3A" w14:textId="77777777" w:rsidTr="00B328ED">
        <w:trPr>
          <w:trHeight w:val="264"/>
          <w:jc w:val="center"/>
        </w:trPr>
        <w:tc>
          <w:tcPr>
            <w:tcW w:w="3042" w:type="dxa"/>
            <w:tcBorders>
              <w:top w:val="single" w:sz="4" w:space="0" w:color="auto"/>
              <w:left w:val="nil"/>
              <w:bottom w:val="single" w:sz="4" w:space="0" w:color="auto"/>
            </w:tcBorders>
            <w:vAlign w:val="center"/>
          </w:tcPr>
          <w:p w14:paraId="4E855011" w14:textId="77777777" w:rsidR="00B328ED" w:rsidRDefault="00B328ED" w:rsidP="00B328ED">
            <w:pPr>
              <w:jc w:val="both"/>
              <w:rPr>
                <w:sz w:val="18"/>
                <w:szCs w:val="18"/>
              </w:rPr>
            </w:pPr>
            <w:r>
              <w:t>uterus (including cervix)</w:t>
            </w:r>
          </w:p>
        </w:tc>
        <w:tc>
          <w:tcPr>
            <w:tcW w:w="935" w:type="dxa"/>
            <w:tcBorders>
              <w:top w:val="single" w:sz="4" w:space="0" w:color="auto"/>
              <w:bottom w:val="single" w:sz="4" w:space="0" w:color="auto"/>
            </w:tcBorders>
            <w:vAlign w:val="center"/>
          </w:tcPr>
          <w:p w14:paraId="6B5D811A" w14:textId="77777777" w:rsidR="00B328ED" w:rsidRDefault="00B328ED" w:rsidP="00B328ED">
            <w:pPr>
              <w:jc w:val="center"/>
              <w:rPr>
                <w:sz w:val="18"/>
                <w:szCs w:val="18"/>
              </w:rPr>
            </w:pPr>
            <w:r>
              <w:rPr>
                <w:sz w:val="18"/>
                <w:szCs w:val="18"/>
              </w:rPr>
              <w:t>√</w:t>
            </w:r>
          </w:p>
        </w:tc>
        <w:tc>
          <w:tcPr>
            <w:tcW w:w="1383" w:type="dxa"/>
            <w:tcBorders>
              <w:top w:val="single" w:sz="4" w:space="0" w:color="auto"/>
              <w:bottom w:val="single" w:sz="4" w:space="0" w:color="auto"/>
            </w:tcBorders>
            <w:vAlign w:val="center"/>
          </w:tcPr>
          <w:p w14:paraId="7D2EB5FB"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040861FD"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50A3C781" w14:textId="77777777" w:rsidR="00B328ED" w:rsidRDefault="00B328ED" w:rsidP="00B328ED">
            <w:pPr>
              <w:jc w:val="center"/>
              <w:rPr>
                <w:sz w:val="18"/>
                <w:szCs w:val="18"/>
              </w:rPr>
            </w:pPr>
            <w:r>
              <w:rPr>
                <w:rFonts w:hint="eastAsia"/>
                <w:sz w:val="18"/>
                <w:szCs w:val="18"/>
                <w:lang w:eastAsia="zh-CN"/>
              </w:rPr>
              <w:t>#</w:t>
            </w:r>
          </w:p>
        </w:tc>
      </w:tr>
      <w:tr w:rsidR="00B328ED" w14:paraId="30D76BE8" w14:textId="77777777" w:rsidTr="00B328ED">
        <w:trPr>
          <w:trHeight w:val="264"/>
          <w:jc w:val="center"/>
        </w:trPr>
        <w:tc>
          <w:tcPr>
            <w:tcW w:w="3042" w:type="dxa"/>
            <w:tcBorders>
              <w:top w:val="single" w:sz="4" w:space="0" w:color="auto"/>
              <w:left w:val="nil"/>
              <w:bottom w:val="single" w:sz="4" w:space="0" w:color="auto"/>
            </w:tcBorders>
            <w:vAlign w:val="center"/>
          </w:tcPr>
          <w:p w14:paraId="7042DF28" w14:textId="77777777" w:rsidR="00B328ED" w:rsidRDefault="00B328ED" w:rsidP="00B328ED">
            <w:pPr>
              <w:jc w:val="both"/>
              <w:rPr>
                <w:sz w:val="18"/>
                <w:szCs w:val="18"/>
              </w:rPr>
            </w:pPr>
            <w:r>
              <w:t>vagina</w:t>
            </w:r>
          </w:p>
        </w:tc>
        <w:tc>
          <w:tcPr>
            <w:tcW w:w="935" w:type="dxa"/>
            <w:tcBorders>
              <w:top w:val="single" w:sz="4" w:space="0" w:color="auto"/>
              <w:bottom w:val="single" w:sz="4" w:space="0" w:color="auto"/>
            </w:tcBorders>
            <w:vAlign w:val="center"/>
          </w:tcPr>
          <w:p w14:paraId="5077E470" w14:textId="77777777" w:rsidR="00B328ED" w:rsidRDefault="00B328ED" w:rsidP="00B328ED">
            <w:pPr>
              <w:jc w:val="center"/>
              <w:rPr>
                <w:sz w:val="18"/>
                <w:szCs w:val="18"/>
              </w:rPr>
            </w:pPr>
          </w:p>
        </w:tc>
        <w:tc>
          <w:tcPr>
            <w:tcW w:w="1383" w:type="dxa"/>
            <w:tcBorders>
              <w:top w:val="single" w:sz="4" w:space="0" w:color="auto"/>
              <w:bottom w:val="single" w:sz="4" w:space="0" w:color="auto"/>
            </w:tcBorders>
            <w:vAlign w:val="center"/>
          </w:tcPr>
          <w:p w14:paraId="22836D8A"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4" w:space="0" w:color="auto"/>
            </w:tcBorders>
            <w:vAlign w:val="center"/>
          </w:tcPr>
          <w:p w14:paraId="270DFA3C"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5E45A4FD" w14:textId="77777777" w:rsidR="00B328ED" w:rsidRDefault="00B328ED" w:rsidP="00B328ED">
            <w:pPr>
              <w:jc w:val="center"/>
              <w:rPr>
                <w:sz w:val="18"/>
                <w:szCs w:val="18"/>
              </w:rPr>
            </w:pPr>
            <w:r>
              <w:rPr>
                <w:rFonts w:hint="eastAsia"/>
                <w:sz w:val="18"/>
                <w:szCs w:val="18"/>
                <w:lang w:eastAsia="zh-CN"/>
              </w:rPr>
              <w:t>#</w:t>
            </w:r>
          </w:p>
        </w:tc>
      </w:tr>
      <w:tr w:rsidR="00B328ED" w14:paraId="53B4839E" w14:textId="77777777" w:rsidTr="00B328ED">
        <w:trPr>
          <w:trHeight w:val="264"/>
          <w:jc w:val="center"/>
        </w:trPr>
        <w:tc>
          <w:tcPr>
            <w:tcW w:w="3042" w:type="dxa"/>
            <w:tcBorders>
              <w:top w:val="single" w:sz="4" w:space="0" w:color="auto"/>
              <w:left w:val="nil"/>
              <w:bottom w:val="single" w:sz="4" w:space="0" w:color="auto"/>
            </w:tcBorders>
            <w:vAlign w:val="center"/>
          </w:tcPr>
          <w:p w14:paraId="53536FA2" w14:textId="77777777" w:rsidR="00B328ED" w:rsidRDefault="00B328ED" w:rsidP="00B328ED">
            <w:pPr>
              <w:jc w:val="both"/>
              <w:rPr>
                <w:sz w:val="18"/>
                <w:szCs w:val="18"/>
                <w:lang w:eastAsia="zh-CN"/>
              </w:rPr>
            </w:pPr>
            <w:r>
              <w:t>dosing site draining lymph node (mandibular lymph node)</w:t>
            </w:r>
          </w:p>
        </w:tc>
        <w:tc>
          <w:tcPr>
            <w:tcW w:w="935" w:type="dxa"/>
            <w:tcBorders>
              <w:top w:val="single" w:sz="4" w:space="0" w:color="auto"/>
              <w:bottom w:val="single" w:sz="4" w:space="0" w:color="auto"/>
            </w:tcBorders>
            <w:vAlign w:val="center"/>
          </w:tcPr>
          <w:p w14:paraId="42EE7736" w14:textId="77777777" w:rsidR="00B328ED" w:rsidRDefault="00B328ED" w:rsidP="00B328ED">
            <w:pPr>
              <w:jc w:val="center"/>
              <w:rPr>
                <w:sz w:val="18"/>
                <w:szCs w:val="18"/>
                <w:lang w:eastAsia="zh-CN"/>
              </w:rPr>
            </w:pPr>
          </w:p>
        </w:tc>
        <w:tc>
          <w:tcPr>
            <w:tcW w:w="1383" w:type="dxa"/>
            <w:tcBorders>
              <w:top w:val="single" w:sz="4" w:space="0" w:color="auto"/>
              <w:bottom w:val="single" w:sz="4" w:space="0" w:color="auto"/>
            </w:tcBorders>
            <w:vAlign w:val="center"/>
          </w:tcPr>
          <w:p w14:paraId="516038E5" w14:textId="77777777" w:rsidR="00B328ED" w:rsidRDefault="00B328ED" w:rsidP="00B328ED">
            <w:pPr>
              <w:jc w:val="center"/>
              <w:rPr>
                <w:sz w:val="18"/>
                <w:szCs w:val="18"/>
              </w:rPr>
            </w:pPr>
            <w:r>
              <w:rPr>
                <w:sz w:val="18"/>
                <w:szCs w:val="18"/>
                <w:lang w:eastAsia="zh-CN"/>
              </w:rPr>
              <w:t>F</w:t>
            </w:r>
          </w:p>
        </w:tc>
        <w:tc>
          <w:tcPr>
            <w:tcW w:w="1012" w:type="dxa"/>
            <w:gridSpan w:val="2"/>
            <w:tcBorders>
              <w:top w:val="single" w:sz="4" w:space="0" w:color="auto"/>
              <w:bottom w:val="single" w:sz="4" w:space="0" w:color="auto"/>
            </w:tcBorders>
            <w:vAlign w:val="center"/>
          </w:tcPr>
          <w:p w14:paraId="737380B4" w14:textId="77777777" w:rsidR="00B328ED" w:rsidRDefault="00B328ED" w:rsidP="00B328ED">
            <w:pPr>
              <w:jc w:val="center"/>
              <w:rPr>
                <w:sz w:val="18"/>
                <w:szCs w:val="18"/>
              </w:rPr>
            </w:pPr>
            <w:r>
              <w:rPr>
                <w:rFonts w:hint="eastAsia"/>
                <w:sz w:val="18"/>
                <w:szCs w:val="18"/>
                <w:lang w:eastAsia="zh-CN"/>
              </w:rPr>
              <w:t>#</w:t>
            </w:r>
          </w:p>
        </w:tc>
        <w:tc>
          <w:tcPr>
            <w:tcW w:w="2216" w:type="dxa"/>
            <w:tcBorders>
              <w:top w:val="single" w:sz="4" w:space="0" w:color="auto"/>
              <w:bottom w:val="single" w:sz="4" w:space="0" w:color="auto"/>
              <w:right w:val="nil"/>
            </w:tcBorders>
            <w:vAlign w:val="center"/>
          </w:tcPr>
          <w:p w14:paraId="311D7F97" w14:textId="77777777" w:rsidR="00B328ED" w:rsidRDefault="00B328ED" w:rsidP="00B328ED">
            <w:pPr>
              <w:jc w:val="center"/>
              <w:rPr>
                <w:sz w:val="18"/>
                <w:szCs w:val="18"/>
              </w:rPr>
            </w:pPr>
            <w:r>
              <w:rPr>
                <w:rFonts w:hint="eastAsia"/>
                <w:sz w:val="18"/>
                <w:szCs w:val="18"/>
                <w:lang w:eastAsia="zh-CN"/>
              </w:rPr>
              <w:t>#</w:t>
            </w:r>
          </w:p>
        </w:tc>
      </w:tr>
      <w:tr w:rsidR="00B328ED" w14:paraId="0DDBD8E1" w14:textId="77777777" w:rsidTr="00B328ED">
        <w:trPr>
          <w:trHeight w:val="247"/>
          <w:jc w:val="center"/>
        </w:trPr>
        <w:tc>
          <w:tcPr>
            <w:tcW w:w="3042" w:type="dxa"/>
            <w:tcBorders>
              <w:top w:val="single" w:sz="4" w:space="0" w:color="auto"/>
              <w:left w:val="nil"/>
              <w:bottom w:val="single" w:sz="12" w:space="0" w:color="auto"/>
            </w:tcBorders>
            <w:vAlign w:val="center"/>
          </w:tcPr>
          <w:p w14:paraId="4F2A3457" w14:textId="77777777" w:rsidR="00B328ED" w:rsidRDefault="00B328ED" w:rsidP="00B328ED">
            <w:pPr>
              <w:jc w:val="both"/>
              <w:rPr>
                <w:sz w:val="18"/>
                <w:szCs w:val="18"/>
                <w:lang w:eastAsia="zh-CN"/>
              </w:rPr>
            </w:pPr>
            <w:r>
              <w:t>Gross lesion</w:t>
            </w:r>
          </w:p>
        </w:tc>
        <w:tc>
          <w:tcPr>
            <w:tcW w:w="935" w:type="dxa"/>
            <w:tcBorders>
              <w:top w:val="single" w:sz="4" w:space="0" w:color="auto"/>
              <w:bottom w:val="single" w:sz="12" w:space="0" w:color="auto"/>
            </w:tcBorders>
            <w:vAlign w:val="center"/>
          </w:tcPr>
          <w:p w14:paraId="2126D5AF" w14:textId="77777777" w:rsidR="00B328ED" w:rsidRDefault="00B328ED" w:rsidP="00B328ED">
            <w:pPr>
              <w:jc w:val="center"/>
              <w:rPr>
                <w:sz w:val="18"/>
                <w:szCs w:val="18"/>
              </w:rPr>
            </w:pPr>
          </w:p>
        </w:tc>
        <w:tc>
          <w:tcPr>
            <w:tcW w:w="1383" w:type="dxa"/>
            <w:tcBorders>
              <w:top w:val="single" w:sz="4" w:space="0" w:color="auto"/>
              <w:bottom w:val="single" w:sz="12" w:space="0" w:color="auto"/>
            </w:tcBorders>
            <w:vAlign w:val="center"/>
          </w:tcPr>
          <w:p w14:paraId="69E05983" w14:textId="77777777" w:rsidR="00B328ED" w:rsidRDefault="00B328ED" w:rsidP="00B328ED">
            <w:pPr>
              <w:jc w:val="center"/>
              <w:rPr>
                <w:sz w:val="18"/>
                <w:szCs w:val="18"/>
              </w:rPr>
            </w:pPr>
            <w:r>
              <w:rPr>
                <w:sz w:val="18"/>
                <w:szCs w:val="18"/>
              </w:rPr>
              <w:t>F</w:t>
            </w:r>
          </w:p>
        </w:tc>
        <w:tc>
          <w:tcPr>
            <w:tcW w:w="1012" w:type="dxa"/>
            <w:gridSpan w:val="2"/>
            <w:tcBorders>
              <w:top w:val="single" w:sz="4" w:space="0" w:color="auto"/>
              <w:bottom w:val="single" w:sz="12" w:space="0" w:color="auto"/>
            </w:tcBorders>
            <w:vAlign w:val="center"/>
          </w:tcPr>
          <w:p w14:paraId="5ED6E69B" w14:textId="77777777" w:rsidR="00B328ED" w:rsidRDefault="00B328ED" w:rsidP="00B328ED">
            <w:pPr>
              <w:jc w:val="center"/>
              <w:rPr>
                <w:sz w:val="18"/>
                <w:szCs w:val="18"/>
              </w:rPr>
            </w:pPr>
            <w:r>
              <w:rPr>
                <w:sz w:val="18"/>
                <w:szCs w:val="18"/>
              </w:rPr>
              <w:t>√</w:t>
            </w:r>
          </w:p>
        </w:tc>
        <w:tc>
          <w:tcPr>
            <w:tcW w:w="2216" w:type="dxa"/>
            <w:tcBorders>
              <w:top w:val="single" w:sz="4" w:space="0" w:color="auto"/>
              <w:bottom w:val="single" w:sz="12" w:space="0" w:color="auto"/>
              <w:right w:val="nil"/>
            </w:tcBorders>
            <w:vAlign w:val="center"/>
          </w:tcPr>
          <w:p w14:paraId="7559B759" w14:textId="77777777" w:rsidR="00B328ED" w:rsidRDefault="00B328ED" w:rsidP="00B328ED">
            <w:pPr>
              <w:jc w:val="center"/>
              <w:rPr>
                <w:sz w:val="18"/>
                <w:szCs w:val="18"/>
              </w:rPr>
            </w:pPr>
            <w:r>
              <w:rPr>
                <w:sz w:val="18"/>
                <w:szCs w:val="18"/>
              </w:rPr>
              <w:t>√</w:t>
            </w:r>
          </w:p>
        </w:tc>
      </w:tr>
    </w:tbl>
    <w:p w14:paraId="461BF9D8" w14:textId="77777777" w:rsidR="00F41D01" w:rsidRDefault="00B328ED">
      <w:pPr>
        <w:spacing w:line="360" w:lineRule="auto"/>
        <w:ind w:firstLineChars="200" w:firstLine="420"/>
        <w:jc w:val="both"/>
        <w:rPr>
          <w:sz w:val="32"/>
          <w:lang w:eastAsia="zh-CN"/>
        </w:rPr>
      </w:pPr>
      <w:r>
        <w:t>Note: F with 10% neutral buffered formalin fixative; MD indicates modified Davidson's fixative; 2.5% G with 2.5% glutaraldehyde solution; * at least microscopic examination unilateral; # for gross necropsy, observe for abnormal volume, color, or consistency.</w:t>
      </w:r>
    </w:p>
    <w:p w14:paraId="3A4C9F99" w14:textId="77777777" w:rsidR="00F41D01" w:rsidRPr="00815B14" w:rsidRDefault="00F41D01" w:rsidP="00815B14">
      <w:pPr>
        <w:keepNext/>
        <w:widowControl w:val="0"/>
        <w:numPr>
          <w:ilvl w:val="1"/>
          <w:numId w:val="4"/>
        </w:numPr>
        <w:spacing w:line="360" w:lineRule="auto"/>
        <w:jc w:val="both"/>
        <w:outlineLvl w:val="1"/>
        <w:rPr>
          <w:b/>
          <w:kern w:val="2"/>
          <w:lang w:eastAsia="zh-CN"/>
        </w:rPr>
      </w:pPr>
      <w:r>
        <w:t>Handling of deceased animals</w:t>
      </w:r>
    </w:p>
    <w:p w14:paraId="2893790A" w14:textId="77777777" w:rsidR="00313BDD" w:rsidRPr="00B328ED" w:rsidRDefault="001E322F" w:rsidP="00AA39C7">
      <w:pPr>
        <w:spacing w:line="360" w:lineRule="auto"/>
        <w:ind w:firstLineChars="200" w:firstLine="480"/>
        <w:jc w:val="both"/>
        <w:rPr>
          <w:rFonts w:hint="eastAsia"/>
          <w:bCs/>
          <w:color w:val="FF0000"/>
          <w:lang w:eastAsia="zh-CN"/>
        </w:rPr>
      </w:pPr>
      <w:r>
        <w:t>clo dose group animals 3M001, 3M002, 3M003, 3M004, 3M008, 3M009, 3F004, 3F005, 3F010 were found dead on D1; 3M005, 3M006, 3M007, 3M010, 3F002, 3F003, 3F006, 3F007 were found dead on D2; 3F001, 3F008 were found dead on D3.</w:t>
      </w:r>
    </w:p>
    <w:p w14:paraId="3C9740E9" w14:textId="77777777" w:rsidR="00F41D01" w:rsidRDefault="00F41D01" w:rsidP="00184341">
      <w:pPr>
        <w:pStyle w:val="1"/>
        <w:widowControl w:val="0"/>
        <w:numPr>
          <w:ilvl w:val="0"/>
          <w:numId w:val="6"/>
        </w:numPr>
        <w:tabs>
          <w:tab w:val="clear" w:pos="720"/>
        </w:tabs>
        <w:spacing w:beforeLines="100" w:before="240" w:after="0" w:line="360" w:lineRule="auto"/>
        <w:ind w:left="498" w:hangingChars="177" w:hanging="498"/>
        <w:rPr>
          <w:caps/>
          <w:kern w:val="2"/>
          <w:sz w:val="28"/>
          <w:lang w:eastAsia="zh-CN"/>
        </w:rPr>
      </w:pPr>
      <w:r>
        <w:t>data acquisition and analysis</w:t>
      </w:r>
    </w:p>
    <w:p w14:paraId="11A2010A" w14:textId="77777777" w:rsidR="000C7AF0" w:rsidRDefault="00F41D01">
      <w:pPr>
        <w:pStyle w:val="WXBodyText"/>
        <w:spacing w:before="0" w:after="0" w:line="360" w:lineRule="auto"/>
        <w:ind w:left="0" w:firstLineChars="200" w:firstLine="480"/>
        <w:rPr>
          <w:rFonts w:cs="Times New Roman" w:hint="eastAsia"/>
        </w:rPr>
      </w:pPr>
      <w:r>
        <w:t>All raw data within the facility will be collected manually according to the study protocol and the SOP of Suzhou Huachao Bio-Technology Co., Ltd., or collected using a data acquisition system. Manually collected data can be transcribed into Excel tables for analysis and reporting.</w:t>
      </w:r>
    </w:p>
    <w:p w14:paraId="0F0EA0AC" w14:textId="77777777" w:rsidR="00F41D01" w:rsidRDefault="00F41D01">
      <w:pPr>
        <w:pStyle w:val="WXBodyText"/>
        <w:spacing w:before="0" w:after="0" w:line="360" w:lineRule="auto"/>
        <w:ind w:left="0" w:firstLineChars="200" w:firstLine="480"/>
        <w:rPr>
          <w:rFonts w:cs="Times New Roman"/>
        </w:rPr>
      </w:pPr>
      <w:r>
        <w:t>The collection system for collecting and reporting electronic data is as follows:</w:t>
      </w:r>
    </w:p>
    <w:tbl>
      <w:tblPr>
        <w:tblW w:w="0" w:type="auto"/>
        <w:jc w:val="center"/>
        <w:tblInd w:w="0" w:type="dxa"/>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2787"/>
        <w:gridCol w:w="2356"/>
        <w:gridCol w:w="3374"/>
      </w:tblGrid>
      <w:tr w:rsidR="00F41D01" w14:paraId="318D261B" w14:textId="77777777">
        <w:trPr>
          <w:trHeight w:val="360"/>
          <w:tblHeader/>
          <w:jc w:val="center"/>
        </w:trPr>
        <w:tc>
          <w:tcPr>
            <w:tcW w:w="2787" w:type="dxa"/>
            <w:tcBorders>
              <w:bottom w:val="single" w:sz="4" w:space="0" w:color="auto"/>
            </w:tcBorders>
            <w:vAlign w:val="center"/>
          </w:tcPr>
          <w:p w14:paraId="3F369743" w14:textId="77777777" w:rsidR="00F41D01" w:rsidRDefault="00F41D01">
            <w:pPr>
              <w:widowControl w:val="0"/>
              <w:kinsoku w:val="0"/>
              <w:overflowPunct w:val="0"/>
              <w:autoSpaceDE w:val="0"/>
              <w:autoSpaceDN w:val="0"/>
              <w:adjustRightInd w:val="0"/>
              <w:snapToGrid w:val="0"/>
              <w:jc w:val="center"/>
              <w:rPr>
                <w:sz w:val="21"/>
                <w:szCs w:val="21"/>
              </w:rPr>
            </w:pPr>
            <w:r>
              <w:t>System</w:t>
            </w:r>
          </w:p>
        </w:tc>
        <w:tc>
          <w:tcPr>
            <w:tcW w:w="2356" w:type="dxa"/>
            <w:tcBorders>
              <w:bottom w:val="single" w:sz="4" w:space="0" w:color="auto"/>
            </w:tcBorders>
            <w:vAlign w:val="center"/>
          </w:tcPr>
          <w:p w14:paraId="2C55C8B2" w14:textId="77777777" w:rsidR="00F41D01" w:rsidRDefault="00F41D01">
            <w:pPr>
              <w:pStyle w:val="WXBodyText"/>
              <w:widowControl w:val="0"/>
              <w:kinsoku w:val="0"/>
              <w:overflowPunct w:val="0"/>
              <w:autoSpaceDE w:val="0"/>
              <w:autoSpaceDN w:val="0"/>
              <w:adjustRightInd w:val="0"/>
              <w:snapToGrid w:val="0"/>
              <w:spacing w:before="0" w:after="0"/>
              <w:ind w:left="0"/>
              <w:jc w:val="center"/>
              <w:rPr>
                <w:rFonts w:cs="Times New Roman"/>
                <w:b/>
                <w:bCs w:val="0"/>
                <w:sz w:val="21"/>
                <w:szCs w:val="21"/>
              </w:rPr>
            </w:pPr>
            <w:r>
              <w:t>Version</w:t>
            </w:r>
          </w:p>
        </w:tc>
        <w:tc>
          <w:tcPr>
            <w:tcW w:w="3374" w:type="dxa"/>
            <w:tcBorders>
              <w:bottom w:val="single" w:sz="4" w:space="0" w:color="auto"/>
            </w:tcBorders>
            <w:vAlign w:val="center"/>
          </w:tcPr>
          <w:p w14:paraId="720128F5" w14:textId="77777777" w:rsidR="00F41D01" w:rsidRDefault="00F41D01">
            <w:pPr>
              <w:pStyle w:val="WXBodyText"/>
              <w:widowControl w:val="0"/>
              <w:kinsoku w:val="0"/>
              <w:overflowPunct w:val="0"/>
              <w:autoSpaceDE w:val="0"/>
              <w:autoSpaceDN w:val="0"/>
              <w:adjustRightInd w:val="0"/>
              <w:snapToGrid w:val="0"/>
              <w:spacing w:before="0" w:after="0"/>
              <w:ind w:left="0"/>
              <w:jc w:val="center"/>
              <w:rPr>
                <w:rFonts w:cs="Times New Roman"/>
                <w:b/>
                <w:bCs w:val="0"/>
                <w:sz w:val="21"/>
                <w:szCs w:val="21"/>
              </w:rPr>
            </w:pPr>
            <w:r>
              <w:t>Purpose</w:t>
            </w:r>
          </w:p>
        </w:tc>
      </w:tr>
      <w:tr w:rsidR="00F41D01" w14:paraId="35B9675B" w14:textId="77777777">
        <w:trPr>
          <w:trHeight w:val="360"/>
          <w:jc w:val="center"/>
        </w:trPr>
        <w:tc>
          <w:tcPr>
            <w:tcW w:w="2787" w:type="dxa"/>
            <w:tcBorders>
              <w:top w:val="single" w:sz="4" w:space="0" w:color="auto"/>
              <w:bottom w:val="nil"/>
            </w:tcBorders>
            <w:vAlign w:val="center"/>
          </w:tcPr>
          <w:p w14:paraId="0EFBB141" w14:textId="77777777" w:rsidR="00F41D01" w:rsidRDefault="00F41D01">
            <w:pPr>
              <w:widowControl w:val="0"/>
              <w:kinsoku w:val="0"/>
              <w:overflowPunct w:val="0"/>
              <w:autoSpaceDE w:val="0"/>
              <w:autoSpaceDN w:val="0"/>
              <w:adjustRightInd w:val="0"/>
              <w:snapToGrid w:val="0"/>
              <w:rPr>
                <w:sz w:val="21"/>
                <w:szCs w:val="21"/>
              </w:rPr>
            </w:pPr>
            <w:r>
              <w:rPr>
                <w:sz w:val="21"/>
                <w:szCs w:val="21"/>
              </w:rPr>
              <w:t>Johnson Control</w:t>
            </w:r>
          </w:p>
        </w:tc>
        <w:tc>
          <w:tcPr>
            <w:tcW w:w="2356" w:type="dxa"/>
            <w:tcBorders>
              <w:top w:val="single" w:sz="4" w:space="0" w:color="auto"/>
              <w:bottom w:val="nil"/>
            </w:tcBorders>
            <w:vAlign w:val="center"/>
          </w:tcPr>
          <w:p w14:paraId="68CBBD1D" w14:textId="77777777" w:rsidR="00F41D01" w:rsidRDefault="00F41D01">
            <w:pPr>
              <w:pStyle w:val="WXBodyText"/>
              <w:widowControl w:val="0"/>
              <w:kinsoku w:val="0"/>
              <w:overflowPunct w:val="0"/>
              <w:autoSpaceDE w:val="0"/>
              <w:autoSpaceDN w:val="0"/>
              <w:adjustRightInd w:val="0"/>
              <w:snapToGrid w:val="0"/>
              <w:spacing w:before="0" w:after="0"/>
              <w:ind w:left="0"/>
              <w:jc w:val="left"/>
              <w:rPr>
                <w:rFonts w:cs="Times New Roman"/>
                <w:bCs w:val="0"/>
                <w:sz w:val="21"/>
                <w:szCs w:val="21"/>
              </w:rPr>
            </w:pPr>
            <w:r>
              <w:rPr>
                <w:rFonts w:cs="Times New Roman"/>
                <w:sz w:val="21"/>
                <w:szCs w:val="21"/>
              </w:rPr>
              <w:t>MSEA-MVE 6.0</w:t>
            </w:r>
          </w:p>
        </w:tc>
        <w:tc>
          <w:tcPr>
            <w:tcW w:w="3374" w:type="dxa"/>
            <w:tcBorders>
              <w:top w:val="single" w:sz="4" w:space="0" w:color="auto"/>
              <w:bottom w:val="nil"/>
            </w:tcBorders>
            <w:vAlign w:val="center"/>
          </w:tcPr>
          <w:p w14:paraId="6B22EBB5" w14:textId="77777777" w:rsidR="00F41D01" w:rsidRDefault="00F41D01">
            <w:pPr>
              <w:pStyle w:val="WXBodyText"/>
              <w:widowControl w:val="0"/>
              <w:kinsoku w:val="0"/>
              <w:overflowPunct w:val="0"/>
              <w:autoSpaceDE w:val="0"/>
              <w:autoSpaceDN w:val="0"/>
              <w:adjustRightInd w:val="0"/>
              <w:snapToGrid w:val="0"/>
              <w:spacing w:before="0" w:after="0"/>
              <w:ind w:left="0"/>
              <w:jc w:val="left"/>
              <w:rPr>
                <w:rFonts w:cs="Times New Roman"/>
                <w:bCs w:val="0"/>
                <w:sz w:val="21"/>
                <w:szCs w:val="21"/>
              </w:rPr>
            </w:pPr>
            <w:r>
              <w:t>Environmental control and testing of the animal housing</w:t>
            </w:r>
          </w:p>
        </w:tc>
      </w:tr>
      <w:tr w:rsidR="00F41D01" w14:paraId="4810867C" w14:textId="77777777">
        <w:trPr>
          <w:trHeight w:val="360"/>
          <w:jc w:val="center"/>
        </w:trPr>
        <w:tc>
          <w:tcPr>
            <w:tcW w:w="2787" w:type="dxa"/>
            <w:tcBorders>
              <w:top w:val="nil"/>
            </w:tcBorders>
            <w:vAlign w:val="center"/>
          </w:tcPr>
          <w:p w14:paraId="24BED76A" w14:textId="77777777" w:rsidR="00F41D01" w:rsidRDefault="00F41D01">
            <w:pPr>
              <w:widowControl w:val="0"/>
              <w:kinsoku w:val="0"/>
              <w:overflowPunct w:val="0"/>
              <w:autoSpaceDE w:val="0"/>
              <w:autoSpaceDN w:val="0"/>
              <w:adjustRightInd w:val="0"/>
              <w:snapToGrid w:val="0"/>
              <w:rPr>
                <w:sz w:val="21"/>
                <w:szCs w:val="21"/>
                <w:lang w:eastAsia="zh-CN"/>
              </w:rPr>
            </w:pPr>
            <w:r>
              <w:rPr>
                <w:sz w:val="21"/>
                <w:szCs w:val="21"/>
                <w:lang w:eastAsia="zh-CN"/>
              </w:rPr>
              <w:t>Pristima</w:t>
            </w:r>
          </w:p>
        </w:tc>
        <w:tc>
          <w:tcPr>
            <w:tcW w:w="2356" w:type="dxa"/>
            <w:tcBorders>
              <w:top w:val="nil"/>
            </w:tcBorders>
            <w:vAlign w:val="center"/>
          </w:tcPr>
          <w:p w14:paraId="485AD0AE" w14:textId="77777777" w:rsidR="00F41D01" w:rsidRDefault="00F41D01">
            <w:pPr>
              <w:pStyle w:val="WXBodyText"/>
              <w:widowControl w:val="0"/>
              <w:kinsoku w:val="0"/>
              <w:overflowPunct w:val="0"/>
              <w:autoSpaceDE w:val="0"/>
              <w:autoSpaceDN w:val="0"/>
              <w:adjustRightInd w:val="0"/>
              <w:snapToGrid w:val="0"/>
              <w:spacing w:before="0" w:after="0"/>
              <w:ind w:left="0"/>
              <w:jc w:val="left"/>
              <w:rPr>
                <w:rFonts w:cs="Times New Roman"/>
                <w:sz w:val="21"/>
                <w:szCs w:val="21"/>
              </w:rPr>
            </w:pPr>
            <w:r>
              <w:rPr>
                <w:rFonts w:cs="Times New Roman"/>
                <w:sz w:val="21"/>
                <w:szCs w:val="21"/>
              </w:rPr>
              <w:t>7.0.0</w:t>
            </w:r>
          </w:p>
        </w:tc>
        <w:tc>
          <w:tcPr>
            <w:tcW w:w="3374" w:type="dxa"/>
            <w:tcBorders>
              <w:top w:val="nil"/>
            </w:tcBorders>
            <w:vAlign w:val="center"/>
          </w:tcPr>
          <w:p w14:paraId="5F046E83" w14:textId="77777777" w:rsidR="00F41D01" w:rsidRDefault="00F41D01">
            <w:pPr>
              <w:pStyle w:val="WXBodyText"/>
              <w:widowControl w:val="0"/>
              <w:kinsoku w:val="0"/>
              <w:overflowPunct w:val="0"/>
              <w:autoSpaceDE w:val="0"/>
              <w:autoSpaceDN w:val="0"/>
              <w:adjustRightInd w:val="0"/>
              <w:snapToGrid w:val="0"/>
              <w:spacing w:before="0" w:after="0"/>
              <w:ind w:left="0"/>
              <w:jc w:val="left"/>
              <w:rPr>
                <w:rFonts w:cs="Times New Roman"/>
                <w:bCs w:val="0"/>
                <w:sz w:val="21"/>
                <w:szCs w:val="21"/>
              </w:rPr>
            </w:pPr>
            <w:r>
              <w:t>assay data collection and/or statistical analysis</w:t>
            </w:r>
          </w:p>
        </w:tc>
      </w:tr>
    </w:tbl>
    <w:p w14:paraId="3D04164B" w14:textId="77777777" w:rsidR="001A54EE" w:rsidRPr="001A54EE" w:rsidRDefault="001A54EE" w:rsidP="00B25F58">
      <w:pPr>
        <w:spacing w:line="360" w:lineRule="auto"/>
        <w:ind w:firstLineChars="200" w:firstLine="480"/>
        <w:jc w:val="both"/>
        <w:rPr>
          <w:bCs/>
          <w:lang w:eastAsia="zh-CN"/>
        </w:rPr>
      </w:pPr>
      <w:bookmarkStart w:id="529" w:name="_Toc329617299"/>
      <w:bookmarkStart w:id="530" w:name="_Toc330902719"/>
      <w:bookmarkStart w:id="531" w:name="_Toc330969364"/>
      <w:bookmarkStart w:id="532" w:name="_Toc335725450"/>
      <w:bookmarkStart w:id="533" w:name="_Toc335725590"/>
    </w:p>
    <w:p w14:paraId="60D80D84" w14:textId="77777777" w:rsidR="00F41D01" w:rsidRDefault="00F41D01">
      <w:pPr>
        <w:pStyle w:val="1"/>
        <w:widowControl w:val="0"/>
        <w:numPr>
          <w:ilvl w:val="0"/>
          <w:numId w:val="6"/>
        </w:numPr>
        <w:tabs>
          <w:tab w:val="clear" w:pos="720"/>
        </w:tabs>
        <w:spacing w:before="0" w:after="0" w:line="360" w:lineRule="auto"/>
        <w:rPr>
          <w:caps/>
          <w:kern w:val="2"/>
          <w:sz w:val="28"/>
          <w:lang w:eastAsia="zh-CN"/>
        </w:rPr>
      </w:pPr>
      <w:r>
        <w:t>statistical analysis</w:t>
      </w:r>
    </w:p>
    <w:p w14:paraId="5B8B6BB9" w14:textId="77777777" w:rsidR="000C7AF0" w:rsidRPr="000C7AF0" w:rsidRDefault="000C7AF0" w:rsidP="000C7AF0">
      <w:pPr>
        <w:spacing w:line="360" w:lineRule="auto"/>
        <w:ind w:firstLineChars="200" w:firstLine="480"/>
        <w:jc w:val="both"/>
        <w:rPr>
          <w:rFonts w:cs="Arial"/>
          <w:bCs/>
          <w:kern w:val="32"/>
          <w:lang w:eastAsia="zh-CN"/>
        </w:rPr>
      </w:pPr>
      <w:r>
        <w:t>Quantitative parameters are expressed by mean ± standard deviation. Data from groups with fewer than 3 samples are not included in statistical comparison.</w:t>
      </w:r>
    </w:p>
    <w:p w14:paraId="0EB09232" w14:textId="77777777" w:rsidR="000C7AF0" w:rsidRPr="000C7AF0" w:rsidRDefault="000C7AF0" w:rsidP="000C7AF0">
      <w:pPr>
        <w:spacing w:line="360" w:lineRule="auto"/>
        <w:ind w:firstLineChars="200" w:firstLine="480"/>
        <w:jc w:val="both"/>
        <w:rPr>
          <w:rFonts w:cs="Arial"/>
          <w:bCs/>
          <w:szCs w:val="20"/>
          <w:lang w:eastAsia="zh-CN"/>
        </w:rPr>
      </w:pPr>
      <w:r>
        <w:t>All quantitative parameters are collected and statistically analyzed using Pristima 7.0.0 data acquisition system; use SPSS for statistical analysis when necessary.</w:t>
      </w:r>
    </w:p>
    <w:p w14:paraId="26E5308D" w14:textId="77777777" w:rsidR="000C7AF0" w:rsidRPr="000C7AF0" w:rsidRDefault="000C7AF0" w:rsidP="000C7AF0">
      <w:pPr>
        <w:spacing w:line="360" w:lineRule="auto"/>
        <w:ind w:firstLineChars="200" w:firstLine="480"/>
        <w:jc w:val="both"/>
        <w:rPr>
          <w:lang w:val="x-none" w:eastAsia="zh-CN"/>
        </w:rPr>
      </w:pPr>
      <w:r>
        <w:t>If the number of groups to be statistically compared is &lt; 3, the statistical analysis method is as follows: first use the LEVENE method to perform the test for homogeneity of variances. When the variances are homogeneous (P &gt; 0.05), use the t-test for statistical analysis; when the variances are not homogeneous (P ≤ 0.05 ), use the approximate t-test (t-test) for statistical analysis. When the results of the t-test or the approximate t-test show no statistically significant differences (P &gt; 0.05 ), the statistical analysis ends. All tests are bilateral tests with α = 0.05.</w:t>
      </w:r>
    </w:p>
    <w:p w14:paraId="41846764" w14:textId="77777777" w:rsidR="000C7AF0" w:rsidRPr="000C7AF0" w:rsidRDefault="000C7AF0" w:rsidP="000C7AF0">
      <w:pPr>
        <w:spacing w:line="360" w:lineRule="auto"/>
        <w:ind w:firstLineChars="200" w:firstLine="480"/>
        <w:jc w:val="both"/>
        <w:rPr>
          <w:bCs/>
          <w:kern w:val="32"/>
          <w:lang w:eastAsia="zh-CN"/>
        </w:rPr>
      </w:pPr>
      <w:r>
        <w:t>If the number of groups to be statistically compared is ≥3, the statistical analysis method is as follows: first perform LEVENE's test for homogeneity of variances. When the variances are homogeneous (P≥0.05), use a one-way ANOVA for statistical testing. When the variances are not homogeneous (P&lt;0.05), use a Kruskal-Wallis H test for statistical analysis. When a one-way ANOVA indicates significant overall differences (P≤0.05), use Dunnett's LSD test to compare inter-group differences. When a one-way ANOVA shows no significant overall differences (P&gt;0.05), the statistical analysis ends. When a Kruskal-Wallis H test shows significant overall differences (P≤0.05), use a Mann-Whitney U test to compare inter-group differences. When a Kruskal-Wallis H test shows no significant overall differences (P&gt;0.05), the statistical analysis ends. Inter-group comparisons are conducted between dose groups and the vehicle control group. Dunnett's LSD test (P&lt;0.05) and Mann-Whitney U test (P≤0.05) indicate statistical significance.</w:t>
      </w:r>
    </w:p>
    <w:p w14:paraId="0F7F3CD3" w14:textId="77777777" w:rsidR="000C7AF0" w:rsidRPr="00A435BB" w:rsidRDefault="000C7AF0" w:rsidP="000C7AF0">
      <w:pPr>
        <w:spacing w:line="360" w:lineRule="auto"/>
        <w:ind w:firstLineChars="200" w:firstLine="480"/>
        <w:rPr>
          <w:bCs/>
          <w:kern w:val="32"/>
          <w:lang w:eastAsia="zh-CN"/>
        </w:rPr>
      </w:pPr>
      <w:r>
        <w:t>general state observation result listing analyzed.</w:t>
      </w:r>
    </w:p>
    <w:p w14:paraId="1F4D27CC" w14:textId="77777777" w:rsidR="000C7AF0" w:rsidRPr="00A435BB" w:rsidRDefault="000C7AF0" w:rsidP="000C7AF0">
      <w:pPr>
        <w:spacing w:line="360" w:lineRule="auto"/>
        <w:ind w:firstLineChars="200" w:firstLine="480"/>
        <w:rPr>
          <w:lang w:eastAsia="zh-CN"/>
        </w:rPr>
      </w:pPr>
      <w:r>
        <w:t>Pathological data described in detail.</w:t>
      </w:r>
    </w:p>
    <w:p w14:paraId="6DFC78F9" w14:textId="77777777" w:rsidR="00F41D01" w:rsidRDefault="000C7AF0" w:rsidP="000C7AF0">
      <w:pPr>
        <w:spacing w:line="360" w:lineRule="auto"/>
        <w:ind w:firstLine="480"/>
        <w:rPr>
          <w:rFonts w:hint="eastAsia"/>
          <w:bCs/>
          <w:lang w:eastAsia="zh-CN"/>
        </w:rPr>
      </w:pPr>
      <w:r>
        <w:t>This study used various computational models (regression models) and computer programs for data analysis. Due to different methods of performing rounding or truncation by different models on the data, some values in the tables (such as averages, standard deviations, or individual data values) may show slight discrepancies compared to data in other tables, standalone calculations, or statistical analysis data. These discrepancies do not affect the integrity of the data or the interpretation of the results.</w:t>
      </w:r>
    </w:p>
    <w:p w14:paraId="09B9EDAF" w14:textId="77777777" w:rsidR="006853E6" w:rsidRDefault="006853E6" w:rsidP="000C7AF0">
      <w:pPr>
        <w:spacing w:line="360" w:lineRule="auto"/>
        <w:ind w:firstLine="480"/>
        <w:rPr>
          <w:rFonts w:hint="eastAsia"/>
          <w:bCs/>
          <w:lang w:eastAsia="zh-CN"/>
        </w:rPr>
      </w:pPr>
    </w:p>
    <w:p w14:paraId="3CE0048D" w14:textId="77777777" w:rsidR="00F41D01" w:rsidRPr="00815B14" w:rsidRDefault="001A54EE" w:rsidP="00815B14">
      <w:pPr>
        <w:pStyle w:val="1"/>
        <w:widowControl w:val="0"/>
        <w:numPr>
          <w:ilvl w:val="0"/>
          <w:numId w:val="6"/>
        </w:numPr>
        <w:tabs>
          <w:tab w:val="clear" w:pos="720"/>
        </w:tabs>
        <w:spacing w:before="0" w:after="0" w:line="360" w:lineRule="auto"/>
        <w:rPr>
          <w:caps/>
          <w:kern w:val="2"/>
          <w:sz w:val="28"/>
          <w:lang w:eastAsia="zh-CN"/>
        </w:rPr>
      </w:pPr>
      <w:r>
        <w:t xml:space="preserve">  Test results and discussion</w:t>
      </w:r>
    </w:p>
    <w:p w14:paraId="791B74FA" w14:textId="77777777" w:rsidR="00F41D01" w:rsidRDefault="00F41D01" w:rsidP="00815B14">
      <w:pPr>
        <w:keepNext/>
        <w:widowControl w:val="0"/>
        <w:numPr>
          <w:ilvl w:val="1"/>
          <w:numId w:val="12"/>
        </w:numPr>
        <w:spacing w:line="360" w:lineRule="auto"/>
        <w:jc w:val="both"/>
        <w:outlineLvl w:val="1"/>
        <w:rPr>
          <w:b/>
          <w:kern w:val="2"/>
          <w:lang w:eastAsia="zh-CN"/>
        </w:rPr>
      </w:pPr>
      <w:r>
        <w:t>assay result</w:t>
      </w:r>
    </w:p>
    <w:p w14:paraId="2D63A045" w14:textId="77777777" w:rsidR="00F41D01" w:rsidRDefault="001A54EE" w:rsidP="00F30D05">
      <w:pPr>
        <w:widowControl w:val="0"/>
        <w:numPr>
          <w:ilvl w:val="2"/>
          <w:numId w:val="12"/>
        </w:numPr>
        <w:kinsoku w:val="0"/>
        <w:overflowPunct w:val="0"/>
        <w:autoSpaceDE w:val="0"/>
        <w:autoSpaceDN w:val="0"/>
        <w:adjustRightInd w:val="0"/>
        <w:snapToGrid w:val="0"/>
        <w:spacing w:line="360" w:lineRule="auto"/>
        <w:jc w:val="both"/>
        <w:outlineLvl w:val="2"/>
        <w:rPr>
          <w:b/>
          <w:kern w:val="2"/>
          <w:lang w:eastAsia="zh-CN"/>
        </w:rPr>
      </w:pPr>
      <w:r>
        <w:t xml:space="preserve">  dose formulation analysis results</w:t>
      </w:r>
    </w:p>
    <w:p w14:paraId="62083DDF" w14:textId="77777777" w:rsidR="00F41D01" w:rsidRDefault="00F41D01">
      <w:pPr>
        <w:pStyle w:val="WXBullets"/>
        <w:spacing w:after="0" w:line="360" w:lineRule="auto"/>
        <w:ind w:left="0" w:firstLineChars="200" w:firstLine="480"/>
      </w:pPr>
      <w:r>
        <w:t>The assay for dose formulations underwent content analysis, with detailed analysis results provided in Appendix 1. Results showed: After testing, system suitability, standard curve linear range, and quality control all met the analysis method requirements. The accuracy of the sbk002 dose group (the ratio of testing concentration to the standard concentration of dose formulations) ranged from 102.47% to 104.60%. The relative standard deviation (RSD) of testing concentrations in the upper, middle, and lower layers of sbk002 dose group was 1.04%. The accuracy for the clo dose group (the ratio of testing concentration to the standard concentration of dose formulations) ranged from 99.61% to 102.44%. The RSD of testing concentrations in the upper, middle, and lower layers of the clo dose group was 1.41%. These analysis results indicate that the dose formulations preparation met the requirements.</w:t>
      </w:r>
    </w:p>
    <w:p w14:paraId="713A86CD" w14:textId="77777777" w:rsidR="00F41D01" w:rsidRDefault="001A54EE" w:rsidP="00F30D05">
      <w:pPr>
        <w:widowControl w:val="0"/>
        <w:numPr>
          <w:ilvl w:val="2"/>
          <w:numId w:val="12"/>
        </w:numPr>
        <w:kinsoku w:val="0"/>
        <w:overflowPunct w:val="0"/>
        <w:autoSpaceDE w:val="0"/>
        <w:autoSpaceDN w:val="0"/>
        <w:spacing w:line="360" w:lineRule="auto"/>
        <w:jc w:val="both"/>
        <w:rPr>
          <w:b/>
          <w:kern w:val="2"/>
          <w:lang w:eastAsia="zh-CN"/>
        </w:rPr>
      </w:pPr>
      <w:r>
        <w:t xml:space="preserve">  General state observation</w:t>
      </w:r>
    </w:p>
    <w:p w14:paraId="6D524ACD" w14:textId="77777777" w:rsidR="003B44FE" w:rsidRDefault="00F41D01">
      <w:pPr>
        <w:widowControl w:val="0"/>
        <w:kinsoku w:val="0"/>
        <w:overflowPunct w:val="0"/>
        <w:autoSpaceDE w:val="0"/>
        <w:autoSpaceDN w:val="0"/>
        <w:spacing w:line="360" w:lineRule="auto"/>
        <w:ind w:firstLineChars="200" w:firstLine="480"/>
        <w:jc w:val="both"/>
        <w:rPr>
          <w:rFonts w:hint="eastAsia"/>
          <w:lang w:eastAsia="zh-CN"/>
        </w:rPr>
      </w:pPr>
      <w:r>
        <w:t>General state observation results are summarized in Appendix 2, Tables 1-1, 1-2, and individual data are shown in Appendix 3, Tables 7-1 ~ Tables 7-4. The results show that under the test conditions, ICR mice were administered with sbk002 and clo by single gavage at a dosage of 5000 mg/kg each, and observed continuously for 14 days after administration. In the solvent control group, one male animal showed scabbing of the tail from D11 to D15, considered as an accidental injury due to animal activity. Apart from this, all animals in the solvent control group and the sbk002 dose group survived until the scheduled necropsy, with no abnormalities observed in general state observation related to the test article administration.</w:t>
      </w:r>
    </w:p>
    <w:p w14:paraId="090C7CB5" w14:textId="77777777" w:rsidR="00F41D01" w:rsidRPr="008F1E68" w:rsidRDefault="00B855AA">
      <w:pPr>
        <w:widowControl w:val="0"/>
        <w:kinsoku w:val="0"/>
        <w:overflowPunct w:val="0"/>
        <w:autoSpaceDE w:val="0"/>
        <w:autoSpaceDN w:val="0"/>
        <w:spacing w:line="360" w:lineRule="auto"/>
        <w:ind w:firstLineChars="200" w:firstLine="480"/>
        <w:jc w:val="both"/>
        <w:rPr>
          <w:color w:val="FF0000"/>
          <w:lang w:eastAsia="zh-CN"/>
        </w:rPr>
      </w:pPr>
      <w:r>
        <w:t>After dosing with the clodose group on D1, male animals exhibited varying degrees of prostration, decreased activity, imbalance, rapid/shallow breathing, lethargy, twitching, and unstable gait. Female animals, except for 3F009, exhibited varying degrees of salivation, prostration, decreased activity, rapid/shallow breathing, lethargy, twitching, and unstable gait, as well as imbalance, muscle tremors, and hunchback symptoms. On D2, females 3F001 and 3F008 continued to exhibit symptoms of body chills, prostration, decreased activity, imbalance, and tremors. During D1 to D3, a total of 19 out of 20 animals (10 males and 9 females) died: 3M001, 3M002, 3M003, 3M004, 3M008, 3M009, 3F004, 3F005, 3F010 were found dead on D1; 3M005, 3M006, 3M007, 3M010, 3F002, 3F003, 3F006, 3F007 were found dead on D2; and 3F001, 3F008 were found dead on D3.</w:t>
      </w:r>
    </w:p>
    <w:p w14:paraId="3F18E453" w14:textId="77777777" w:rsidR="00F41D01" w:rsidRDefault="001A54EE" w:rsidP="00F30D05">
      <w:pPr>
        <w:widowControl w:val="0"/>
        <w:numPr>
          <w:ilvl w:val="2"/>
          <w:numId w:val="12"/>
        </w:numPr>
        <w:kinsoku w:val="0"/>
        <w:overflowPunct w:val="0"/>
        <w:autoSpaceDE w:val="0"/>
        <w:autoSpaceDN w:val="0"/>
        <w:spacing w:line="360" w:lineRule="auto"/>
        <w:jc w:val="both"/>
        <w:rPr>
          <w:b/>
          <w:lang w:eastAsia="zh-CN"/>
        </w:rPr>
      </w:pPr>
      <w:r>
        <w:t xml:space="preserve">  body weight</w:t>
      </w:r>
    </w:p>
    <w:p w14:paraId="38FC2350" w14:textId="77777777" w:rsidR="00F41D01" w:rsidRPr="00294EB7" w:rsidRDefault="005214C3">
      <w:pPr>
        <w:widowControl w:val="0"/>
        <w:spacing w:line="360" w:lineRule="auto"/>
        <w:ind w:firstLineChars="200" w:firstLine="480"/>
        <w:jc w:val="both"/>
        <w:rPr>
          <w:color w:val="FF0000"/>
          <w:kern w:val="2"/>
          <w:szCs w:val="20"/>
          <w:lang w:eastAsia="zh-CN"/>
        </w:rPr>
      </w:pPr>
      <w:r>
        <w:t>The results of body weight measurements are summarized in Appendix 2; individual data can be found in Appendix 3, Tables 8-1 and 8-2. Results indicate that the body weights of laboratory animals in the vehicle control group and the sbk002 dosage group were within normal fluctuation ranges before and after dosing, with no significant abnormalities related to the test article treatment.</w:t>
      </w:r>
    </w:p>
    <w:p w14:paraId="3BE381C4" w14:textId="77777777" w:rsidR="00F41D01" w:rsidRDefault="001A54EE" w:rsidP="00F30D05">
      <w:pPr>
        <w:widowControl w:val="0"/>
        <w:numPr>
          <w:ilvl w:val="2"/>
          <w:numId w:val="12"/>
        </w:numPr>
        <w:spacing w:line="360" w:lineRule="auto"/>
        <w:jc w:val="both"/>
        <w:rPr>
          <w:b/>
          <w:kern w:val="2"/>
          <w:szCs w:val="20"/>
          <w:lang w:eastAsia="zh-CN"/>
        </w:rPr>
      </w:pPr>
      <w:r>
        <w:t xml:space="preserve">  food consumption</w:t>
      </w:r>
    </w:p>
    <w:p w14:paraId="21F5FD8B" w14:textId="77777777" w:rsidR="00F41D01" w:rsidRPr="00294EB7" w:rsidRDefault="005214C3">
      <w:pPr>
        <w:widowControl w:val="0"/>
        <w:spacing w:line="360" w:lineRule="auto"/>
        <w:ind w:firstLineChars="200" w:firstLine="480"/>
        <w:jc w:val="both"/>
        <w:rPr>
          <w:color w:val="FF0000"/>
          <w:kern w:val="2"/>
          <w:szCs w:val="20"/>
          <w:lang w:eastAsia="zh-CN"/>
        </w:rPr>
      </w:pPr>
      <w:r>
        <w:t>Summary of food consumption determination results is in Appendix Two Table 3, individual data is in Appendix Three Table 9-1, 9-2. Results show: Compared to the vehicle control group, on D14 after dosing, food consumption in the male animals of the sbk002 dose group decreased (P&lt;0.01), but was still within the normal fluctuation range. No test article treatment-related remarkable findings were observed in food consumption of laboratory animals in the vehicle control group and sbk002 dose group before and after dosing.</w:t>
      </w:r>
    </w:p>
    <w:p w14:paraId="750C7FF4" w14:textId="77777777" w:rsidR="009F57B5" w:rsidRPr="00F80D3B" w:rsidRDefault="001A54EE" w:rsidP="009F57B5">
      <w:pPr>
        <w:widowControl w:val="0"/>
        <w:numPr>
          <w:ilvl w:val="2"/>
          <w:numId w:val="12"/>
        </w:numPr>
        <w:kinsoku w:val="0"/>
        <w:overflowPunct w:val="0"/>
        <w:autoSpaceDE w:val="0"/>
        <w:autoSpaceDN w:val="0"/>
        <w:spacing w:line="360" w:lineRule="auto"/>
        <w:jc w:val="both"/>
        <w:rPr>
          <w:rFonts w:hint="eastAsia"/>
          <w:b/>
          <w:kern w:val="2"/>
          <w:szCs w:val="20"/>
          <w:lang w:eastAsia="zh-CN"/>
        </w:rPr>
      </w:pPr>
      <w:r>
        <w:t xml:space="preserve">  Gross necropsy, organ weighing, and histopathological examination</w:t>
      </w:r>
    </w:p>
    <w:p w14:paraId="7B95B843" w14:textId="77777777" w:rsidR="00F80D3B" w:rsidRPr="00F80D3B" w:rsidRDefault="00F80D3B" w:rsidP="00F80D3B">
      <w:pPr>
        <w:spacing w:line="360" w:lineRule="auto"/>
        <w:ind w:firstLineChars="200" w:firstLine="480"/>
        <w:jc w:val="both"/>
        <w:rPr>
          <w:rFonts w:hint="eastAsia"/>
          <w:kern w:val="2"/>
          <w:lang w:eastAsia="zh-CN"/>
        </w:rPr>
      </w:pPr>
      <w:r>
        <w:t>Details of gross necropsy and histopathological examination results are provided in Appendix Four.</w:t>
      </w:r>
    </w:p>
    <w:p w14:paraId="39CACFA9" w14:textId="77777777" w:rsidR="00F41D01" w:rsidRPr="009F57B5" w:rsidRDefault="00F41D01" w:rsidP="009F57B5">
      <w:pPr>
        <w:widowControl w:val="0"/>
        <w:kinsoku w:val="0"/>
        <w:overflowPunct w:val="0"/>
        <w:autoSpaceDE w:val="0"/>
        <w:autoSpaceDN w:val="0"/>
        <w:spacing w:line="360" w:lineRule="auto"/>
        <w:jc w:val="both"/>
        <w:rPr>
          <w:b/>
          <w:kern w:val="2"/>
          <w:szCs w:val="20"/>
          <w:lang w:eastAsia="zh-CN"/>
        </w:rPr>
      </w:pPr>
      <w:r>
        <w:t>10.1.5.1.  Death or moribund condition</w:t>
      </w:r>
    </w:p>
    <w:p w14:paraId="348D60D6" w14:textId="77777777" w:rsidR="00F41D01" w:rsidRDefault="001E322F">
      <w:pPr>
        <w:spacing w:line="360" w:lineRule="auto"/>
        <w:ind w:firstLineChars="200" w:firstLine="480"/>
        <w:rPr>
          <w:rFonts w:hint="eastAsia"/>
          <w:lang w:eastAsia="zh-CN"/>
        </w:rPr>
      </w:pPr>
      <w:r>
        <w:t>clo dose group animals 3M001, 3M002, 3M003, 3M004, 3M008, 3M009, 3F004, 3F005, 3F010 were found dead on D1; 3M005, 3M006, 3M007, 3M010, 3F002, 3F003, 3F006, 3F007 were found dead on D2; 3F001, 3F008 were found dead on D3.</w:t>
      </w:r>
    </w:p>
    <w:p w14:paraId="2EC8AE6F" w14:textId="77777777" w:rsidR="00884036" w:rsidRDefault="00884036" w:rsidP="00884036">
      <w:pPr>
        <w:widowControl w:val="0"/>
        <w:spacing w:line="360" w:lineRule="auto"/>
        <w:jc w:val="both"/>
        <w:rPr>
          <w:b/>
          <w:kern w:val="2"/>
          <w:szCs w:val="20"/>
          <w:lang w:eastAsia="zh-CN"/>
        </w:rPr>
      </w:pPr>
      <w:r>
        <w:t>10.1.5.2.   Organ Weighing</w:t>
      </w:r>
    </w:p>
    <w:p w14:paraId="63D8B71B" w14:textId="77777777" w:rsidR="00884036" w:rsidRPr="00294EB7" w:rsidRDefault="00884036" w:rsidP="00884036">
      <w:pPr>
        <w:widowControl w:val="0"/>
        <w:spacing w:line="360" w:lineRule="auto"/>
        <w:ind w:firstLineChars="200" w:firstLine="480"/>
        <w:jc w:val="both"/>
        <w:rPr>
          <w:color w:val="FF0000"/>
          <w:kern w:val="2"/>
          <w:szCs w:val="20"/>
          <w:lang w:eastAsia="zh-CN"/>
        </w:rPr>
      </w:pPr>
      <w:r>
        <w:t>Animal organ absolute weight determination results are summarized in Appendix 2, tables 4-1 and 4-2, with individual data in Appendix 3, tables 10-1 and 10-2. Organ-to-body ratio calculation results are given in Appendix 2, tables 5-1 and 5-2, with individual data in Appendix 3, tables 11-1 and 11-2. Organ-to-brain ratio calculation results are in Appendix 2, tables 6-1 and 6-2, with individual data in Appendix 3, tables 12-1 and 12-2. Results show that on D15, compared with the vehicle control group, the sbk002 dose group female animals showed a significant reduction in brain weight (P&lt;0.05), uterus weight (including cervical uteri weight), and organ-to-body ratio (P&lt;0.05), while male animals showed a significant increase in lung and main bronchi organ-to-brain ratio (P&lt;0.05). Despite these statistical differences, they are within normal fluctuation ranges. Besides these findings, no statistically significant differences (P&gt;0.05) were observed for the organ weight, organ-to-body ratio, and organ-to-brain ratio of other laboratory animals compared to the vehicle control group, and there were no remarkable findings related to the test article treatment.</w:t>
      </w:r>
    </w:p>
    <w:p w14:paraId="0BF57E66" w14:textId="77777777" w:rsidR="00F41D01" w:rsidRDefault="00F41D01">
      <w:pPr>
        <w:widowControl w:val="0"/>
        <w:spacing w:line="360" w:lineRule="auto"/>
        <w:jc w:val="both"/>
        <w:rPr>
          <w:b/>
          <w:kern w:val="2"/>
          <w:szCs w:val="20"/>
          <w:lang w:eastAsia="zh-CN"/>
        </w:rPr>
      </w:pPr>
      <w:r>
        <w:t>10.1.5.3.  Gross necropsy observation</w:t>
      </w:r>
    </w:p>
    <w:p w14:paraId="63FEBEA2" w14:textId="77777777" w:rsidR="00F41D01" w:rsidRDefault="00491E93" w:rsidP="00B7626C">
      <w:pPr>
        <w:spacing w:line="360" w:lineRule="auto"/>
        <w:ind w:firstLineChars="200" w:firstLine="480"/>
        <w:jc w:val="both"/>
        <w:rPr>
          <w:rFonts w:hint="eastAsia"/>
          <w:lang w:eastAsia="zh-CN"/>
        </w:rPr>
      </w:pPr>
      <w:r>
        <w:t>Non-scheduled necropsy: gross necropsy observations revealed autolysis in 3F001, 3F002, 3F004, 3F006, 3F007, 3F008, 3F010, 3M001, 3M002, 3M003, 3M004, 3M005, 3M006, 3M009, 3M008, and 3M010; gastric expansion in 3F003 and 3M007; the gastric wall of 3F003 was transparent, with its contents being yellowish-orange pulp; focal dark red lung areas in 3M007; and yellowish change in the left lobe of the liver in 3F005.</w:t>
      </w:r>
    </w:p>
    <w:p w14:paraId="3EE433CE" w14:textId="77777777" w:rsidR="00491E93" w:rsidRDefault="00491E93" w:rsidP="00B7626C">
      <w:pPr>
        <w:spacing w:line="360" w:lineRule="auto"/>
        <w:ind w:firstLineChars="200" w:firstLine="480"/>
        <w:jc w:val="both"/>
        <w:rPr>
          <w:rFonts w:hint="eastAsia"/>
          <w:lang w:eastAsia="zh-CN"/>
        </w:rPr>
      </w:pPr>
      <w:r>
        <w:t>scheduled necropsy: gross necropsy observation did not reveal abnormalities.</w:t>
      </w:r>
    </w:p>
    <w:p w14:paraId="53A42F57" w14:textId="77777777" w:rsidR="00491E93" w:rsidRDefault="00491E93" w:rsidP="00491E93">
      <w:pPr>
        <w:spacing w:line="360" w:lineRule="auto"/>
        <w:jc w:val="both"/>
        <w:rPr>
          <w:rFonts w:hint="eastAsia"/>
          <w:b/>
          <w:kern w:val="2"/>
          <w:szCs w:val="20"/>
          <w:lang w:eastAsia="zh-CN"/>
        </w:rPr>
      </w:pPr>
      <w:r>
        <w:t>10.1.5.4.  Histopathological examination</w:t>
      </w:r>
    </w:p>
    <w:p w14:paraId="5CB8FDB6" w14:textId="77777777" w:rsidR="00491E93" w:rsidRPr="00491E93" w:rsidRDefault="00491E93" w:rsidP="00B7626C">
      <w:pPr>
        <w:spacing w:line="360" w:lineRule="auto"/>
        <w:ind w:firstLineChars="200" w:firstLine="480"/>
        <w:jc w:val="both"/>
        <w:rPr>
          <w:color w:val="FF0000"/>
          <w:lang w:eastAsia="zh-CN"/>
        </w:rPr>
      </w:pPr>
      <w:r>
        <w:t>clo dose group animal 3F003 showed severe necrosis in the stomach with moderate pigment deposition; animal 3M007 showed moderate necrosis in the stomach with minimal pigment deposition, and mild congestion in the lungs. These results are consistent with gross necropsy observations. No significant pathological changes were observed in the liver of 3F005. The direct cause of death of the animals could not be determined. The deaths of 3F003 and 3M007 may be related to digestive system toxicity, and the pathological changes in the lungs may be related to post-mortem organ congestion.</w:t>
      </w:r>
    </w:p>
    <w:p w14:paraId="3FEA188B" w14:textId="77777777" w:rsidR="00F41D01" w:rsidRDefault="00F41D01" w:rsidP="00F30D05">
      <w:pPr>
        <w:keepNext/>
        <w:widowControl w:val="0"/>
        <w:numPr>
          <w:ilvl w:val="1"/>
          <w:numId w:val="12"/>
        </w:numPr>
        <w:spacing w:line="360" w:lineRule="auto"/>
        <w:jc w:val="both"/>
        <w:outlineLvl w:val="1"/>
        <w:rPr>
          <w:b/>
          <w:kern w:val="2"/>
          <w:lang w:eastAsia="zh-CN"/>
        </w:rPr>
      </w:pPr>
      <w:r>
        <w:t>Discussion</w:t>
      </w:r>
    </w:p>
    <w:p w14:paraId="12BC55C7" w14:textId="77777777" w:rsidR="00F41D01" w:rsidRPr="00294EB7" w:rsidRDefault="00F41D01" w:rsidP="00262159">
      <w:pPr>
        <w:widowControl w:val="0"/>
        <w:spacing w:line="360" w:lineRule="auto"/>
        <w:ind w:firstLineChars="200" w:firstLine="480"/>
        <w:jc w:val="both"/>
        <w:rPr>
          <w:color w:val="FF0000"/>
          <w:kern w:val="2"/>
          <w:lang w:eastAsia="zh-CN"/>
        </w:rPr>
      </w:pPr>
      <w:r>
        <w:t>Under the conditions of this assay, ICR mice were gavaged with sbk002 and clo at a dosage of 5000 mg/kg in a single administration, followed by continuous observation for 14 days. The laboratory animals in the solvent control group and the sbk002 dosage group survived until the scheduled necropsy, and no remarkable findings related to the test article treatment were observed in general state observation, body weight, or food consumption. In the clo dosage group, 19/20 animals (10 males and 9 females) died during the D1 to D3 period. After administration on D1, the laboratory animals (except for 3F009) exhibited various degrees of salivation, lying down, decreased activity, accelerated respiration, weakness, convulsions, and unsteady gait, along with symptoms such as ataxia, muscle spasms, and hunched posture. By D2, female animals 3F001 and 3F008 in the clo dosage group still exhibited symptoms of low body temperature, lying down, decreased activity, ataxia, and muscle spasms.</w:t>
      </w:r>
    </w:p>
    <w:p w14:paraId="5E337F7E" w14:textId="77777777" w:rsidR="00F41D01" w:rsidRDefault="00F41D01" w:rsidP="008A2A7D">
      <w:pPr>
        <w:widowControl w:val="0"/>
        <w:spacing w:line="360" w:lineRule="auto"/>
        <w:ind w:firstLineChars="200" w:firstLine="480"/>
        <w:jc w:val="both"/>
        <w:rPr>
          <w:kern w:val="2"/>
          <w:szCs w:val="20"/>
          <w:lang w:eastAsia="zh-CN"/>
        </w:rPr>
      </w:pPr>
      <w:r>
        <w:t>Under assay conditions, at D15, compared to the vehicle control group, female animals in the sbk002 dose group exhibited a decrease in brain weight, uterus (including cervix) weight, and organ-to-body ratio, while male animals exhibited an increase in lung and main bronchi organ-to-brain ratio. Although these testing results showed statistical differences, they were within normal fluctuation ranges, and no obvious pathological changes were observed through gross observation, therefore these findings are considered to be of no toxicological significance. Additionally, the differences in organ weight, organ-to-body ratio, and organ-to-brain ratio of the laboratory animals compared to the vehicle control group were statistically insignificant (P&gt;0.05), and no remarkable findings related to the test article administration were observed. No obvious pathological changes were observed in the sbk002 dose group through gross necropsy. In the clo dose group, the deceased animals showed signs of lung congestion, stomach necrosis, and pigment deposition in the stomach upon gross lesion histopathological examination. The direct cause of death for these animals could not be determined; the death of 3F003 and 3M007 could be related to toxicity in the digestive system, and the pathological changes in the lungs may be related to post-mortem organ congestion.</w:t>
      </w:r>
    </w:p>
    <w:p w14:paraId="78AEFA8F" w14:textId="77777777" w:rsidR="00F41D01" w:rsidRDefault="00F41D01">
      <w:pPr>
        <w:tabs>
          <w:tab w:val="left" w:pos="6930"/>
        </w:tabs>
        <w:spacing w:line="360" w:lineRule="auto"/>
        <w:ind w:firstLineChars="200" w:firstLine="480"/>
        <w:rPr>
          <w:lang w:eastAsia="zh-CN"/>
        </w:rPr>
      </w:pPr>
    </w:p>
    <w:p w14:paraId="6BCF2E77"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r>
        <w:t>Conclusion</w:t>
      </w:r>
    </w:p>
    <w:p w14:paraId="06368871" w14:textId="77777777" w:rsidR="00F41D01" w:rsidRPr="00294EB7" w:rsidRDefault="00525297">
      <w:pPr>
        <w:spacing w:line="360" w:lineRule="auto"/>
        <w:ind w:firstLineChars="200" w:firstLine="480"/>
        <w:jc w:val="both"/>
        <w:rPr>
          <w:color w:val="FF0000"/>
          <w:lang w:eastAsia="zh-CN"/>
        </w:rPr>
      </w:pPr>
      <w:r>
        <w:t>In summary, under the conditions of this experiment, the maximum tolerated dose (MTD) of sbk002 administered via single oral gavage to ICR mice is ≥5000 mg/kg, while the median lethal dose (LD50) of clo under the same dose is &lt;5000 mg/kg.</w:t>
      </w:r>
    </w:p>
    <w:p w14:paraId="751CF83E" w14:textId="77777777" w:rsidR="00F41D01" w:rsidRDefault="00F41D01">
      <w:pPr>
        <w:widowControl w:val="0"/>
        <w:spacing w:line="360" w:lineRule="auto"/>
        <w:ind w:firstLineChars="200" w:firstLine="480"/>
        <w:jc w:val="both"/>
        <w:rPr>
          <w:kern w:val="2"/>
          <w:lang w:eastAsia="zh-CN"/>
        </w:rPr>
      </w:pPr>
    </w:p>
    <w:p w14:paraId="736C4E44"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r>
        <w:t>Study protocol amendments and deviations</w:t>
      </w:r>
    </w:p>
    <w:p w14:paraId="1D038EB3" w14:textId="77777777" w:rsidR="00843646" w:rsidRPr="005C2CD0" w:rsidRDefault="00843646" w:rsidP="00843646">
      <w:pPr>
        <w:pStyle w:val="WXBullets"/>
        <w:spacing w:line="360" w:lineRule="auto"/>
        <w:ind w:left="0" w:firstLineChars="200" w:firstLine="480"/>
        <w:rPr>
          <w:rFonts w:cs="Times New Roman" w:hint="eastAsia"/>
        </w:rPr>
      </w:pPr>
      <w:r>
        <w:t>study protocol and amendments detailed in Appendix 5;</w:t>
      </w:r>
    </w:p>
    <w:p w14:paraId="2C863694" w14:textId="77777777" w:rsidR="00884036" w:rsidRPr="00884036" w:rsidRDefault="00843646" w:rsidP="00884036">
      <w:pPr>
        <w:pStyle w:val="WXBullets"/>
        <w:spacing w:after="0" w:line="360" w:lineRule="auto"/>
        <w:ind w:left="0" w:firstLineChars="200" w:firstLine="480"/>
        <w:rPr>
          <w:rFonts w:hint="eastAsia"/>
        </w:rPr>
      </w:pPr>
      <w:r>
        <w:t>During this assay, two protocol amendments were made: 1. Changes in the preparation method of the test article, vehicle control group sampling method, dose formulation sampling time, and the stirring time with a magnetic stirrer before dosing. 2. Changes in the statistical analysis method.</w:t>
      </w:r>
    </w:p>
    <w:p w14:paraId="33E8A588" w14:textId="77777777" w:rsidR="00423734" w:rsidRDefault="0093543E" w:rsidP="00423734">
      <w:pPr>
        <w:pStyle w:val="WXBullets"/>
        <w:spacing w:after="0" w:line="360" w:lineRule="auto"/>
        <w:ind w:left="0" w:firstLineChars="200" w:firstLine="480"/>
        <w:rPr>
          <w:rFonts w:cs="Times New Roman" w:hint="eastAsia"/>
        </w:rPr>
      </w:pPr>
      <w:r>
        <w:t>No deviations occurred in this assay.</w:t>
      </w:r>
    </w:p>
    <w:p w14:paraId="7F231D1B" w14:textId="77777777" w:rsidR="0093543E" w:rsidRPr="00423734" w:rsidRDefault="0093543E" w:rsidP="00423734">
      <w:pPr>
        <w:pStyle w:val="WXBullets"/>
        <w:spacing w:after="0" w:line="360" w:lineRule="auto"/>
        <w:ind w:left="0" w:firstLineChars="200" w:firstLine="480"/>
        <w:rPr>
          <w:rFonts w:cs="Times New Roman"/>
        </w:rPr>
      </w:pPr>
    </w:p>
    <w:p w14:paraId="012098B0"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r>
        <w:t>Storage of Relevant Data</w:t>
      </w:r>
    </w:p>
    <w:p w14:paraId="5A8E3F6C" w14:textId="77777777" w:rsidR="00F41D01" w:rsidRDefault="00F41D01">
      <w:pPr>
        <w:keepNext/>
        <w:widowControl w:val="0"/>
        <w:numPr>
          <w:ilvl w:val="1"/>
          <w:numId w:val="7"/>
        </w:numPr>
        <w:spacing w:line="360" w:lineRule="auto"/>
        <w:ind w:left="0" w:firstLine="0"/>
        <w:jc w:val="both"/>
        <w:outlineLvl w:val="1"/>
        <w:rPr>
          <w:b/>
          <w:kern w:val="2"/>
          <w:lang w:eastAsia="zh-CN"/>
        </w:rPr>
      </w:pPr>
      <w:r>
        <w:t>Archiving Time</w:t>
      </w:r>
    </w:p>
    <w:p w14:paraId="1E2407E0" w14:textId="77777777" w:rsidR="00F41D01" w:rsidRDefault="00F41D01">
      <w:pPr>
        <w:widowControl w:val="0"/>
        <w:spacing w:line="360" w:lineRule="auto"/>
        <w:ind w:firstLineChars="200" w:firstLine="480"/>
        <w:jc w:val="both"/>
        <w:rPr>
          <w:kern w:val="2"/>
          <w:szCs w:val="20"/>
          <w:lang w:eastAsia="zh-CN"/>
        </w:rPr>
      </w:pPr>
      <w:r>
        <w:t>Within 2 weeks of the subject's conclusion, the person in charge of the subject will transfer the experimental materials to the archives management department for filing. Paper materials will be stored for at least five years after the pharmaceutical product is marketed, while electronic documents will be stored permanently. Wet specimens and other biological specimens will be stored for a limited time, ensuring they do not affect their quality.</w:t>
      </w:r>
    </w:p>
    <w:p w14:paraId="674EE20E" w14:textId="77777777" w:rsidR="00F41D01" w:rsidRDefault="00F41D01">
      <w:pPr>
        <w:keepNext/>
        <w:widowControl w:val="0"/>
        <w:numPr>
          <w:ilvl w:val="1"/>
          <w:numId w:val="7"/>
        </w:numPr>
        <w:spacing w:line="360" w:lineRule="auto"/>
        <w:ind w:left="0" w:firstLine="0"/>
        <w:jc w:val="both"/>
        <w:outlineLvl w:val="1"/>
        <w:rPr>
          <w:b/>
          <w:kern w:val="2"/>
          <w:lang w:eastAsia="zh-CN"/>
        </w:rPr>
      </w:pPr>
      <w:r>
        <w:t>Storage site and Storage condition</w:t>
      </w:r>
    </w:p>
    <w:p w14:paraId="58433071" w14:textId="77777777" w:rsidR="00F41D01" w:rsidRDefault="00F41D01">
      <w:pPr>
        <w:widowControl w:val="0"/>
        <w:tabs>
          <w:tab w:val="left" w:pos="900"/>
        </w:tabs>
        <w:spacing w:line="360" w:lineRule="auto"/>
        <w:ind w:firstLineChars="200" w:firstLine="480"/>
        <w:jc w:val="both"/>
        <w:rPr>
          <w:kern w:val="2"/>
          <w:szCs w:val="20"/>
          <w:lang w:eastAsia="zh-CN"/>
        </w:rPr>
      </w:pPr>
      <w:r>
        <w:t>Storage location: Suzhou Huace Biomedical Technology Co., Ltd. Archives Management Department;</w:t>
      </w:r>
    </w:p>
    <w:p w14:paraId="24A63479" w14:textId="77777777" w:rsidR="00F41D01" w:rsidRDefault="00F41D01">
      <w:pPr>
        <w:widowControl w:val="0"/>
        <w:tabs>
          <w:tab w:val="left" w:pos="900"/>
        </w:tabs>
        <w:spacing w:line="360" w:lineRule="auto"/>
        <w:ind w:firstLineChars="200" w:firstLine="480"/>
        <w:jc w:val="both"/>
        <w:rPr>
          <w:rFonts w:hint="eastAsia"/>
          <w:kern w:val="2"/>
          <w:szCs w:val="20"/>
          <w:lang w:eastAsia="zh-CN"/>
        </w:rPr>
      </w:pPr>
      <w:r>
        <w:t>Storage condition: routine;</w:t>
      </w:r>
    </w:p>
    <w:p w14:paraId="1737BC22" w14:textId="77777777" w:rsidR="00F41D01" w:rsidRDefault="00F41D01">
      <w:pPr>
        <w:widowControl w:val="0"/>
        <w:tabs>
          <w:tab w:val="left" w:pos="900"/>
        </w:tabs>
        <w:spacing w:line="360" w:lineRule="auto"/>
        <w:ind w:firstLineChars="200" w:firstLine="480"/>
        <w:jc w:val="both"/>
        <w:rPr>
          <w:kern w:val="2"/>
          <w:szCs w:val="20"/>
          <w:lang w:eastAsia="zh-CN"/>
        </w:rPr>
      </w:pPr>
      <w:r>
        <w:t>Contact person: Lu Li;</w:t>
      </w:r>
    </w:p>
    <w:p w14:paraId="50392457" w14:textId="77777777" w:rsidR="00F41D01" w:rsidRDefault="00F41D01">
      <w:pPr>
        <w:widowControl w:val="0"/>
        <w:tabs>
          <w:tab w:val="left" w:pos="900"/>
        </w:tabs>
        <w:spacing w:line="360" w:lineRule="auto"/>
        <w:ind w:firstLineChars="200" w:firstLine="480"/>
        <w:jc w:val="both"/>
        <w:rPr>
          <w:kern w:val="2"/>
          <w:szCs w:val="20"/>
          <w:lang w:eastAsia="zh-CN"/>
        </w:rPr>
      </w:pPr>
      <w:r>
        <w:t>Contact telephone: 0512-36801688.</w:t>
      </w:r>
    </w:p>
    <w:p w14:paraId="3B33FC17" w14:textId="77777777" w:rsidR="00F41D01" w:rsidRDefault="00F41D01">
      <w:pPr>
        <w:widowControl w:val="0"/>
        <w:kinsoku w:val="0"/>
        <w:overflowPunct w:val="0"/>
        <w:autoSpaceDE w:val="0"/>
        <w:autoSpaceDN w:val="0"/>
        <w:spacing w:line="360" w:lineRule="auto"/>
        <w:jc w:val="both"/>
        <w:rPr>
          <w:b/>
          <w:kern w:val="2"/>
          <w:sz w:val="28"/>
          <w:szCs w:val="28"/>
          <w:lang w:eastAsia="zh-CN"/>
        </w:rPr>
      </w:pPr>
      <w:bookmarkStart w:id="615" w:name="_Toc30665"/>
      <w:bookmarkStart w:id="616" w:name="_Toc414463137"/>
      <w:bookmarkStart w:id="617" w:name="_Toc418068317"/>
      <w:bookmarkStart w:id="618" w:name="_Toc417050505"/>
      <w:bookmarkStart w:id="619" w:name="_Toc15684"/>
      <w:bookmarkStart w:id="620" w:name="_Toc437680726"/>
      <w:bookmarkStart w:id="621" w:name="_Toc414024578"/>
      <w:bookmarkStart w:id="622" w:name="_Toc4815"/>
      <w:bookmarkStart w:id="623" w:name="_Toc20752"/>
      <w:bookmarkStart w:id="624" w:name="_Toc22399"/>
      <w:bookmarkStart w:id="625" w:name="_Toc1782"/>
      <w:bookmarkStart w:id="626" w:name="_Toc438910813"/>
      <w:bookmarkStart w:id="627" w:name="_Toc456081767"/>
    </w:p>
    <w:p w14:paraId="545ADA11"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r>
        <w:t>Mainly reference documents</w:t>
      </w:r>
    </w:p>
    <w:p w14:paraId="3C6CA49A" w14:textId="77777777" w:rsidR="00F41D01" w:rsidRDefault="00F41D01">
      <w:pPr>
        <w:spacing w:line="360" w:lineRule="auto"/>
        <w:ind w:firstLineChars="200" w:firstLine="480"/>
        <w:rPr>
          <w:rFonts w:hint="eastAsia"/>
          <w:lang w:eastAsia="zh-CN"/>
        </w:rPr>
      </w:pPr>
      <w:r>
        <w:t>[1] Bo Li, Boyun Yuan, Mingyang Liao. Pharmacotoxicology. People's Health Publishing House, 2015: 523-525.</w:t>
      </w:r>
    </w:p>
    <w:p w14:paraId="2EF38D66" w14:textId="77777777" w:rsidR="00F41D01" w:rsidRDefault="00F41D01">
      <w:pPr>
        <w:spacing w:line="360" w:lineRule="auto"/>
        <w:ind w:firstLineChars="200" w:firstLine="480"/>
        <w:rPr>
          <w:rFonts w:hint="eastAsia"/>
          <w:lang w:eastAsia="zh-CN"/>
        </w:rPr>
      </w:pPr>
      <w:r>
        <w:t>[2] Yuan Bojun, Liao Mingyang, Li Bo. Laboratory Methods and Techniques in Toxicology. Chemical Industry Press, 2007: 200-210.</w:t>
      </w:r>
    </w:p>
    <w:p w14:paraId="508459A5" w14:textId="77777777" w:rsidR="00F41D01" w:rsidRDefault="00F41D01">
      <w:pPr>
        <w:spacing w:line="360" w:lineRule="auto"/>
        <w:ind w:firstLineChars="200" w:firstLine="480"/>
        <w:jc w:val="both"/>
        <w:rPr>
          <w:rFonts w:hint="eastAsia"/>
          <w:kern w:val="2"/>
          <w:lang w:eastAsia="zh-CN"/>
        </w:rPr>
      </w:pPr>
      <w:r>
        <w:rPr>
          <w:rFonts w:hint="eastAsia"/>
          <w:kern w:val="2"/>
          <w:lang w:eastAsia="zh-CN"/>
        </w:rPr>
        <w:t xml:space="preserve">[3] </w:t>
      </w:r>
      <w:r>
        <w:rPr>
          <w:kern w:val="2"/>
          <w:lang w:eastAsia="zh-CN"/>
        </w:rPr>
        <w:t>Redbook 200</w:t>
      </w:r>
      <w:r>
        <w:rPr>
          <w:rFonts w:hint="eastAsia"/>
          <w:kern w:val="2"/>
          <w:lang w:eastAsia="zh-CN"/>
        </w:rPr>
        <w:t xml:space="preserve">0. </w:t>
      </w:r>
      <w:r>
        <w:rPr>
          <w:kern w:val="2"/>
          <w:lang w:eastAsia="zh-CN"/>
        </w:rPr>
        <w:t>Guidance for Industry and Other Stakeholders</w:t>
      </w:r>
      <w:r>
        <w:rPr>
          <w:rFonts w:hint="eastAsia"/>
          <w:kern w:val="2"/>
          <w:lang w:eastAsia="zh-CN"/>
        </w:rPr>
        <w:t xml:space="preserve"> </w:t>
      </w:r>
      <w:r>
        <w:rPr>
          <w:kern w:val="2"/>
          <w:lang w:eastAsia="zh-CN"/>
        </w:rPr>
        <w:t>Toxicological Principles for the Safety Assessment of Food</w:t>
      </w:r>
      <w:r>
        <w:rPr>
          <w:rFonts w:hint="eastAsia"/>
          <w:kern w:val="2"/>
          <w:lang w:eastAsia="zh-CN"/>
        </w:rPr>
        <w:t xml:space="preserve"> </w:t>
      </w:r>
      <w:r>
        <w:rPr>
          <w:kern w:val="2"/>
          <w:lang w:eastAsia="zh-CN"/>
        </w:rPr>
        <w:t>Ingredients</w:t>
      </w:r>
      <w:r>
        <w:rPr>
          <w:rFonts w:hint="eastAsia"/>
          <w:kern w:val="2"/>
          <w:lang w:eastAsia="zh-CN"/>
        </w:rPr>
        <w:t xml:space="preserve">. FDA. 2007. </w:t>
      </w:r>
    </w:p>
    <w:p w14:paraId="006FF5BF" w14:textId="77777777" w:rsidR="00F41D01" w:rsidRDefault="00F41D01">
      <w:pPr>
        <w:widowControl w:val="0"/>
        <w:spacing w:line="360" w:lineRule="auto"/>
        <w:jc w:val="both"/>
        <w:rPr>
          <w:bCs/>
          <w:lang w:eastAsia="zh-CN"/>
        </w:rPr>
      </w:pPr>
    </w:p>
    <w:p w14:paraId="62335BF4" w14:textId="77777777" w:rsidR="00F41D01" w:rsidRDefault="00F41D01">
      <w:pPr>
        <w:keepNext/>
        <w:widowControl w:val="0"/>
        <w:numPr>
          <w:ilvl w:val="0"/>
          <w:numId w:val="7"/>
        </w:numPr>
        <w:spacing w:line="360" w:lineRule="auto"/>
        <w:ind w:left="0" w:firstLine="0"/>
        <w:jc w:val="both"/>
        <w:outlineLvl w:val="0"/>
        <w:rPr>
          <w:b/>
          <w:kern w:val="2"/>
          <w:sz w:val="28"/>
          <w:szCs w:val="28"/>
          <w:lang w:eastAsia="zh-CN"/>
        </w:rPr>
      </w:pPr>
      <w:r>
        <w:t>Appendixes</w:t>
      </w:r>
    </w:p>
    <w:p w14:paraId="675B88FD" w14:textId="77777777" w:rsidR="00F41D01" w:rsidRDefault="00F41D01">
      <w:pPr>
        <w:widowControl w:val="0"/>
        <w:autoSpaceDE w:val="0"/>
        <w:autoSpaceDN w:val="0"/>
        <w:adjustRightInd w:val="0"/>
        <w:spacing w:line="360" w:lineRule="auto"/>
        <w:rPr>
          <w:kern w:val="2"/>
          <w:lang w:eastAsia="zh-CN"/>
        </w:rPr>
      </w:pPr>
      <w:r>
        <w:t>15.1.     Appendix One: Dose Formulations Analysis Report</w:t>
      </w:r>
    </w:p>
    <w:p w14:paraId="3DA3460D" w14:textId="77777777" w:rsidR="00F41D01" w:rsidRDefault="00F41D01">
      <w:pPr>
        <w:widowControl w:val="0"/>
        <w:autoSpaceDE w:val="0"/>
        <w:autoSpaceDN w:val="0"/>
        <w:adjustRightInd w:val="0"/>
        <w:spacing w:line="360" w:lineRule="auto"/>
        <w:rPr>
          <w:kern w:val="2"/>
          <w:lang w:eastAsia="zh-CN"/>
        </w:rPr>
      </w:pPr>
      <w:r>
        <w:t>15.2.     Appendix II: assay result statistical summary</w:t>
      </w:r>
    </w:p>
    <w:p w14:paraId="3BC32907" w14:textId="77777777" w:rsidR="00F41D01" w:rsidRDefault="00F41D01">
      <w:pPr>
        <w:widowControl w:val="0"/>
        <w:autoSpaceDE w:val="0"/>
        <w:autoSpaceDN w:val="0"/>
        <w:adjustRightInd w:val="0"/>
        <w:spacing w:line="360" w:lineRule="auto"/>
        <w:rPr>
          <w:rFonts w:hint="eastAsia"/>
          <w:kern w:val="2"/>
          <w:lang w:eastAsia="zh-CN"/>
        </w:rPr>
      </w:pPr>
      <w:r>
        <w:t>15.3.     Appendix Three: Assay result individual data</w:t>
      </w:r>
    </w:p>
    <w:p w14:paraId="4909D63F" w14:textId="77777777" w:rsidR="00F80D3B" w:rsidRDefault="00F80D3B">
      <w:pPr>
        <w:widowControl w:val="0"/>
        <w:autoSpaceDE w:val="0"/>
        <w:autoSpaceDN w:val="0"/>
        <w:adjustRightInd w:val="0"/>
        <w:spacing w:line="360" w:lineRule="auto"/>
        <w:rPr>
          <w:rFonts w:hint="eastAsia"/>
          <w:kern w:val="2"/>
          <w:lang w:eastAsia="zh-CN"/>
        </w:rPr>
      </w:pPr>
      <w:r>
        <w:t>15.4.     Appendix IV: Pathology examination report</w:t>
      </w:r>
    </w:p>
    <w:p w14:paraId="196D0D86" w14:textId="77777777" w:rsidR="00D45DEE" w:rsidRDefault="00F41D01">
      <w:pPr>
        <w:widowControl w:val="0"/>
        <w:autoSpaceDE w:val="0"/>
        <w:autoSpaceDN w:val="0"/>
        <w:adjustRightInd w:val="0"/>
        <w:spacing w:line="360" w:lineRule="auto"/>
        <w:rPr>
          <w:rFonts w:hint="eastAsia"/>
          <w:kern w:val="2"/>
          <w:lang w:eastAsia="zh-CN"/>
        </w:rPr>
      </w:pPr>
      <w:r>
        <w:t>15.5.     Appendix Five: study protocol and amendments</w:t>
      </w:r>
    </w:p>
    <w:p w14:paraId="07AC90F8" w14:textId="77777777" w:rsidR="00F41D01" w:rsidRDefault="00F41D01">
      <w:pPr>
        <w:widowControl w:val="0"/>
        <w:autoSpaceDE w:val="0"/>
        <w:autoSpaceDN w:val="0"/>
        <w:adjustRightInd w:val="0"/>
        <w:spacing w:line="360" w:lineRule="auto"/>
        <w:rPr>
          <w:kern w:val="2"/>
          <w:lang w:eastAsia="zh-CN"/>
        </w:rPr>
      </w:pPr>
      <w:r>
        <w:t>15.6.     Appendix VI: temperature and humidity report</w:t>
      </w:r>
    </w:p>
    <w:p w14:paraId="024231EB" w14:textId="77777777" w:rsidR="00F41D01" w:rsidRDefault="00F41D01">
      <w:pPr>
        <w:widowControl w:val="0"/>
        <w:kinsoku w:val="0"/>
        <w:overflowPunct w:val="0"/>
        <w:autoSpaceDE w:val="0"/>
        <w:autoSpaceDN w:val="0"/>
        <w:adjustRightInd w:val="0"/>
        <w:snapToGrid w:val="0"/>
        <w:spacing w:line="360" w:lineRule="auto"/>
        <w:jc w:val="both"/>
        <w:rPr>
          <w:b/>
          <w:bCs/>
          <w:lang w:eastAsia="zh-CN"/>
        </w:rPr>
        <w:sectPr w:rsidR="00F41D01" w:rsidSect="00B328ED">
          <w:pgSz w:w="11907" w:h="16840"/>
          <w:pgMar w:top="1440" w:right="1800" w:bottom="1440" w:left="1800" w:header="482" w:footer="851" w:gutter="0"/>
          <w:cols w:space="720"/>
          <w:titlePg/>
          <w:docGrid w:linePitch="360"/>
        </w:sectPr>
      </w:pPr>
    </w:p>
    <w:p w14:paraId="4081C436" w14:textId="77777777" w:rsidR="00F41D01" w:rsidRDefault="00F41D01">
      <w:pPr>
        <w:keepNext/>
        <w:widowControl w:val="0"/>
        <w:numPr>
          <w:ilvl w:val="1"/>
          <w:numId w:val="7"/>
        </w:numPr>
        <w:spacing w:line="360" w:lineRule="auto"/>
        <w:ind w:left="0" w:firstLine="0"/>
        <w:jc w:val="both"/>
        <w:outlineLvl w:val="1"/>
        <w:rPr>
          <w:b/>
          <w:kern w:val="2"/>
          <w:lang w:eastAsia="zh-CN"/>
        </w:rPr>
      </w:pPr>
      <w:r>
        <w:t>Appendix One: Dose Formulation Analysis Report</w:t>
      </w:r>
    </w:p>
    <w:p w14:paraId="4D511C2B"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BB2723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7D4849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EEF822D"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561D2B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4DD6C3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D8CE9CD" w14:textId="77777777" w:rsidR="00F41D01" w:rsidRDefault="00F41D01">
      <w:pPr>
        <w:widowControl w:val="0"/>
        <w:kinsoku w:val="0"/>
        <w:overflowPunct w:val="0"/>
        <w:autoSpaceDE w:val="0"/>
        <w:autoSpaceDN w:val="0"/>
        <w:adjustRightInd w:val="0"/>
        <w:snapToGrid w:val="0"/>
        <w:spacing w:line="360" w:lineRule="auto"/>
        <w:rPr>
          <w:b/>
          <w:bCs/>
          <w:lang w:eastAsia="zh-CN"/>
        </w:rPr>
      </w:pPr>
    </w:p>
    <w:p w14:paraId="71F207F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6D281B7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6B29FF0"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DAE8FD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CD0A97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C01C7A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B54CC1F"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t>Study Name: ICR mouse gavage administration of sbk002 and phosphorous acid cyanohydroxyguanidine primary intermediates</w:t>
      </w:r>
    </w:p>
    <w:p w14:paraId="0F27B089"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t>Single-dose toxicity studies</w:t>
      </w:r>
    </w:p>
    <w:p w14:paraId="00AC2122" w14:textId="77777777" w:rsidR="00F41D01"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t>Study number: A2018030-T001-01</w:t>
      </w:r>
    </w:p>
    <w:p w14:paraId="667FD304" w14:textId="77777777" w:rsidR="00F41D01" w:rsidRDefault="00F41D01">
      <w:pPr>
        <w:widowControl w:val="0"/>
        <w:kinsoku w:val="0"/>
        <w:overflowPunct w:val="0"/>
        <w:autoSpaceDE w:val="0"/>
        <w:autoSpaceDN w:val="0"/>
        <w:adjustRightInd w:val="0"/>
        <w:snapToGrid w:val="0"/>
        <w:spacing w:line="360" w:lineRule="auto"/>
        <w:jc w:val="both"/>
        <w:outlineLvl w:val="1"/>
        <w:rPr>
          <w:bCs/>
          <w:lang w:eastAsia="zh-CN"/>
        </w:rPr>
        <w:sectPr w:rsidR="00F41D01">
          <w:pgSz w:w="11907" w:h="16840"/>
          <w:pgMar w:top="1440" w:right="1803" w:bottom="1440" w:left="1803" w:header="482" w:footer="851" w:gutter="0"/>
          <w:cols w:space="720"/>
          <w:titlePg/>
          <w:docGrid w:linePitch="360"/>
        </w:sectPr>
      </w:pPr>
    </w:p>
    <w:p w14:paraId="50CF2D1A" w14:textId="77777777" w:rsidR="00F41D01" w:rsidRDefault="00F41D01">
      <w:pPr>
        <w:keepNext/>
        <w:widowControl w:val="0"/>
        <w:numPr>
          <w:ilvl w:val="1"/>
          <w:numId w:val="7"/>
        </w:numPr>
        <w:spacing w:line="360" w:lineRule="auto"/>
        <w:ind w:left="0" w:firstLine="0"/>
        <w:jc w:val="both"/>
        <w:outlineLvl w:val="1"/>
        <w:rPr>
          <w:b/>
          <w:kern w:val="2"/>
          <w:lang w:eastAsia="zh-CN"/>
        </w:rPr>
      </w:pPr>
      <w:r>
        <w:t>Appendix Two: Experiment Results Statistical Summary</w:t>
      </w:r>
    </w:p>
    <w:p w14:paraId="37020BE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64902F8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A7C433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C2C0B91"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0C4B16A"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4D6ED06"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44FDDE4" w14:textId="77777777" w:rsidR="00F41D01" w:rsidRDefault="00F41D01">
      <w:pPr>
        <w:widowControl w:val="0"/>
        <w:kinsoku w:val="0"/>
        <w:overflowPunct w:val="0"/>
        <w:autoSpaceDE w:val="0"/>
        <w:autoSpaceDN w:val="0"/>
        <w:adjustRightInd w:val="0"/>
        <w:snapToGrid w:val="0"/>
        <w:spacing w:line="360" w:lineRule="auto"/>
        <w:rPr>
          <w:b/>
          <w:bCs/>
          <w:lang w:eastAsia="zh-CN"/>
        </w:rPr>
      </w:pPr>
    </w:p>
    <w:p w14:paraId="77003E1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F5A85B1"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EC7BE0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FD1ED8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3915B5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A69B42E"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4321C8F"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t xml:space="preserve"> Study Name: ICR mouse gavage with sbk002 and sodium bisulfite paraben raw material drug</w:t>
      </w:r>
    </w:p>
    <w:p w14:paraId="017E573F"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t>Single-dose toxicity studies</w:t>
      </w:r>
    </w:p>
    <w:p w14:paraId="66E5AF53"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t>Study number: A2018030-T001-01</w:t>
      </w:r>
    </w:p>
    <w:p w14:paraId="14840023" w14:textId="77777777" w:rsidR="00F41D01" w:rsidRDefault="00F41D01">
      <w:pPr>
        <w:widowControl w:val="0"/>
        <w:kinsoku w:val="0"/>
        <w:overflowPunct w:val="0"/>
        <w:autoSpaceDE w:val="0"/>
        <w:autoSpaceDN w:val="0"/>
        <w:adjustRightInd w:val="0"/>
        <w:snapToGrid w:val="0"/>
        <w:spacing w:line="360" w:lineRule="auto"/>
        <w:jc w:val="both"/>
        <w:outlineLvl w:val="1"/>
        <w:rPr>
          <w:bCs/>
          <w:lang w:eastAsia="zh-CN"/>
        </w:rPr>
        <w:sectPr w:rsidR="00F41D01">
          <w:pgSz w:w="11907" w:h="16840"/>
          <w:pgMar w:top="1440" w:right="1803" w:bottom="1440" w:left="1803" w:header="482" w:footer="851" w:gutter="0"/>
          <w:cols w:space="720"/>
          <w:titlePg/>
          <w:docGrid w:linePitch="360"/>
        </w:sectPr>
      </w:pPr>
    </w:p>
    <w:p w14:paraId="2705FCC2" w14:textId="77777777" w:rsidR="00F41D01" w:rsidRDefault="00F41D01">
      <w:pPr>
        <w:keepNext/>
        <w:widowControl w:val="0"/>
        <w:numPr>
          <w:ilvl w:val="1"/>
          <w:numId w:val="7"/>
        </w:numPr>
        <w:spacing w:line="360" w:lineRule="auto"/>
        <w:ind w:left="0" w:firstLine="0"/>
        <w:jc w:val="both"/>
        <w:outlineLvl w:val="1"/>
        <w:rPr>
          <w:b/>
          <w:kern w:val="2"/>
          <w:lang w:eastAsia="zh-CN"/>
        </w:rPr>
      </w:pPr>
      <w:r>
        <w:t>Appendix III: Assay result individual data</w:t>
      </w:r>
    </w:p>
    <w:p w14:paraId="2BBE613D"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1A534EE"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9EC6B2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DD75EBA"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A5A022D"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A1254E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C4F487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89B68C6"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D0F5D93"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185D519"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64D144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61076E3"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60AD9CAF"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F60C494"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t>Study Name: ICR mouse gavage administration of sbk002 and phosphorous acid cyanohydroxyguanidine primary intermediates</w:t>
      </w:r>
    </w:p>
    <w:p w14:paraId="3E626E42"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t>Single-dose toxicity studies</w:t>
      </w:r>
    </w:p>
    <w:p w14:paraId="612CA3A1" w14:textId="77777777" w:rsidR="00F41D01"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t>Study number: A2018030-T001-01</w:t>
      </w:r>
    </w:p>
    <w:p w14:paraId="088E4689" w14:textId="77777777" w:rsidR="00F41D01" w:rsidRDefault="00F41D01">
      <w:pPr>
        <w:widowControl w:val="0"/>
        <w:kinsoku w:val="0"/>
        <w:overflowPunct w:val="0"/>
        <w:autoSpaceDE w:val="0"/>
        <w:autoSpaceDN w:val="0"/>
        <w:adjustRightInd w:val="0"/>
        <w:snapToGrid w:val="0"/>
        <w:spacing w:line="360" w:lineRule="auto"/>
        <w:jc w:val="both"/>
        <w:outlineLvl w:val="1"/>
        <w:rPr>
          <w:bCs/>
          <w:lang w:eastAsia="zh-CN"/>
        </w:rPr>
        <w:sectPr w:rsidR="00F41D01">
          <w:pgSz w:w="11907" w:h="16840"/>
          <w:pgMar w:top="1440" w:right="1803" w:bottom="1440" w:left="1803" w:header="482" w:footer="851" w:gutter="0"/>
          <w:cols w:space="720"/>
          <w:titlePg/>
          <w:docGrid w:linePitch="360"/>
        </w:sectPr>
      </w:pPr>
    </w:p>
    <w:p w14:paraId="5534B096" w14:textId="77777777" w:rsidR="00F41D01" w:rsidRDefault="00F41D01" w:rsidP="00563560">
      <w:pPr>
        <w:keepNext/>
        <w:widowControl w:val="0"/>
        <w:numPr>
          <w:ilvl w:val="1"/>
          <w:numId w:val="7"/>
        </w:numPr>
        <w:spacing w:line="360" w:lineRule="auto"/>
        <w:jc w:val="both"/>
        <w:outlineLvl w:val="1"/>
        <w:rPr>
          <w:b/>
          <w:kern w:val="2"/>
          <w:lang w:eastAsia="zh-CN"/>
        </w:rPr>
      </w:pPr>
      <w:r>
        <w:t>Appendix IV: Pathology examination report</w:t>
      </w:r>
    </w:p>
    <w:p w14:paraId="61675AE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5167B9F"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A9175B3"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95D464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A5E8529"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7274E8A"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9FCB30B"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E6D553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36BA708"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3F3954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2B2A78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AD28F2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5AC9ED0F"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F982CE6"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t>Study Name: ICR mouse gavage administration of sbk002 and phosphorous acid cyanohydroxyguanidine primary intermediates</w:t>
      </w:r>
    </w:p>
    <w:p w14:paraId="5BFF1BDD"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t>Single-dose toxicity studies</w:t>
      </w:r>
    </w:p>
    <w:p w14:paraId="64DCE2D9" w14:textId="77777777" w:rsidR="00F41D01"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t>Study number: A2018030-T001-01</w:t>
      </w:r>
    </w:p>
    <w:p w14:paraId="08F77873" w14:textId="77777777" w:rsidR="00563560" w:rsidRDefault="00563560">
      <w:pPr>
        <w:widowControl w:val="0"/>
        <w:kinsoku w:val="0"/>
        <w:overflowPunct w:val="0"/>
        <w:autoSpaceDE w:val="0"/>
        <w:autoSpaceDN w:val="0"/>
        <w:adjustRightInd w:val="0"/>
        <w:snapToGrid w:val="0"/>
        <w:spacing w:line="360" w:lineRule="auto"/>
        <w:jc w:val="both"/>
        <w:outlineLvl w:val="1"/>
        <w:rPr>
          <w:bCs/>
          <w:lang w:eastAsia="zh-CN"/>
        </w:rPr>
        <w:sectPr w:rsidR="00563560">
          <w:pgSz w:w="11907" w:h="16840"/>
          <w:pgMar w:top="1440" w:right="1803" w:bottom="1440" w:left="1803" w:header="482" w:footer="851" w:gutter="0"/>
          <w:cols w:space="720"/>
          <w:titlePg/>
          <w:docGrid w:linePitch="360"/>
        </w:sectPr>
      </w:pPr>
    </w:p>
    <w:p w14:paraId="18D4908C" w14:textId="77777777" w:rsidR="00563560" w:rsidRDefault="00563560" w:rsidP="00563560">
      <w:pPr>
        <w:keepNext/>
        <w:widowControl w:val="0"/>
        <w:numPr>
          <w:ilvl w:val="1"/>
          <w:numId w:val="7"/>
        </w:numPr>
        <w:spacing w:line="360" w:lineRule="auto"/>
        <w:jc w:val="both"/>
        <w:outlineLvl w:val="1"/>
        <w:rPr>
          <w:b/>
          <w:kern w:val="2"/>
          <w:lang w:eastAsia="zh-CN"/>
        </w:rPr>
      </w:pPr>
      <w:r>
        <w:t>Appendix V: study protocol and amendments</w:t>
      </w:r>
    </w:p>
    <w:p w14:paraId="2DBA0A40"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5528065A"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7B888102"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3ECA3385"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6E2750A7"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754E009D"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4C7A813E"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12BD0B42"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79658D62"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47EDE176"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0BEF4543"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7540C333"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508D6DA4" w14:textId="77777777" w:rsidR="00563560" w:rsidRDefault="00563560" w:rsidP="00563560">
      <w:pPr>
        <w:widowControl w:val="0"/>
        <w:kinsoku w:val="0"/>
        <w:overflowPunct w:val="0"/>
        <w:autoSpaceDE w:val="0"/>
        <w:autoSpaceDN w:val="0"/>
        <w:adjustRightInd w:val="0"/>
        <w:snapToGrid w:val="0"/>
        <w:spacing w:line="360" w:lineRule="auto"/>
        <w:jc w:val="both"/>
        <w:rPr>
          <w:b/>
          <w:bCs/>
          <w:lang w:eastAsia="zh-CN"/>
        </w:rPr>
      </w:pPr>
    </w:p>
    <w:p w14:paraId="5CB41EFE" w14:textId="77777777" w:rsidR="00563560" w:rsidRDefault="00563560" w:rsidP="00563560">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t>Study Name: ICR mouse gavage administration of sbk002 and phosphorous acid cyanohydroxyguanidine primary intermediates</w:t>
      </w:r>
    </w:p>
    <w:p w14:paraId="0515DE21" w14:textId="77777777" w:rsidR="00563560" w:rsidRDefault="00563560" w:rsidP="00563560">
      <w:pPr>
        <w:widowControl w:val="0"/>
        <w:kinsoku w:val="0"/>
        <w:overflowPunct w:val="0"/>
        <w:autoSpaceDE w:val="0"/>
        <w:autoSpaceDN w:val="0"/>
        <w:adjustRightInd w:val="0"/>
        <w:snapToGrid w:val="0"/>
        <w:spacing w:line="360" w:lineRule="auto"/>
        <w:jc w:val="center"/>
        <w:rPr>
          <w:b/>
          <w:bCs/>
          <w:sz w:val="28"/>
          <w:szCs w:val="28"/>
          <w:lang w:eastAsia="zh-CN"/>
        </w:rPr>
      </w:pPr>
      <w:r>
        <w:t>Single-dose toxicity studies</w:t>
      </w:r>
    </w:p>
    <w:p w14:paraId="32F74206" w14:textId="77777777" w:rsidR="00F41D01" w:rsidRPr="00BA758A" w:rsidRDefault="00563560" w:rsidP="00BA758A">
      <w:pPr>
        <w:widowControl w:val="0"/>
        <w:kinsoku w:val="0"/>
        <w:overflowPunct w:val="0"/>
        <w:autoSpaceDE w:val="0"/>
        <w:autoSpaceDN w:val="0"/>
        <w:adjustRightInd w:val="0"/>
        <w:snapToGrid w:val="0"/>
        <w:spacing w:line="360" w:lineRule="auto"/>
        <w:jc w:val="center"/>
        <w:rPr>
          <w:b/>
          <w:bCs/>
          <w:sz w:val="28"/>
          <w:szCs w:val="28"/>
          <w:lang w:eastAsia="zh-CN"/>
        </w:rPr>
        <w:sectPr w:rsidR="00F41D01" w:rsidRPr="00BA758A">
          <w:pgSz w:w="11907" w:h="16840"/>
          <w:pgMar w:top="1440" w:right="1803" w:bottom="1440" w:left="1803" w:header="482" w:footer="851" w:gutter="0"/>
          <w:cols w:space="720"/>
          <w:titlePg/>
          <w:docGrid w:linePitch="360"/>
        </w:sectPr>
      </w:pPr>
      <w:r>
        <w:t>Study number: A2018030-T001-01</w:t>
      </w:r>
    </w:p>
    <w:p w14:paraId="52ACB632" w14:textId="77777777" w:rsidR="00F41D01" w:rsidRDefault="00F41D01">
      <w:pPr>
        <w:keepNext/>
        <w:widowControl w:val="0"/>
        <w:numPr>
          <w:ilvl w:val="1"/>
          <w:numId w:val="7"/>
        </w:numPr>
        <w:spacing w:line="360" w:lineRule="auto"/>
        <w:ind w:left="0" w:firstLine="0"/>
        <w:jc w:val="both"/>
        <w:outlineLvl w:val="1"/>
        <w:rPr>
          <w:b/>
          <w:kern w:val="2"/>
          <w:lang w:eastAsia="zh-CN"/>
        </w:rPr>
      </w:pPr>
      <w:r>
        <w:t>Appendix Six: Temperature and Humidity Report</w:t>
      </w:r>
    </w:p>
    <w:p w14:paraId="46D68A1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F7C3361"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ACBCB5B"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74547F7"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07E68369"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314BFADC"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AE387BD"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5DB31E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51564E0"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70CB9A92"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4DF5D1E4"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6A820599"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191D9C65" w14:textId="77777777" w:rsidR="00F41D01" w:rsidRDefault="00F41D01">
      <w:pPr>
        <w:widowControl w:val="0"/>
        <w:kinsoku w:val="0"/>
        <w:overflowPunct w:val="0"/>
        <w:autoSpaceDE w:val="0"/>
        <w:autoSpaceDN w:val="0"/>
        <w:adjustRightInd w:val="0"/>
        <w:snapToGrid w:val="0"/>
        <w:spacing w:line="360" w:lineRule="auto"/>
        <w:jc w:val="both"/>
        <w:rPr>
          <w:b/>
          <w:bCs/>
          <w:lang w:eastAsia="zh-CN"/>
        </w:rPr>
      </w:pPr>
    </w:p>
    <w:p w14:paraId="2005920E" w14:textId="77777777" w:rsidR="00294EB7" w:rsidRDefault="00F41D01">
      <w:pPr>
        <w:widowControl w:val="0"/>
        <w:kinsoku w:val="0"/>
        <w:overflowPunct w:val="0"/>
        <w:autoSpaceDE w:val="0"/>
        <w:autoSpaceDN w:val="0"/>
        <w:adjustRightInd w:val="0"/>
        <w:snapToGrid w:val="0"/>
        <w:spacing w:line="360" w:lineRule="auto"/>
        <w:jc w:val="center"/>
        <w:rPr>
          <w:rFonts w:hint="eastAsia"/>
          <w:b/>
          <w:bCs/>
          <w:sz w:val="28"/>
          <w:szCs w:val="28"/>
          <w:lang w:eastAsia="zh-CN"/>
        </w:rPr>
      </w:pPr>
      <w:r>
        <w:t>Study Name: ICR mouse gavage administration of sbk002 and phosphorous acid cyanohydroxyguanidine primary intermediates</w:t>
      </w:r>
    </w:p>
    <w:p w14:paraId="10C0E1E1" w14:textId="77777777" w:rsidR="00F41D01" w:rsidRDefault="00F41D01">
      <w:pPr>
        <w:widowControl w:val="0"/>
        <w:kinsoku w:val="0"/>
        <w:overflowPunct w:val="0"/>
        <w:autoSpaceDE w:val="0"/>
        <w:autoSpaceDN w:val="0"/>
        <w:adjustRightInd w:val="0"/>
        <w:snapToGrid w:val="0"/>
        <w:spacing w:line="360" w:lineRule="auto"/>
        <w:jc w:val="center"/>
        <w:rPr>
          <w:b/>
          <w:bCs/>
          <w:sz w:val="28"/>
          <w:szCs w:val="28"/>
          <w:lang w:eastAsia="zh-CN"/>
        </w:rPr>
      </w:pPr>
      <w:r>
        <w:t>Single-dose toxicity studies</w:t>
      </w:r>
    </w:p>
    <w:p w14:paraId="52A63075" w14:textId="77777777" w:rsidR="00F41D01" w:rsidRDefault="00F41D01">
      <w:pPr>
        <w:widowControl w:val="0"/>
        <w:kinsoku w:val="0"/>
        <w:overflowPunct w:val="0"/>
        <w:autoSpaceDE w:val="0"/>
        <w:autoSpaceDN w:val="0"/>
        <w:adjustRightInd w:val="0"/>
        <w:snapToGrid w:val="0"/>
        <w:spacing w:line="360" w:lineRule="auto"/>
        <w:jc w:val="center"/>
        <w:rPr>
          <w:rFonts w:hint="eastAsia"/>
          <w:bCs/>
          <w:lang w:eastAsia="zh-CN"/>
        </w:rPr>
      </w:pPr>
      <w:r>
        <w:t>Study number: A2018030-T001-01</w:t>
      </w:r>
    </w:p>
    <w:sectPr w:rsidR="00F41D01">
      <w:pgSz w:w="11907" w:h="16840"/>
      <w:pgMar w:top="1440" w:right="1803" w:bottom="1440" w:left="1803" w:header="482"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6987E" w14:textId="77777777" w:rsidR="007D4920" w:rsidRDefault="007D4920">
      <w:r>
        <w:separator/>
      </w:r>
    </w:p>
  </w:endnote>
  <w:endnote w:type="continuationSeparator" w:id="0">
    <w:p w14:paraId="2DE6C0B4" w14:textId="77777777" w:rsidR="007D4920" w:rsidRDefault="007D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1443A" w14:textId="77777777" w:rsidR="00E26E24" w:rsidRDefault="00E26E24" w:rsidP="0005094F">
    <w:pPr>
      <w:pStyle w:val="WXFooter"/>
      <w:jc w:val="center"/>
    </w:pPr>
    <w:r>
      <w:t>Page 26 of 35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25003" w14:textId="77777777" w:rsidR="00E26E24" w:rsidRDefault="00E26E24" w:rsidP="0005094F">
    <w:pPr>
      <w:pStyle w:val="a5"/>
      <w:jc w:val="center"/>
      <w:rPr>
        <w:rFonts w:hint="eastAsia"/>
        <w:b/>
        <w:sz w:val="16"/>
        <w:szCs w:val="16"/>
      </w:rPr>
    </w:pPr>
    <w:r>
      <w:rPr>
        <w:rFonts w:hint="eastAsia"/>
        <w:b/>
        <w:sz w:val="16"/>
        <w:szCs w:val="16"/>
      </w:rPr>
      <w:t>第</w:t>
    </w:r>
    <w:r>
      <w:rPr>
        <w:b/>
        <w:sz w:val="16"/>
        <w:szCs w:val="16"/>
        <w:lang w:val="zh-CN"/>
      </w:rPr>
      <w:t xml:space="preserve"> </w:t>
    </w:r>
    <w:r>
      <w:rPr>
        <w:b/>
        <w:sz w:val="16"/>
        <w:szCs w:val="16"/>
      </w:rPr>
      <w:fldChar w:fldCharType="begin"/>
    </w:r>
    <w:r>
      <w:rPr>
        <w:b/>
        <w:sz w:val="16"/>
        <w:szCs w:val="16"/>
      </w:rPr>
      <w:instrText>PAGE  \* Arabic  \* MERGEFORMAT</w:instrText>
    </w:r>
    <w:r>
      <w:rPr>
        <w:b/>
        <w:sz w:val="16"/>
        <w:szCs w:val="16"/>
      </w:rPr>
      <w:fldChar w:fldCharType="separate"/>
    </w:r>
    <w:r w:rsidR="00533975" w:rsidRPr="00533975">
      <w:rPr>
        <w:b/>
        <w:noProof/>
        <w:sz w:val="16"/>
        <w:szCs w:val="16"/>
        <w:lang w:val="zh-CN" w:eastAsia="zh-CN"/>
      </w:rPr>
      <w:t>5</w:t>
    </w:r>
    <w:r>
      <w:rPr>
        <w:b/>
        <w:sz w:val="16"/>
        <w:szCs w:val="16"/>
      </w:rPr>
      <w:fldChar w:fldCharType="end"/>
    </w:r>
    <w:r>
      <w:rPr>
        <w:rFonts w:hint="eastAsia"/>
        <w:b/>
        <w:sz w:val="16"/>
        <w:szCs w:val="16"/>
      </w:rPr>
      <w:t>页</w:t>
    </w:r>
    <w:r>
      <w:rPr>
        <w:b/>
        <w:sz w:val="16"/>
        <w:szCs w:val="16"/>
        <w:lang w:val="zh-CN"/>
      </w:rPr>
      <w:t xml:space="preserve"> /</w:t>
    </w:r>
    <w:r>
      <w:rPr>
        <w:rFonts w:hint="eastAsia"/>
        <w:b/>
        <w:sz w:val="16"/>
        <w:szCs w:val="16"/>
        <w:lang w:val="zh-CN"/>
      </w:rPr>
      <w:t>共</w:t>
    </w:r>
    <w:r>
      <w:rPr>
        <w:b/>
        <w:sz w:val="16"/>
        <w:szCs w:val="16"/>
        <w:lang w:val="zh-CN"/>
      </w:rPr>
      <w:t xml:space="preserve"> </w:t>
    </w:r>
    <w:r>
      <w:rPr>
        <w:b/>
        <w:sz w:val="16"/>
        <w:szCs w:val="16"/>
      </w:rPr>
      <w:fldChar w:fldCharType="begin"/>
    </w:r>
    <w:r>
      <w:rPr>
        <w:b/>
        <w:sz w:val="16"/>
        <w:szCs w:val="16"/>
      </w:rPr>
      <w:instrText>NUMPAGES  \* Arabic  \* MERGEFORMAT</w:instrText>
    </w:r>
    <w:r>
      <w:rPr>
        <w:b/>
        <w:sz w:val="16"/>
        <w:szCs w:val="16"/>
      </w:rPr>
      <w:fldChar w:fldCharType="separate"/>
    </w:r>
    <w:r w:rsidR="00533975" w:rsidRPr="00533975">
      <w:rPr>
        <w:b/>
        <w:noProof/>
        <w:sz w:val="16"/>
        <w:szCs w:val="16"/>
        <w:lang w:val="zh-CN" w:eastAsia="zh-CN"/>
      </w:rPr>
      <w:t>35</w:t>
    </w:r>
    <w:r>
      <w:rPr>
        <w:b/>
        <w:sz w:val="16"/>
        <w:szCs w:val="16"/>
      </w:rPr>
      <w:fldChar w:fldCharType="end"/>
    </w:r>
    <w:r>
      <w:rPr>
        <w:rFonts w:hint="eastAsia"/>
        <w:b/>
        <w:sz w:val="16"/>
        <w:szCs w:val="16"/>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C31C3" w14:textId="77777777" w:rsidR="007D4920" w:rsidRDefault="007D4920">
      <w:r>
        <w:separator/>
      </w:r>
    </w:p>
  </w:footnote>
  <w:footnote w:type="continuationSeparator" w:id="0">
    <w:p w14:paraId="0C875BE0" w14:textId="77777777" w:rsidR="007D4920" w:rsidRDefault="007D4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97030" w14:textId="77777777" w:rsidR="00E26E24" w:rsidRDefault="00E26E24">
    <w:pPr>
      <w:pStyle w:val="ab"/>
      <w:pBdr>
        <w:bottom w:val="single" w:sz="4" w:space="1" w:color="auto"/>
      </w:pBdr>
    </w:pPr>
    <w:r>
      <w:t xml:space="preserve">                                                                 study number: A2018030-T001-01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3E806" w14:textId="77777777" w:rsidR="00E26E24" w:rsidRDefault="00E26E24">
    <w:pPr>
      <w:pStyle w:val="ab"/>
      <w:rPr>
        <w:rFonts w:hint="eastAsia"/>
        <w:sz w:val="24"/>
        <w:szCs w:val="24"/>
        <w:lang w:eastAsia="zh-CN"/>
      </w:rPr>
    </w:pPr>
    <w:r>
      <w:rPr>
        <w:sz w:val="24"/>
        <w:szCs w:val="24"/>
        <w:lang w:val="en-US" w:eastAsia="zh-CN"/>
      </w:rPr>
      <w:pict w14:anchorId="5204B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7pt;height:21.75pt;mso-position-horizontal-relative:page;mso-position-vertical-relative:page">
          <v:imagedata r:id="rId1" o:title=""/>
        </v:shape>
      </w:pict>
    </w:r>
    <w:r>
      <w:rPr>
        <w:rFonts w:hint="eastAsia"/>
        <w:sz w:val="24"/>
        <w:szCs w:val="24"/>
        <w:lang w:val="en-US" w:eastAsia="zh-CN"/>
      </w:rPr>
      <w:t xml:space="preserve">                                                   </w:t>
    </w:r>
    <w:r>
      <w:rPr>
        <w:rFonts w:hint="eastAsia"/>
        <w:sz w:val="24"/>
        <w:szCs w:val="24"/>
        <w:lang w:val="en-US" w:eastAsia="zh-CN"/>
      </w:rPr>
      <w:t xml:space="preserve">      </w:t>
    </w:r>
    <w:r>
      <w:rPr>
        <w:sz w:val="24"/>
        <w:szCs w:val="24"/>
        <w:lang w:val="en-US" w:eastAsia="zh-CN"/>
      </w:rPr>
      <w:t>专题编号</w:t>
    </w:r>
    <w:r>
      <w:rPr>
        <w:rFonts w:hint="eastAsia"/>
        <w:sz w:val="24"/>
        <w:szCs w:val="24"/>
        <w:lang w:val="en-US" w:eastAsia="zh-CN"/>
      </w:rPr>
      <w:t>：</w:t>
    </w:r>
    <w:r>
      <w:rPr>
        <w:sz w:val="24"/>
        <w:szCs w:val="24"/>
      </w:rPr>
      <w:t>A2018030-T001-01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1A0DC" w14:textId="77777777" w:rsidR="00E26E24" w:rsidRDefault="00E26E24">
    <w:pPr>
      <w:pStyle w:val="ab"/>
      <w:pBdr>
        <w:bottom w:val="single" w:sz="4" w:space="1" w:color="auto"/>
      </w:pBdr>
    </w:pPr>
    <w:r>
      <w:rPr>
        <w:sz w:val="21"/>
        <w:szCs w:val="21"/>
        <w:lang w:val="en-US" w:eastAsia="zh-CN"/>
      </w:rPr>
      <w:pict w14:anchorId="58425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mso-position-horizontal-relative:page;mso-position-vertical-relative:page">
          <v:imagedata r:id="rId1" o:title=""/>
        </v:shape>
      </w:pict>
    </w:r>
    <w:r>
      <w:rPr>
        <w:rFonts w:hint="eastAsia"/>
        <w:sz w:val="21"/>
        <w:szCs w:val="21"/>
        <w:lang w:val="en-US" w:eastAsia="zh-CN"/>
      </w:rPr>
      <w:t xml:space="preserve">                                                                 </w:t>
    </w:r>
    <w:r>
      <w:rPr>
        <w:rFonts w:hint="eastAsia"/>
        <w:sz w:val="24"/>
        <w:szCs w:val="24"/>
        <w:lang w:val="en-US" w:eastAsia="zh-CN"/>
      </w:rPr>
      <w:t>专题编号：</w:t>
    </w:r>
    <w:r>
      <w:rPr>
        <w:sz w:val="24"/>
        <w:szCs w:val="24"/>
        <w:lang w:val="en-US" w:eastAsia="zh-CN"/>
      </w:rPr>
      <w:t>A2018030-T001-01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9782B" w14:textId="77777777" w:rsidR="00E26E24" w:rsidRDefault="00E26E24">
    <w:pPr>
      <w:pStyle w:val="ab"/>
      <w:pBdr>
        <w:bottom w:val="single" w:sz="4" w:space="1" w:color="auto"/>
      </w:pBdr>
      <w:rPr>
        <w:rFonts w:hint="eastAsia"/>
        <w:lang w:eastAsia="zh-CN"/>
      </w:rPr>
    </w:pPr>
    <w:r>
      <w:rPr>
        <w:sz w:val="21"/>
        <w:szCs w:val="21"/>
        <w:lang w:val="en-US" w:eastAsia="zh-CN"/>
      </w:rPr>
      <w:pict w14:anchorId="0396F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pt;height:21.75pt;mso-position-horizontal-relative:page;mso-position-vertical-relative:page">
          <v:imagedata r:id="rId1" o:title=""/>
        </v:shape>
      </w:pict>
    </w:r>
    <w:r>
      <w:rPr>
        <w:rFonts w:hint="eastAsia"/>
        <w:sz w:val="21"/>
        <w:szCs w:val="21"/>
        <w:lang w:val="en-US" w:eastAsia="zh-CN"/>
      </w:rPr>
      <w:t xml:space="preserve">                                                                 </w:t>
    </w:r>
    <w:r>
      <w:rPr>
        <w:rFonts w:hint="eastAsia"/>
        <w:sz w:val="24"/>
        <w:szCs w:val="24"/>
        <w:lang w:val="en-US" w:eastAsia="zh-CN"/>
      </w:rPr>
      <w:t>专题编号：</w:t>
    </w:r>
    <w:r>
      <w:rPr>
        <w:sz w:val="24"/>
        <w:szCs w:val="24"/>
        <w:lang w:val="en-US" w:eastAsia="zh-CN"/>
      </w:rPr>
      <w:t>A2018030-T001-01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C74778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4A387A"/>
    <w:multiLevelType w:val="multilevel"/>
    <w:tmpl w:val="0F4A38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4C13B9"/>
    <w:multiLevelType w:val="multilevel"/>
    <w:tmpl w:val="C248D11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0C3E22"/>
    <w:multiLevelType w:val="multilevel"/>
    <w:tmpl w:val="230C3E22"/>
    <w:lvl w:ilvl="0">
      <w:start w:val="11"/>
      <w:numFmt w:val="decimal"/>
      <w:lvlText w:val="%1."/>
      <w:lvlJc w:val="left"/>
      <w:pPr>
        <w:ind w:left="425" w:hanging="425"/>
      </w:pPr>
      <w:rPr>
        <w:rFonts w:cs="Times New Roman" w:hint="eastAsia"/>
        <w:sz w:val="28"/>
        <w:szCs w:val="28"/>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 w15:restartNumberingAfterBreak="0">
    <w:nsid w:val="3791616B"/>
    <w:multiLevelType w:val="multilevel"/>
    <w:tmpl w:val="3791616B"/>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15:restartNumberingAfterBreak="0">
    <w:nsid w:val="4364070F"/>
    <w:multiLevelType w:val="hybridMultilevel"/>
    <w:tmpl w:val="99C6EF72"/>
    <w:lvl w:ilvl="0" w:tplc="F8A6864C">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48105AEB"/>
    <w:multiLevelType w:val="multilevel"/>
    <w:tmpl w:val="48105AEB"/>
    <w:lvl w:ilvl="0">
      <w:start w:val="3"/>
      <w:numFmt w:val="decimal"/>
      <w:lvlText w:val="%1."/>
      <w:lvlJc w:val="left"/>
      <w:pPr>
        <w:ind w:left="425" w:hanging="425"/>
      </w:pPr>
      <w:rPr>
        <w:rFonts w:cs="Times New Roman" w:hint="eastAsia"/>
        <w:sz w:val="28"/>
        <w:szCs w:val="28"/>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7" w15:restartNumberingAfterBreak="0">
    <w:nsid w:val="52CD4379"/>
    <w:multiLevelType w:val="multilevel"/>
    <w:tmpl w:val="52CD4379"/>
    <w:lvl w:ilvl="0">
      <w:start w:val="1"/>
      <w:numFmt w:val="decimal"/>
      <w:lvlText w:val="%1."/>
      <w:lvlJc w:val="left"/>
      <w:pPr>
        <w:ind w:left="425" w:hanging="425"/>
      </w:pPr>
      <w:rPr>
        <w:rFonts w:ascii="Times New Roman" w:eastAsia="宋体" w:hAnsi="Times New Roman" w:cs="Arial"/>
        <w:sz w:val="28"/>
        <w:szCs w:val="28"/>
      </w:rPr>
    </w:lvl>
    <w:lvl w:ilvl="1">
      <w:start w:val="1"/>
      <w:numFmt w:val="decimal"/>
      <w:lvlText w:val="%1.%2."/>
      <w:lvlJc w:val="left"/>
      <w:pPr>
        <w:ind w:left="567" w:hanging="567"/>
      </w:pPr>
      <w:rPr>
        <w:rFonts w:cs="Times New Roman"/>
      </w:rPr>
    </w:lvl>
    <w:lvl w:ilvl="2">
      <w:start w:val="1"/>
      <w:numFmt w:val="decimal"/>
      <w:lvlText w:val="%1.%2.%3."/>
      <w:lvlJc w:val="left"/>
      <w:pPr>
        <w:ind w:left="851"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8" w15:restartNumberingAfterBreak="0">
    <w:nsid w:val="5E3D0C5D"/>
    <w:multiLevelType w:val="multilevel"/>
    <w:tmpl w:val="EAD8E78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EF51FD"/>
    <w:multiLevelType w:val="multilevel"/>
    <w:tmpl w:val="5EEF51FD"/>
    <w:lvl w:ilvl="0">
      <w:start w:val="1"/>
      <w:numFmt w:val="bullet"/>
      <w:lvlText w:val=""/>
      <w:lvlJc w:val="left"/>
      <w:pPr>
        <w:tabs>
          <w:tab w:val="num" w:pos="1077"/>
        </w:tabs>
        <w:ind w:left="72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354BF5"/>
    <w:multiLevelType w:val="multilevel"/>
    <w:tmpl w:val="78354BF5"/>
    <w:lvl w:ilvl="0">
      <w:start w:val="8"/>
      <w:numFmt w:val="decimal"/>
      <w:lvlText w:val="%1."/>
      <w:lvlJc w:val="left"/>
      <w:pPr>
        <w:ind w:left="425" w:hanging="425"/>
      </w:pPr>
      <w:rPr>
        <w:rFonts w:cs="Times New Roman" w:hint="eastAsia"/>
        <w:sz w:val="28"/>
        <w:szCs w:val="28"/>
      </w:rPr>
    </w:lvl>
    <w:lvl w:ilvl="1">
      <w:start w:val="8"/>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1" w15:restartNumberingAfterBreak="0">
    <w:nsid w:val="78ED7ED2"/>
    <w:multiLevelType w:val="multilevel"/>
    <w:tmpl w:val="78ED7E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534E55"/>
    <w:multiLevelType w:val="multilevel"/>
    <w:tmpl w:val="7C534E55"/>
    <w:lvl w:ilvl="0">
      <w:start w:val="1"/>
      <w:numFmt w:val="decimal"/>
      <w:lvlText w:val="%1."/>
      <w:lvlJc w:val="left"/>
      <w:pPr>
        <w:ind w:left="425" w:hanging="425"/>
      </w:pPr>
      <w:rPr>
        <w:rFonts w:cs="Times New Roman"/>
        <w:sz w:val="28"/>
        <w:szCs w:val="28"/>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16cid:durableId="674261503">
    <w:abstractNumId w:val="12"/>
  </w:num>
  <w:num w:numId="2" w16cid:durableId="506291708">
    <w:abstractNumId w:val="4"/>
  </w:num>
  <w:num w:numId="3" w16cid:durableId="850606763">
    <w:abstractNumId w:val="1"/>
  </w:num>
  <w:num w:numId="4" w16cid:durableId="2026855708">
    <w:abstractNumId w:val="6"/>
  </w:num>
  <w:num w:numId="5" w16cid:durableId="1328945104">
    <w:abstractNumId w:val="11"/>
  </w:num>
  <w:num w:numId="6" w16cid:durableId="1246765715">
    <w:abstractNumId w:val="10"/>
  </w:num>
  <w:num w:numId="7" w16cid:durableId="357044283">
    <w:abstractNumId w:val="3"/>
  </w:num>
  <w:num w:numId="8" w16cid:durableId="1427922434">
    <w:abstractNumId w:val="5"/>
  </w:num>
  <w:num w:numId="9" w16cid:durableId="1143159671">
    <w:abstractNumId w:val="7"/>
  </w:num>
  <w:num w:numId="10" w16cid:durableId="1903174">
    <w:abstractNumId w:val="9"/>
  </w:num>
  <w:num w:numId="11" w16cid:durableId="1368146181">
    <w:abstractNumId w:val="2"/>
  </w:num>
  <w:num w:numId="12" w16cid:durableId="264071548">
    <w:abstractNumId w:val="8"/>
  </w:num>
  <w:num w:numId="13" w16cid:durableId="34891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compressPunctuation"/>
  <w:noLineBreaksAfter w:lang="zh-CN" w:val="$([{£¥·‘“〈《「『【〔〖〝﹙﹛﹝＄（．［｛￡￥"/>
  <w:noLineBreaksBefore w:lang="zh-CN" w:val="!%),.:;&gt;?]}¢¨°·ˇˉ―‖’”…‰′″›℃∶、。〃〉》」』】〕〗〞︶︺︾﹀﹄﹚﹜﹞！＂％＇），．：；？］｀｜｝～￠"/>
  <w:doNotValidateAgainstSchema/>
  <w:doNotDemarcateInvalidXml/>
  <w:hdrShapeDefaults>
    <o:shapedefaults v:ext="edit" spidmax="206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5B0"/>
    <w:rsid w:val="0000087E"/>
    <w:rsid w:val="00005E99"/>
    <w:rsid w:val="0000752F"/>
    <w:rsid w:val="00012292"/>
    <w:rsid w:val="00013DCC"/>
    <w:rsid w:val="00013ED4"/>
    <w:rsid w:val="00017D6A"/>
    <w:rsid w:val="00026B57"/>
    <w:rsid w:val="0003040A"/>
    <w:rsid w:val="00031552"/>
    <w:rsid w:val="000349AA"/>
    <w:rsid w:val="00036A7C"/>
    <w:rsid w:val="00044C89"/>
    <w:rsid w:val="0004554F"/>
    <w:rsid w:val="00045D4E"/>
    <w:rsid w:val="00047179"/>
    <w:rsid w:val="0005094F"/>
    <w:rsid w:val="00050D2F"/>
    <w:rsid w:val="0005166F"/>
    <w:rsid w:val="00054AC5"/>
    <w:rsid w:val="00055CEA"/>
    <w:rsid w:val="00060CB6"/>
    <w:rsid w:val="00061870"/>
    <w:rsid w:val="00061C9A"/>
    <w:rsid w:val="00061EE7"/>
    <w:rsid w:val="00065BF4"/>
    <w:rsid w:val="00070A30"/>
    <w:rsid w:val="0007388F"/>
    <w:rsid w:val="0007466D"/>
    <w:rsid w:val="00075CCC"/>
    <w:rsid w:val="000777A1"/>
    <w:rsid w:val="00077885"/>
    <w:rsid w:val="000870ED"/>
    <w:rsid w:val="00090E67"/>
    <w:rsid w:val="000934C8"/>
    <w:rsid w:val="000A1D75"/>
    <w:rsid w:val="000A25B0"/>
    <w:rsid w:val="000A65DD"/>
    <w:rsid w:val="000B3A27"/>
    <w:rsid w:val="000B3AE0"/>
    <w:rsid w:val="000B41C7"/>
    <w:rsid w:val="000B48F3"/>
    <w:rsid w:val="000B5890"/>
    <w:rsid w:val="000C2270"/>
    <w:rsid w:val="000C7AF0"/>
    <w:rsid w:val="000D4865"/>
    <w:rsid w:val="000D67D6"/>
    <w:rsid w:val="000D778D"/>
    <w:rsid w:val="000E0400"/>
    <w:rsid w:val="000E1577"/>
    <w:rsid w:val="000E19E1"/>
    <w:rsid w:val="000E3481"/>
    <w:rsid w:val="000E3ED7"/>
    <w:rsid w:val="000E4203"/>
    <w:rsid w:val="000E5525"/>
    <w:rsid w:val="000E59E5"/>
    <w:rsid w:val="000E667F"/>
    <w:rsid w:val="000F07A1"/>
    <w:rsid w:val="000F2ACC"/>
    <w:rsid w:val="000F2E73"/>
    <w:rsid w:val="000F526F"/>
    <w:rsid w:val="000F5496"/>
    <w:rsid w:val="000F6A16"/>
    <w:rsid w:val="00100D2A"/>
    <w:rsid w:val="001018FE"/>
    <w:rsid w:val="00102954"/>
    <w:rsid w:val="00103F31"/>
    <w:rsid w:val="00106C5C"/>
    <w:rsid w:val="0011012B"/>
    <w:rsid w:val="00110249"/>
    <w:rsid w:val="0011320E"/>
    <w:rsid w:val="001173EE"/>
    <w:rsid w:val="00117BE6"/>
    <w:rsid w:val="001204A7"/>
    <w:rsid w:val="001220AB"/>
    <w:rsid w:val="001240FC"/>
    <w:rsid w:val="001246CD"/>
    <w:rsid w:val="00125B4E"/>
    <w:rsid w:val="00131404"/>
    <w:rsid w:val="00132E85"/>
    <w:rsid w:val="001347E6"/>
    <w:rsid w:val="00135257"/>
    <w:rsid w:val="00135338"/>
    <w:rsid w:val="00135FB7"/>
    <w:rsid w:val="00137176"/>
    <w:rsid w:val="00141FD9"/>
    <w:rsid w:val="00144A61"/>
    <w:rsid w:val="00144E31"/>
    <w:rsid w:val="00147E5B"/>
    <w:rsid w:val="00151C20"/>
    <w:rsid w:val="00151E1A"/>
    <w:rsid w:val="00153F2F"/>
    <w:rsid w:val="00154A99"/>
    <w:rsid w:val="00154DC2"/>
    <w:rsid w:val="0016008D"/>
    <w:rsid w:val="00161DF2"/>
    <w:rsid w:val="001621A3"/>
    <w:rsid w:val="00163D60"/>
    <w:rsid w:val="00163D6A"/>
    <w:rsid w:val="001651D1"/>
    <w:rsid w:val="001653E0"/>
    <w:rsid w:val="00166DA5"/>
    <w:rsid w:val="00167E4F"/>
    <w:rsid w:val="00171CC8"/>
    <w:rsid w:val="00175117"/>
    <w:rsid w:val="00175130"/>
    <w:rsid w:val="0018088C"/>
    <w:rsid w:val="00180D10"/>
    <w:rsid w:val="001822C5"/>
    <w:rsid w:val="00183035"/>
    <w:rsid w:val="001837AB"/>
    <w:rsid w:val="00184341"/>
    <w:rsid w:val="001846E2"/>
    <w:rsid w:val="001851DD"/>
    <w:rsid w:val="001865EB"/>
    <w:rsid w:val="00194E53"/>
    <w:rsid w:val="0019633E"/>
    <w:rsid w:val="001A08EF"/>
    <w:rsid w:val="001A54EE"/>
    <w:rsid w:val="001A7C16"/>
    <w:rsid w:val="001B038B"/>
    <w:rsid w:val="001B1DFE"/>
    <w:rsid w:val="001B253D"/>
    <w:rsid w:val="001B3A8A"/>
    <w:rsid w:val="001B592E"/>
    <w:rsid w:val="001B6789"/>
    <w:rsid w:val="001B74B1"/>
    <w:rsid w:val="001C1EFE"/>
    <w:rsid w:val="001C2456"/>
    <w:rsid w:val="001C4114"/>
    <w:rsid w:val="001C5609"/>
    <w:rsid w:val="001C5F28"/>
    <w:rsid w:val="001D177E"/>
    <w:rsid w:val="001D29D6"/>
    <w:rsid w:val="001E322F"/>
    <w:rsid w:val="001E57FD"/>
    <w:rsid w:val="001E5BD3"/>
    <w:rsid w:val="001E6985"/>
    <w:rsid w:val="001E7422"/>
    <w:rsid w:val="001E7AF4"/>
    <w:rsid w:val="001F317A"/>
    <w:rsid w:val="001F3618"/>
    <w:rsid w:val="001F6D98"/>
    <w:rsid w:val="001F72BF"/>
    <w:rsid w:val="0020081D"/>
    <w:rsid w:val="00200E30"/>
    <w:rsid w:val="00200FE6"/>
    <w:rsid w:val="00206195"/>
    <w:rsid w:val="00207921"/>
    <w:rsid w:val="00207D28"/>
    <w:rsid w:val="00211A5E"/>
    <w:rsid w:val="00212160"/>
    <w:rsid w:val="0021262A"/>
    <w:rsid w:val="00213E20"/>
    <w:rsid w:val="0021408F"/>
    <w:rsid w:val="00217133"/>
    <w:rsid w:val="00221453"/>
    <w:rsid w:val="002218BE"/>
    <w:rsid w:val="00222283"/>
    <w:rsid w:val="00224A13"/>
    <w:rsid w:val="00224CC7"/>
    <w:rsid w:val="00225EB0"/>
    <w:rsid w:val="002303C5"/>
    <w:rsid w:val="00231024"/>
    <w:rsid w:val="0023117E"/>
    <w:rsid w:val="00234B70"/>
    <w:rsid w:val="002367C5"/>
    <w:rsid w:val="00240496"/>
    <w:rsid w:val="00240733"/>
    <w:rsid w:val="00240B8E"/>
    <w:rsid w:val="00241FAF"/>
    <w:rsid w:val="002430AB"/>
    <w:rsid w:val="002437C2"/>
    <w:rsid w:val="002462C7"/>
    <w:rsid w:val="00246932"/>
    <w:rsid w:val="002511ED"/>
    <w:rsid w:val="002544F8"/>
    <w:rsid w:val="0025541D"/>
    <w:rsid w:val="00261B61"/>
    <w:rsid w:val="00262159"/>
    <w:rsid w:val="002627D5"/>
    <w:rsid w:val="00263F3C"/>
    <w:rsid w:val="002709A0"/>
    <w:rsid w:val="00273290"/>
    <w:rsid w:val="002749E7"/>
    <w:rsid w:val="00275D47"/>
    <w:rsid w:val="00276C89"/>
    <w:rsid w:val="00277F66"/>
    <w:rsid w:val="0028018F"/>
    <w:rsid w:val="00280452"/>
    <w:rsid w:val="00282260"/>
    <w:rsid w:val="002833D8"/>
    <w:rsid w:val="00284DD3"/>
    <w:rsid w:val="00285C1B"/>
    <w:rsid w:val="00286557"/>
    <w:rsid w:val="00287099"/>
    <w:rsid w:val="002877E1"/>
    <w:rsid w:val="002877E9"/>
    <w:rsid w:val="00292796"/>
    <w:rsid w:val="00293D2C"/>
    <w:rsid w:val="00294151"/>
    <w:rsid w:val="002948C7"/>
    <w:rsid w:val="00294EB7"/>
    <w:rsid w:val="00295644"/>
    <w:rsid w:val="002964B8"/>
    <w:rsid w:val="0029670D"/>
    <w:rsid w:val="00296F41"/>
    <w:rsid w:val="002A00DC"/>
    <w:rsid w:val="002A22A8"/>
    <w:rsid w:val="002A3267"/>
    <w:rsid w:val="002A54AA"/>
    <w:rsid w:val="002A7393"/>
    <w:rsid w:val="002A7C9A"/>
    <w:rsid w:val="002B07E7"/>
    <w:rsid w:val="002B19BA"/>
    <w:rsid w:val="002B208B"/>
    <w:rsid w:val="002B2818"/>
    <w:rsid w:val="002B4507"/>
    <w:rsid w:val="002B6186"/>
    <w:rsid w:val="002B6D99"/>
    <w:rsid w:val="002C05BC"/>
    <w:rsid w:val="002C2C3B"/>
    <w:rsid w:val="002C34B5"/>
    <w:rsid w:val="002C545D"/>
    <w:rsid w:val="002C5BB3"/>
    <w:rsid w:val="002C6A14"/>
    <w:rsid w:val="002D00F2"/>
    <w:rsid w:val="002D2231"/>
    <w:rsid w:val="002D3BE3"/>
    <w:rsid w:val="002E07DE"/>
    <w:rsid w:val="002E0EFC"/>
    <w:rsid w:val="002E154E"/>
    <w:rsid w:val="002E2905"/>
    <w:rsid w:val="002E3872"/>
    <w:rsid w:val="002E4A6A"/>
    <w:rsid w:val="002E5708"/>
    <w:rsid w:val="002F091D"/>
    <w:rsid w:val="002F2580"/>
    <w:rsid w:val="002F262A"/>
    <w:rsid w:val="002F3700"/>
    <w:rsid w:val="002F736C"/>
    <w:rsid w:val="003028B2"/>
    <w:rsid w:val="0030443E"/>
    <w:rsid w:val="00304760"/>
    <w:rsid w:val="00305556"/>
    <w:rsid w:val="00307035"/>
    <w:rsid w:val="00312E27"/>
    <w:rsid w:val="003133F0"/>
    <w:rsid w:val="00313BDD"/>
    <w:rsid w:val="003178AB"/>
    <w:rsid w:val="00317C15"/>
    <w:rsid w:val="00320898"/>
    <w:rsid w:val="0032287B"/>
    <w:rsid w:val="00323FA2"/>
    <w:rsid w:val="003247E4"/>
    <w:rsid w:val="00325C22"/>
    <w:rsid w:val="00326205"/>
    <w:rsid w:val="003327EA"/>
    <w:rsid w:val="00332B35"/>
    <w:rsid w:val="003332D2"/>
    <w:rsid w:val="00334F2F"/>
    <w:rsid w:val="00335A03"/>
    <w:rsid w:val="0033796A"/>
    <w:rsid w:val="00341081"/>
    <w:rsid w:val="003444D3"/>
    <w:rsid w:val="00345F76"/>
    <w:rsid w:val="00347FCC"/>
    <w:rsid w:val="0035241E"/>
    <w:rsid w:val="00356C34"/>
    <w:rsid w:val="003574F3"/>
    <w:rsid w:val="00361A86"/>
    <w:rsid w:val="00364B2D"/>
    <w:rsid w:val="00365691"/>
    <w:rsid w:val="003704DB"/>
    <w:rsid w:val="0037118C"/>
    <w:rsid w:val="003734A5"/>
    <w:rsid w:val="00373689"/>
    <w:rsid w:val="003766AB"/>
    <w:rsid w:val="00376E4D"/>
    <w:rsid w:val="00377CA4"/>
    <w:rsid w:val="00380240"/>
    <w:rsid w:val="0038039E"/>
    <w:rsid w:val="00382486"/>
    <w:rsid w:val="003837E3"/>
    <w:rsid w:val="00385953"/>
    <w:rsid w:val="00385B5D"/>
    <w:rsid w:val="00386427"/>
    <w:rsid w:val="003950FC"/>
    <w:rsid w:val="00397FA6"/>
    <w:rsid w:val="003A094F"/>
    <w:rsid w:val="003A0FEB"/>
    <w:rsid w:val="003A2475"/>
    <w:rsid w:val="003A3369"/>
    <w:rsid w:val="003A4BE9"/>
    <w:rsid w:val="003A6265"/>
    <w:rsid w:val="003A6626"/>
    <w:rsid w:val="003A6688"/>
    <w:rsid w:val="003B44BC"/>
    <w:rsid w:val="003B44FE"/>
    <w:rsid w:val="003B6356"/>
    <w:rsid w:val="003B7FD0"/>
    <w:rsid w:val="003C130E"/>
    <w:rsid w:val="003C1686"/>
    <w:rsid w:val="003C32CE"/>
    <w:rsid w:val="003C32E0"/>
    <w:rsid w:val="003C4DDD"/>
    <w:rsid w:val="003C7F0C"/>
    <w:rsid w:val="003D09C3"/>
    <w:rsid w:val="003E186B"/>
    <w:rsid w:val="003E39BA"/>
    <w:rsid w:val="003E51F9"/>
    <w:rsid w:val="003E5255"/>
    <w:rsid w:val="003E686F"/>
    <w:rsid w:val="003E7BF6"/>
    <w:rsid w:val="003F078D"/>
    <w:rsid w:val="003F164F"/>
    <w:rsid w:val="003F19B0"/>
    <w:rsid w:val="003F2F8B"/>
    <w:rsid w:val="003F36CB"/>
    <w:rsid w:val="003F37ED"/>
    <w:rsid w:val="003F4347"/>
    <w:rsid w:val="003F50AC"/>
    <w:rsid w:val="003F641C"/>
    <w:rsid w:val="003F7036"/>
    <w:rsid w:val="00402B88"/>
    <w:rsid w:val="00403966"/>
    <w:rsid w:val="0040480F"/>
    <w:rsid w:val="004058AF"/>
    <w:rsid w:val="004069F4"/>
    <w:rsid w:val="00407124"/>
    <w:rsid w:val="00407BB6"/>
    <w:rsid w:val="00407F28"/>
    <w:rsid w:val="00416323"/>
    <w:rsid w:val="00417177"/>
    <w:rsid w:val="00417FF0"/>
    <w:rsid w:val="00420064"/>
    <w:rsid w:val="004206C9"/>
    <w:rsid w:val="0042270C"/>
    <w:rsid w:val="0042282E"/>
    <w:rsid w:val="00423734"/>
    <w:rsid w:val="00424807"/>
    <w:rsid w:val="00424843"/>
    <w:rsid w:val="00426AA2"/>
    <w:rsid w:val="004327AC"/>
    <w:rsid w:val="00433403"/>
    <w:rsid w:val="00434D34"/>
    <w:rsid w:val="00435092"/>
    <w:rsid w:val="004355A2"/>
    <w:rsid w:val="0043725E"/>
    <w:rsid w:val="004405AB"/>
    <w:rsid w:val="00441439"/>
    <w:rsid w:val="00441577"/>
    <w:rsid w:val="00444CC6"/>
    <w:rsid w:val="0044627D"/>
    <w:rsid w:val="00452132"/>
    <w:rsid w:val="00453BF2"/>
    <w:rsid w:val="0045407E"/>
    <w:rsid w:val="004545B4"/>
    <w:rsid w:val="00456EA5"/>
    <w:rsid w:val="0045703B"/>
    <w:rsid w:val="004573F6"/>
    <w:rsid w:val="00457475"/>
    <w:rsid w:val="0046026D"/>
    <w:rsid w:val="004643A6"/>
    <w:rsid w:val="0046516F"/>
    <w:rsid w:val="004668C5"/>
    <w:rsid w:val="00471B2E"/>
    <w:rsid w:val="00474BCA"/>
    <w:rsid w:val="00475312"/>
    <w:rsid w:val="00475847"/>
    <w:rsid w:val="00482165"/>
    <w:rsid w:val="00482ACF"/>
    <w:rsid w:val="00484770"/>
    <w:rsid w:val="00486404"/>
    <w:rsid w:val="0049017A"/>
    <w:rsid w:val="0049128A"/>
    <w:rsid w:val="00491E93"/>
    <w:rsid w:val="004929D7"/>
    <w:rsid w:val="0049313A"/>
    <w:rsid w:val="004952D1"/>
    <w:rsid w:val="004A0EDA"/>
    <w:rsid w:val="004A3EEF"/>
    <w:rsid w:val="004A62D8"/>
    <w:rsid w:val="004A6478"/>
    <w:rsid w:val="004B56C3"/>
    <w:rsid w:val="004B5B74"/>
    <w:rsid w:val="004B7853"/>
    <w:rsid w:val="004C0C0B"/>
    <w:rsid w:val="004C0DEB"/>
    <w:rsid w:val="004C16EA"/>
    <w:rsid w:val="004C19B1"/>
    <w:rsid w:val="004C3030"/>
    <w:rsid w:val="004C42CD"/>
    <w:rsid w:val="004C49A9"/>
    <w:rsid w:val="004C4B06"/>
    <w:rsid w:val="004C5655"/>
    <w:rsid w:val="004C5E99"/>
    <w:rsid w:val="004C7290"/>
    <w:rsid w:val="004C72F8"/>
    <w:rsid w:val="004C74E6"/>
    <w:rsid w:val="004D17E6"/>
    <w:rsid w:val="004D528F"/>
    <w:rsid w:val="004D73DD"/>
    <w:rsid w:val="004D7A6A"/>
    <w:rsid w:val="004D7A9D"/>
    <w:rsid w:val="004E01DB"/>
    <w:rsid w:val="004E3789"/>
    <w:rsid w:val="004E3936"/>
    <w:rsid w:val="004E3E9A"/>
    <w:rsid w:val="004E5070"/>
    <w:rsid w:val="004E56EE"/>
    <w:rsid w:val="004E73AE"/>
    <w:rsid w:val="004F028A"/>
    <w:rsid w:val="004F0BE2"/>
    <w:rsid w:val="004F3615"/>
    <w:rsid w:val="004F3B19"/>
    <w:rsid w:val="004F4945"/>
    <w:rsid w:val="004F5A1F"/>
    <w:rsid w:val="004F6A95"/>
    <w:rsid w:val="004F6B27"/>
    <w:rsid w:val="004F7EFE"/>
    <w:rsid w:val="00500786"/>
    <w:rsid w:val="0050644D"/>
    <w:rsid w:val="00506A98"/>
    <w:rsid w:val="005079D5"/>
    <w:rsid w:val="005139BD"/>
    <w:rsid w:val="00513F3B"/>
    <w:rsid w:val="0051461E"/>
    <w:rsid w:val="0051469A"/>
    <w:rsid w:val="00517CA1"/>
    <w:rsid w:val="005214C3"/>
    <w:rsid w:val="00521606"/>
    <w:rsid w:val="00522320"/>
    <w:rsid w:val="0052370E"/>
    <w:rsid w:val="005237D0"/>
    <w:rsid w:val="00525297"/>
    <w:rsid w:val="0052590B"/>
    <w:rsid w:val="00531013"/>
    <w:rsid w:val="00533975"/>
    <w:rsid w:val="00534183"/>
    <w:rsid w:val="005379F2"/>
    <w:rsid w:val="00541316"/>
    <w:rsid w:val="00541DEF"/>
    <w:rsid w:val="00543410"/>
    <w:rsid w:val="00545363"/>
    <w:rsid w:val="00545E01"/>
    <w:rsid w:val="00545E12"/>
    <w:rsid w:val="00550166"/>
    <w:rsid w:val="00552391"/>
    <w:rsid w:val="005531E1"/>
    <w:rsid w:val="00553E55"/>
    <w:rsid w:val="00554F9B"/>
    <w:rsid w:val="00557EBE"/>
    <w:rsid w:val="00557EF1"/>
    <w:rsid w:val="00561D71"/>
    <w:rsid w:val="00563051"/>
    <w:rsid w:val="00563560"/>
    <w:rsid w:val="0056382D"/>
    <w:rsid w:val="00563EC6"/>
    <w:rsid w:val="00564A5C"/>
    <w:rsid w:val="005673FF"/>
    <w:rsid w:val="0057154C"/>
    <w:rsid w:val="00571C4A"/>
    <w:rsid w:val="00571C7A"/>
    <w:rsid w:val="00571F14"/>
    <w:rsid w:val="00572B4D"/>
    <w:rsid w:val="00573F07"/>
    <w:rsid w:val="00575F30"/>
    <w:rsid w:val="005766F4"/>
    <w:rsid w:val="0057786C"/>
    <w:rsid w:val="005779EC"/>
    <w:rsid w:val="005802C9"/>
    <w:rsid w:val="00580909"/>
    <w:rsid w:val="005821D2"/>
    <w:rsid w:val="00582AEC"/>
    <w:rsid w:val="0058318C"/>
    <w:rsid w:val="00586C0D"/>
    <w:rsid w:val="0059060B"/>
    <w:rsid w:val="00590903"/>
    <w:rsid w:val="00590DA2"/>
    <w:rsid w:val="00592627"/>
    <w:rsid w:val="00594AC8"/>
    <w:rsid w:val="00597B23"/>
    <w:rsid w:val="005A3959"/>
    <w:rsid w:val="005A41F7"/>
    <w:rsid w:val="005A7555"/>
    <w:rsid w:val="005A75CC"/>
    <w:rsid w:val="005A7703"/>
    <w:rsid w:val="005A7A7E"/>
    <w:rsid w:val="005B16E3"/>
    <w:rsid w:val="005B1731"/>
    <w:rsid w:val="005B4EB9"/>
    <w:rsid w:val="005B6239"/>
    <w:rsid w:val="005B665F"/>
    <w:rsid w:val="005C11DD"/>
    <w:rsid w:val="005C1353"/>
    <w:rsid w:val="005C17D9"/>
    <w:rsid w:val="005C4A03"/>
    <w:rsid w:val="005C4ED1"/>
    <w:rsid w:val="005C50E0"/>
    <w:rsid w:val="005C727E"/>
    <w:rsid w:val="005D15CF"/>
    <w:rsid w:val="005D5F25"/>
    <w:rsid w:val="005D7C20"/>
    <w:rsid w:val="005D7DE5"/>
    <w:rsid w:val="005E0B1E"/>
    <w:rsid w:val="005E4E4D"/>
    <w:rsid w:val="005E61B6"/>
    <w:rsid w:val="005E6E27"/>
    <w:rsid w:val="005F13F3"/>
    <w:rsid w:val="005F2A55"/>
    <w:rsid w:val="005F2FA1"/>
    <w:rsid w:val="005F43FE"/>
    <w:rsid w:val="005F586F"/>
    <w:rsid w:val="005F673F"/>
    <w:rsid w:val="00613356"/>
    <w:rsid w:val="006134E6"/>
    <w:rsid w:val="00616F90"/>
    <w:rsid w:val="00620E5D"/>
    <w:rsid w:val="00622362"/>
    <w:rsid w:val="006306E5"/>
    <w:rsid w:val="0063127F"/>
    <w:rsid w:val="00631599"/>
    <w:rsid w:val="00632E01"/>
    <w:rsid w:val="006362EC"/>
    <w:rsid w:val="00636441"/>
    <w:rsid w:val="00637058"/>
    <w:rsid w:val="00637597"/>
    <w:rsid w:val="00637C06"/>
    <w:rsid w:val="00640258"/>
    <w:rsid w:val="0064070E"/>
    <w:rsid w:val="006431AC"/>
    <w:rsid w:val="00643C0D"/>
    <w:rsid w:val="006513EA"/>
    <w:rsid w:val="006549B6"/>
    <w:rsid w:val="00670240"/>
    <w:rsid w:val="0067131B"/>
    <w:rsid w:val="00674B92"/>
    <w:rsid w:val="006750C5"/>
    <w:rsid w:val="006779B8"/>
    <w:rsid w:val="00680643"/>
    <w:rsid w:val="00680E75"/>
    <w:rsid w:val="006821A2"/>
    <w:rsid w:val="006841EF"/>
    <w:rsid w:val="006853E6"/>
    <w:rsid w:val="00686632"/>
    <w:rsid w:val="006870F9"/>
    <w:rsid w:val="006875D5"/>
    <w:rsid w:val="0069010F"/>
    <w:rsid w:val="00697232"/>
    <w:rsid w:val="00697989"/>
    <w:rsid w:val="00697E88"/>
    <w:rsid w:val="006A2775"/>
    <w:rsid w:val="006A491A"/>
    <w:rsid w:val="006A6EEE"/>
    <w:rsid w:val="006A72CA"/>
    <w:rsid w:val="006B4346"/>
    <w:rsid w:val="006B7572"/>
    <w:rsid w:val="006B75FD"/>
    <w:rsid w:val="006C5BC4"/>
    <w:rsid w:val="006C61B8"/>
    <w:rsid w:val="006C7F8B"/>
    <w:rsid w:val="006D0517"/>
    <w:rsid w:val="006D130F"/>
    <w:rsid w:val="006D27FC"/>
    <w:rsid w:val="006D2DC3"/>
    <w:rsid w:val="006D43FF"/>
    <w:rsid w:val="006D5C23"/>
    <w:rsid w:val="006E0ABA"/>
    <w:rsid w:val="006E41A6"/>
    <w:rsid w:val="006E492A"/>
    <w:rsid w:val="006E5CC7"/>
    <w:rsid w:val="006E7164"/>
    <w:rsid w:val="006F140E"/>
    <w:rsid w:val="006F3F6B"/>
    <w:rsid w:val="006F424A"/>
    <w:rsid w:val="006F48E8"/>
    <w:rsid w:val="006F6B9C"/>
    <w:rsid w:val="00700C28"/>
    <w:rsid w:val="00703661"/>
    <w:rsid w:val="00703F4F"/>
    <w:rsid w:val="00706CA6"/>
    <w:rsid w:val="00710662"/>
    <w:rsid w:val="007123C2"/>
    <w:rsid w:val="00713FD2"/>
    <w:rsid w:val="00717B63"/>
    <w:rsid w:val="00717F8C"/>
    <w:rsid w:val="00725513"/>
    <w:rsid w:val="00726C44"/>
    <w:rsid w:val="00727A0D"/>
    <w:rsid w:val="00732E9A"/>
    <w:rsid w:val="00733702"/>
    <w:rsid w:val="0073536B"/>
    <w:rsid w:val="007357AA"/>
    <w:rsid w:val="007420CB"/>
    <w:rsid w:val="007449B2"/>
    <w:rsid w:val="007507BF"/>
    <w:rsid w:val="007510C0"/>
    <w:rsid w:val="00752FB0"/>
    <w:rsid w:val="00754110"/>
    <w:rsid w:val="0075708D"/>
    <w:rsid w:val="00760317"/>
    <w:rsid w:val="0076282B"/>
    <w:rsid w:val="00764516"/>
    <w:rsid w:val="00764A56"/>
    <w:rsid w:val="00765AED"/>
    <w:rsid w:val="00765F4E"/>
    <w:rsid w:val="00775B07"/>
    <w:rsid w:val="00777132"/>
    <w:rsid w:val="00781819"/>
    <w:rsid w:val="00781B0D"/>
    <w:rsid w:val="00783634"/>
    <w:rsid w:val="00783C12"/>
    <w:rsid w:val="00784011"/>
    <w:rsid w:val="00786279"/>
    <w:rsid w:val="0079110A"/>
    <w:rsid w:val="007911B3"/>
    <w:rsid w:val="00794453"/>
    <w:rsid w:val="007959F2"/>
    <w:rsid w:val="00796684"/>
    <w:rsid w:val="007A0593"/>
    <w:rsid w:val="007A57DB"/>
    <w:rsid w:val="007A7891"/>
    <w:rsid w:val="007A7D39"/>
    <w:rsid w:val="007B004A"/>
    <w:rsid w:val="007B385A"/>
    <w:rsid w:val="007B3E88"/>
    <w:rsid w:val="007B4DFF"/>
    <w:rsid w:val="007C1325"/>
    <w:rsid w:val="007C4121"/>
    <w:rsid w:val="007C5507"/>
    <w:rsid w:val="007C5C6F"/>
    <w:rsid w:val="007D0C81"/>
    <w:rsid w:val="007D331B"/>
    <w:rsid w:val="007D4920"/>
    <w:rsid w:val="007D54C4"/>
    <w:rsid w:val="007E28EB"/>
    <w:rsid w:val="007E396B"/>
    <w:rsid w:val="007E3FE3"/>
    <w:rsid w:val="007E4D51"/>
    <w:rsid w:val="007E6049"/>
    <w:rsid w:val="007E6229"/>
    <w:rsid w:val="007F06D9"/>
    <w:rsid w:val="007F1B84"/>
    <w:rsid w:val="007F1FEF"/>
    <w:rsid w:val="007F365D"/>
    <w:rsid w:val="007F3FB6"/>
    <w:rsid w:val="007F478F"/>
    <w:rsid w:val="007F60CA"/>
    <w:rsid w:val="00800860"/>
    <w:rsid w:val="008018D9"/>
    <w:rsid w:val="00803373"/>
    <w:rsid w:val="00803E42"/>
    <w:rsid w:val="008075E1"/>
    <w:rsid w:val="00810DB9"/>
    <w:rsid w:val="00813B9E"/>
    <w:rsid w:val="00815133"/>
    <w:rsid w:val="00815B14"/>
    <w:rsid w:val="0082104F"/>
    <w:rsid w:val="00821512"/>
    <w:rsid w:val="00824794"/>
    <w:rsid w:val="0082795A"/>
    <w:rsid w:val="00832876"/>
    <w:rsid w:val="00833023"/>
    <w:rsid w:val="00836967"/>
    <w:rsid w:val="00836AD3"/>
    <w:rsid w:val="0084030C"/>
    <w:rsid w:val="00841E74"/>
    <w:rsid w:val="00841F2B"/>
    <w:rsid w:val="008421DA"/>
    <w:rsid w:val="00843491"/>
    <w:rsid w:val="00843646"/>
    <w:rsid w:val="0084437D"/>
    <w:rsid w:val="008445E0"/>
    <w:rsid w:val="0084461A"/>
    <w:rsid w:val="00846549"/>
    <w:rsid w:val="00850CBB"/>
    <w:rsid w:val="00852C2A"/>
    <w:rsid w:val="008557E4"/>
    <w:rsid w:val="00855DBB"/>
    <w:rsid w:val="008560AE"/>
    <w:rsid w:val="00856570"/>
    <w:rsid w:val="0085666B"/>
    <w:rsid w:val="008601A7"/>
    <w:rsid w:val="00863CCD"/>
    <w:rsid w:val="00865E06"/>
    <w:rsid w:val="008679FC"/>
    <w:rsid w:val="00867C06"/>
    <w:rsid w:val="0087000C"/>
    <w:rsid w:val="008708F4"/>
    <w:rsid w:val="00871414"/>
    <w:rsid w:val="00873258"/>
    <w:rsid w:val="008732F1"/>
    <w:rsid w:val="00873494"/>
    <w:rsid w:val="008756A9"/>
    <w:rsid w:val="008777BF"/>
    <w:rsid w:val="0088307C"/>
    <w:rsid w:val="0088394A"/>
    <w:rsid w:val="00884036"/>
    <w:rsid w:val="00885EEF"/>
    <w:rsid w:val="00895654"/>
    <w:rsid w:val="00895BB7"/>
    <w:rsid w:val="00895CCD"/>
    <w:rsid w:val="00896AC4"/>
    <w:rsid w:val="0089724B"/>
    <w:rsid w:val="00897861"/>
    <w:rsid w:val="00897C3A"/>
    <w:rsid w:val="008A20C3"/>
    <w:rsid w:val="008A2A7D"/>
    <w:rsid w:val="008A39B7"/>
    <w:rsid w:val="008A3D21"/>
    <w:rsid w:val="008A3ECA"/>
    <w:rsid w:val="008A7732"/>
    <w:rsid w:val="008B0BDA"/>
    <w:rsid w:val="008B4816"/>
    <w:rsid w:val="008C101A"/>
    <w:rsid w:val="008C2018"/>
    <w:rsid w:val="008C3900"/>
    <w:rsid w:val="008C3C8F"/>
    <w:rsid w:val="008D0598"/>
    <w:rsid w:val="008D333D"/>
    <w:rsid w:val="008D60B8"/>
    <w:rsid w:val="008E0123"/>
    <w:rsid w:val="008E0150"/>
    <w:rsid w:val="008E13E2"/>
    <w:rsid w:val="008E22D0"/>
    <w:rsid w:val="008E57F8"/>
    <w:rsid w:val="008E6227"/>
    <w:rsid w:val="008E71B7"/>
    <w:rsid w:val="008F1E68"/>
    <w:rsid w:val="008F3227"/>
    <w:rsid w:val="008F3E53"/>
    <w:rsid w:val="008F422B"/>
    <w:rsid w:val="008F4B9F"/>
    <w:rsid w:val="008F4FAB"/>
    <w:rsid w:val="008F57AD"/>
    <w:rsid w:val="008F6F58"/>
    <w:rsid w:val="008F72C2"/>
    <w:rsid w:val="00901DA5"/>
    <w:rsid w:val="009020FB"/>
    <w:rsid w:val="00902E02"/>
    <w:rsid w:val="009068A5"/>
    <w:rsid w:val="0090710F"/>
    <w:rsid w:val="00907923"/>
    <w:rsid w:val="00911D81"/>
    <w:rsid w:val="00912068"/>
    <w:rsid w:val="00914198"/>
    <w:rsid w:val="0092041A"/>
    <w:rsid w:val="00921795"/>
    <w:rsid w:val="0092306A"/>
    <w:rsid w:val="009234D2"/>
    <w:rsid w:val="00923C95"/>
    <w:rsid w:val="00925F94"/>
    <w:rsid w:val="00930617"/>
    <w:rsid w:val="00932B91"/>
    <w:rsid w:val="00932B96"/>
    <w:rsid w:val="00933C0D"/>
    <w:rsid w:val="0093406A"/>
    <w:rsid w:val="009353B5"/>
    <w:rsid w:val="0093543E"/>
    <w:rsid w:val="0093768D"/>
    <w:rsid w:val="0094144A"/>
    <w:rsid w:val="009415D8"/>
    <w:rsid w:val="0094228D"/>
    <w:rsid w:val="009444CA"/>
    <w:rsid w:val="009478D1"/>
    <w:rsid w:val="00953475"/>
    <w:rsid w:val="00953BB4"/>
    <w:rsid w:val="00953D4D"/>
    <w:rsid w:val="0095484F"/>
    <w:rsid w:val="0096035C"/>
    <w:rsid w:val="00960E85"/>
    <w:rsid w:val="00961A61"/>
    <w:rsid w:val="009622E7"/>
    <w:rsid w:val="00962476"/>
    <w:rsid w:val="00962912"/>
    <w:rsid w:val="00963784"/>
    <w:rsid w:val="00963D7F"/>
    <w:rsid w:val="009641D7"/>
    <w:rsid w:val="00964809"/>
    <w:rsid w:val="0096517C"/>
    <w:rsid w:val="00965D85"/>
    <w:rsid w:val="0096625D"/>
    <w:rsid w:val="00970CC2"/>
    <w:rsid w:val="00970D31"/>
    <w:rsid w:val="00972B55"/>
    <w:rsid w:val="00973963"/>
    <w:rsid w:val="009739B7"/>
    <w:rsid w:val="00982885"/>
    <w:rsid w:val="00985326"/>
    <w:rsid w:val="00987929"/>
    <w:rsid w:val="00990693"/>
    <w:rsid w:val="00990EA3"/>
    <w:rsid w:val="00991D42"/>
    <w:rsid w:val="00992AAD"/>
    <w:rsid w:val="00992B7C"/>
    <w:rsid w:val="00993503"/>
    <w:rsid w:val="00994757"/>
    <w:rsid w:val="0099479B"/>
    <w:rsid w:val="00995366"/>
    <w:rsid w:val="00997626"/>
    <w:rsid w:val="009A1B6B"/>
    <w:rsid w:val="009A25DE"/>
    <w:rsid w:val="009A5CE1"/>
    <w:rsid w:val="009B12F5"/>
    <w:rsid w:val="009B1615"/>
    <w:rsid w:val="009B2268"/>
    <w:rsid w:val="009B3733"/>
    <w:rsid w:val="009C069A"/>
    <w:rsid w:val="009C60EF"/>
    <w:rsid w:val="009C6C1A"/>
    <w:rsid w:val="009C6D80"/>
    <w:rsid w:val="009C6DF2"/>
    <w:rsid w:val="009C7787"/>
    <w:rsid w:val="009C7E93"/>
    <w:rsid w:val="009D2721"/>
    <w:rsid w:val="009D4C69"/>
    <w:rsid w:val="009D76D7"/>
    <w:rsid w:val="009E08FC"/>
    <w:rsid w:val="009E454C"/>
    <w:rsid w:val="009E6462"/>
    <w:rsid w:val="009E6842"/>
    <w:rsid w:val="009F56CD"/>
    <w:rsid w:val="009F57B5"/>
    <w:rsid w:val="00A0283E"/>
    <w:rsid w:val="00A038C7"/>
    <w:rsid w:val="00A042CE"/>
    <w:rsid w:val="00A04FCE"/>
    <w:rsid w:val="00A05EB9"/>
    <w:rsid w:val="00A0699E"/>
    <w:rsid w:val="00A0758C"/>
    <w:rsid w:val="00A1443E"/>
    <w:rsid w:val="00A14E00"/>
    <w:rsid w:val="00A15000"/>
    <w:rsid w:val="00A22982"/>
    <w:rsid w:val="00A24CB4"/>
    <w:rsid w:val="00A268AF"/>
    <w:rsid w:val="00A27AC9"/>
    <w:rsid w:val="00A3037D"/>
    <w:rsid w:val="00A349A1"/>
    <w:rsid w:val="00A34D44"/>
    <w:rsid w:val="00A37EA1"/>
    <w:rsid w:val="00A4129B"/>
    <w:rsid w:val="00A431E0"/>
    <w:rsid w:val="00A45B6F"/>
    <w:rsid w:val="00A460CC"/>
    <w:rsid w:val="00A4730E"/>
    <w:rsid w:val="00A50EB2"/>
    <w:rsid w:val="00A51B6B"/>
    <w:rsid w:val="00A5299D"/>
    <w:rsid w:val="00A53867"/>
    <w:rsid w:val="00A54935"/>
    <w:rsid w:val="00A55B6F"/>
    <w:rsid w:val="00A56567"/>
    <w:rsid w:val="00A57974"/>
    <w:rsid w:val="00A635E5"/>
    <w:rsid w:val="00A63995"/>
    <w:rsid w:val="00A63D5B"/>
    <w:rsid w:val="00A63E9C"/>
    <w:rsid w:val="00A6443C"/>
    <w:rsid w:val="00A64443"/>
    <w:rsid w:val="00A654D5"/>
    <w:rsid w:val="00A67A34"/>
    <w:rsid w:val="00A70814"/>
    <w:rsid w:val="00A714B6"/>
    <w:rsid w:val="00A73185"/>
    <w:rsid w:val="00A75EEB"/>
    <w:rsid w:val="00A77D55"/>
    <w:rsid w:val="00A8573A"/>
    <w:rsid w:val="00A86325"/>
    <w:rsid w:val="00A923C2"/>
    <w:rsid w:val="00A92CB3"/>
    <w:rsid w:val="00A9346A"/>
    <w:rsid w:val="00A9367E"/>
    <w:rsid w:val="00A948CF"/>
    <w:rsid w:val="00A94F80"/>
    <w:rsid w:val="00A96C36"/>
    <w:rsid w:val="00AA1B1E"/>
    <w:rsid w:val="00AA1E09"/>
    <w:rsid w:val="00AA3674"/>
    <w:rsid w:val="00AA39C7"/>
    <w:rsid w:val="00AA6D6A"/>
    <w:rsid w:val="00AA773B"/>
    <w:rsid w:val="00AB167D"/>
    <w:rsid w:val="00AB1825"/>
    <w:rsid w:val="00AB378C"/>
    <w:rsid w:val="00AB3D70"/>
    <w:rsid w:val="00AB7D5E"/>
    <w:rsid w:val="00AC0A2A"/>
    <w:rsid w:val="00AC1E78"/>
    <w:rsid w:val="00AC2FB4"/>
    <w:rsid w:val="00AC3936"/>
    <w:rsid w:val="00AC3E98"/>
    <w:rsid w:val="00AC5122"/>
    <w:rsid w:val="00AC73B6"/>
    <w:rsid w:val="00AD05F2"/>
    <w:rsid w:val="00AD09B1"/>
    <w:rsid w:val="00AD1FAE"/>
    <w:rsid w:val="00AD7299"/>
    <w:rsid w:val="00AE12AF"/>
    <w:rsid w:val="00AE3C33"/>
    <w:rsid w:val="00AE4822"/>
    <w:rsid w:val="00AE5300"/>
    <w:rsid w:val="00AE5D98"/>
    <w:rsid w:val="00AE6B88"/>
    <w:rsid w:val="00AF0469"/>
    <w:rsid w:val="00AF0867"/>
    <w:rsid w:val="00AF0A5D"/>
    <w:rsid w:val="00AF1670"/>
    <w:rsid w:val="00AF469A"/>
    <w:rsid w:val="00AF654E"/>
    <w:rsid w:val="00B00C65"/>
    <w:rsid w:val="00B01F3D"/>
    <w:rsid w:val="00B04B5C"/>
    <w:rsid w:val="00B05560"/>
    <w:rsid w:val="00B10B9C"/>
    <w:rsid w:val="00B10C77"/>
    <w:rsid w:val="00B1247E"/>
    <w:rsid w:val="00B15F6A"/>
    <w:rsid w:val="00B16A13"/>
    <w:rsid w:val="00B16D6C"/>
    <w:rsid w:val="00B1796C"/>
    <w:rsid w:val="00B24B90"/>
    <w:rsid w:val="00B24DDE"/>
    <w:rsid w:val="00B25F58"/>
    <w:rsid w:val="00B27B18"/>
    <w:rsid w:val="00B328ED"/>
    <w:rsid w:val="00B33515"/>
    <w:rsid w:val="00B33EC8"/>
    <w:rsid w:val="00B34655"/>
    <w:rsid w:val="00B35298"/>
    <w:rsid w:val="00B37924"/>
    <w:rsid w:val="00B40AB4"/>
    <w:rsid w:val="00B44806"/>
    <w:rsid w:val="00B44902"/>
    <w:rsid w:val="00B470C7"/>
    <w:rsid w:val="00B513FA"/>
    <w:rsid w:val="00B515DD"/>
    <w:rsid w:val="00B51E0E"/>
    <w:rsid w:val="00B54AEA"/>
    <w:rsid w:val="00B61168"/>
    <w:rsid w:val="00B627DB"/>
    <w:rsid w:val="00B63C74"/>
    <w:rsid w:val="00B67585"/>
    <w:rsid w:val="00B71BE7"/>
    <w:rsid w:val="00B72C66"/>
    <w:rsid w:val="00B73216"/>
    <w:rsid w:val="00B73845"/>
    <w:rsid w:val="00B757F5"/>
    <w:rsid w:val="00B7626C"/>
    <w:rsid w:val="00B80A29"/>
    <w:rsid w:val="00B820C8"/>
    <w:rsid w:val="00B8332D"/>
    <w:rsid w:val="00B839D6"/>
    <w:rsid w:val="00B84FA5"/>
    <w:rsid w:val="00B855AA"/>
    <w:rsid w:val="00B92636"/>
    <w:rsid w:val="00B943D0"/>
    <w:rsid w:val="00B9638E"/>
    <w:rsid w:val="00B973E8"/>
    <w:rsid w:val="00B97BA0"/>
    <w:rsid w:val="00BA0B40"/>
    <w:rsid w:val="00BA0BF0"/>
    <w:rsid w:val="00BA2C33"/>
    <w:rsid w:val="00BA4737"/>
    <w:rsid w:val="00BA758A"/>
    <w:rsid w:val="00BB0EE8"/>
    <w:rsid w:val="00BB241D"/>
    <w:rsid w:val="00BB2942"/>
    <w:rsid w:val="00BB4ABA"/>
    <w:rsid w:val="00BB64AD"/>
    <w:rsid w:val="00BB6983"/>
    <w:rsid w:val="00BB7D3F"/>
    <w:rsid w:val="00BC46C9"/>
    <w:rsid w:val="00BC50A9"/>
    <w:rsid w:val="00BC63D8"/>
    <w:rsid w:val="00BC6C1C"/>
    <w:rsid w:val="00BC6F17"/>
    <w:rsid w:val="00BC6F6A"/>
    <w:rsid w:val="00BC768D"/>
    <w:rsid w:val="00BD0205"/>
    <w:rsid w:val="00BD1E90"/>
    <w:rsid w:val="00BD25FE"/>
    <w:rsid w:val="00BD2E21"/>
    <w:rsid w:val="00BD3810"/>
    <w:rsid w:val="00BD4B7D"/>
    <w:rsid w:val="00BD7E2C"/>
    <w:rsid w:val="00BE0D95"/>
    <w:rsid w:val="00BE1F46"/>
    <w:rsid w:val="00BE25E3"/>
    <w:rsid w:val="00BE531F"/>
    <w:rsid w:val="00BE5D73"/>
    <w:rsid w:val="00BE68DC"/>
    <w:rsid w:val="00BF1128"/>
    <w:rsid w:val="00BF1A55"/>
    <w:rsid w:val="00BF1B15"/>
    <w:rsid w:val="00BF4A10"/>
    <w:rsid w:val="00BF7C9C"/>
    <w:rsid w:val="00BF7CFD"/>
    <w:rsid w:val="00C010D1"/>
    <w:rsid w:val="00C01F75"/>
    <w:rsid w:val="00C029D2"/>
    <w:rsid w:val="00C05F4F"/>
    <w:rsid w:val="00C0601D"/>
    <w:rsid w:val="00C072C8"/>
    <w:rsid w:val="00C136B5"/>
    <w:rsid w:val="00C13796"/>
    <w:rsid w:val="00C142BD"/>
    <w:rsid w:val="00C14D76"/>
    <w:rsid w:val="00C17783"/>
    <w:rsid w:val="00C17B43"/>
    <w:rsid w:val="00C17B7D"/>
    <w:rsid w:val="00C23F0C"/>
    <w:rsid w:val="00C246D2"/>
    <w:rsid w:val="00C25A20"/>
    <w:rsid w:val="00C25B7E"/>
    <w:rsid w:val="00C263E1"/>
    <w:rsid w:val="00C27CDC"/>
    <w:rsid w:val="00C30047"/>
    <w:rsid w:val="00C35112"/>
    <w:rsid w:val="00C3584E"/>
    <w:rsid w:val="00C43926"/>
    <w:rsid w:val="00C43D31"/>
    <w:rsid w:val="00C4489D"/>
    <w:rsid w:val="00C450CE"/>
    <w:rsid w:val="00C45681"/>
    <w:rsid w:val="00C458AA"/>
    <w:rsid w:val="00C52F08"/>
    <w:rsid w:val="00C53934"/>
    <w:rsid w:val="00C547CD"/>
    <w:rsid w:val="00C55413"/>
    <w:rsid w:val="00C55E1F"/>
    <w:rsid w:val="00C57C2E"/>
    <w:rsid w:val="00C615AE"/>
    <w:rsid w:val="00C6344A"/>
    <w:rsid w:val="00C65785"/>
    <w:rsid w:val="00C659E8"/>
    <w:rsid w:val="00C66E83"/>
    <w:rsid w:val="00C70043"/>
    <w:rsid w:val="00C703C4"/>
    <w:rsid w:val="00C725C9"/>
    <w:rsid w:val="00C7284E"/>
    <w:rsid w:val="00C738CC"/>
    <w:rsid w:val="00C73F46"/>
    <w:rsid w:val="00C74EA1"/>
    <w:rsid w:val="00C86AE7"/>
    <w:rsid w:val="00C87CD0"/>
    <w:rsid w:val="00C9731A"/>
    <w:rsid w:val="00CA4909"/>
    <w:rsid w:val="00CA4DA6"/>
    <w:rsid w:val="00CA6D57"/>
    <w:rsid w:val="00CB1083"/>
    <w:rsid w:val="00CB125B"/>
    <w:rsid w:val="00CB1BFF"/>
    <w:rsid w:val="00CB26D8"/>
    <w:rsid w:val="00CB37E2"/>
    <w:rsid w:val="00CB3BA3"/>
    <w:rsid w:val="00CB4FA0"/>
    <w:rsid w:val="00CB708F"/>
    <w:rsid w:val="00CC2528"/>
    <w:rsid w:val="00CC4C4A"/>
    <w:rsid w:val="00CD0628"/>
    <w:rsid w:val="00CD2809"/>
    <w:rsid w:val="00CE01D2"/>
    <w:rsid w:val="00CE149B"/>
    <w:rsid w:val="00CE17A9"/>
    <w:rsid w:val="00CE2109"/>
    <w:rsid w:val="00CE25E8"/>
    <w:rsid w:val="00CE3084"/>
    <w:rsid w:val="00CE36F6"/>
    <w:rsid w:val="00CE4E24"/>
    <w:rsid w:val="00CF4186"/>
    <w:rsid w:val="00CF7F40"/>
    <w:rsid w:val="00D00114"/>
    <w:rsid w:val="00D03503"/>
    <w:rsid w:val="00D0506E"/>
    <w:rsid w:val="00D060FD"/>
    <w:rsid w:val="00D1082B"/>
    <w:rsid w:val="00D111E1"/>
    <w:rsid w:val="00D141D6"/>
    <w:rsid w:val="00D141DF"/>
    <w:rsid w:val="00D15599"/>
    <w:rsid w:val="00D155B5"/>
    <w:rsid w:val="00D1661F"/>
    <w:rsid w:val="00D16F47"/>
    <w:rsid w:val="00D209CD"/>
    <w:rsid w:val="00D211BD"/>
    <w:rsid w:val="00D2187D"/>
    <w:rsid w:val="00D22689"/>
    <w:rsid w:val="00D27048"/>
    <w:rsid w:val="00D272AA"/>
    <w:rsid w:val="00D30B62"/>
    <w:rsid w:val="00D31AE5"/>
    <w:rsid w:val="00D31C7C"/>
    <w:rsid w:val="00D32607"/>
    <w:rsid w:val="00D3297F"/>
    <w:rsid w:val="00D33047"/>
    <w:rsid w:val="00D33172"/>
    <w:rsid w:val="00D376CF"/>
    <w:rsid w:val="00D428E5"/>
    <w:rsid w:val="00D439B8"/>
    <w:rsid w:val="00D45A88"/>
    <w:rsid w:val="00D45BDD"/>
    <w:rsid w:val="00D45DEE"/>
    <w:rsid w:val="00D461F4"/>
    <w:rsid w:val="00D51553"/>
    <w:rsid w:val="00D51A5E"/>
    <w:rsid w:val="00D526A5"/>
    <w:rsid w:val="00D528B2"/>
    <w:rsid w:val="00D528C7"/>
    <w:rsid w:val="00D55190"/>
    <w:rsid w:val="00D56459"/>
    <w:rsid w:val="00D56D4A"/>
    <w:rsid w:val="00D609E5"/>
    <w:rsid w:val="00D61E3D"/>
    <w:rsid w:val="00D62E17"/>
    <w:rsid w:val="00D65C7C"/>
    <w:rsid w:val="00D65EBC"/>
    <w:rsid w:val="00D67620"/>
    <w:rsid w:val="00D704EB"/>
    <w:rsid w:val="00D72EA5"/>
    <w:rsid w:val="00D7520D"/>
    <w:rsid w:val="00D763CF"/>
    <w:rsid w:val="00D77E56"/>
    <w:rsid w:val="00D805EE"/>
    <w:rsid w:val="00D80EDB"/>
    <w:rsid w:val="00D82DFF"/>
    <w:rsid w:val="00D84FC1"/>
    <w:rsid w:val="00D8502F"/>
    <w:rsid w:val="00D85D9E"/>
    <w:rsid w:val="00D87799"/>
    <w:rsid w:val="00D94577"/>
    <w:rsid w:val="00DA0FFE"/>
    <w:rsid w:val="00DA4851"/>
    <w:rsid w:val="00DA4E7D"/>
    <w:rsid w:val="00DA5294"/>
    <w:rsid w:val="00DA636B"/>
    <w:rsid w:val="00DB125C"/>
    <w:rsid w:val="00DB1635"/>
    <w:rsid w:val="00DB2F87"/>
    <w:rsid w:val="00DB4209"/>
    <w:rsid w:val="00DB5EA1"/>
    <w:rsid w:val="00DC1442"/>
    <w:rsid w:val="00DC258A"/>
    <w:rsid w:val="00DC29A5"/>
    <w:rsid w:val="00DC2EC2"/>
    <w:rsid w:val="00DC32B7"/>
    <w:rsid w:val="00DC4CAC"/>
    <w:rsid w:val="00DC5073"/>
    <w:rsid w:val="00DC5FC9"/>
    <w:rsid w:val="00DC6991"/>
    <w:rsid w:val="00DD0BBF"/>
    <w:rsid w:val="00DD13E6"/>
    <w:rsid w:val="00DD1E96"/>
    <w:rsid w:val="00DD26D6"/>
    <w:rsid w:val="00DD36D4"/>
    <w:rsid w:val="00DD625B"/>
    <w:rsid w:val="00DD69DA"/>
    <w:rsid w:val="00DD6D91"/>
    <w:rsid w:val="00DE0533"/>
    <w:rsid w:val="00DE198D"/>
    <w:rsid w:val="00DE23DC"/>
    <w:rsid w:val="00DE37D6"/>
    <w:rsid w:val="00DE3F54"/>
    <w:rsid w:val="00DE4581"/>
    <w:rsid w:val="00DE6111"/>
    <w:rsid w:val="00DF005D"/>
    <w:rsid w:val="00DF0201"/>
    <w:rsid w:val="00DF0570"/>
    <w:rsid w:val="00DF2DCF"/>
    <w:rsid w:val="00DF3261"/>
    <w:rsid w:val="00DF43E7"/>
    <w:rsid w:val="00DF4D64"/>
    <w:rsid w:val="00DF51A5"/>
    <w:rsid w:val="00DF547E"/>
    <w:rsid w:val="00DF70A0"/>
    <w:rsid w:val="00DF7FB2"/>
    <w:rsid w:val="00E05B68"/>
    <w:rsid w:val="00E0646A"/>
    <w:rsid w:val="00E071EF"/>
    <w:rsid w:val="00E07D4A"/>
    <w:rsid w:val="00E11C3F"/>
    <w:rsid w:val="00E13495"/>
    <w:rsid w:val="00E14A5A"/>
    <w:rsid w:val="00E1624D"/>
    <w:rsid w:val="00E21480"/>
    <w:rsid w:val="00E219E7"/>
    <w:rsid w:val="00E22822"/>
    <w:rsid w:val="00E23006"/>
    <w:rsid w:val="00E24324"/>
    <w:rsid w:val="00E26E24"/>
    <w:rsid w:val="00E26FDA"/>
    <w:rsid w:val="00E30998"/>
    <w:rsid w:val="00E33310"/>
    <w:rsid w:val="00E33A29"/>
    <w:rsid w:val="00E36958"/>
    <w:rsid w:val="00E378F2"/>
    <w:rsid w:val="00E42CC3"/>
    <w:rsid w:val="00E42E64"/>
    <w:rsid w:val="00E4448F"/>
    <w:rsid w:val="00E44D21"/>
    <w:rsid w:val="00E51B23"/>
    <w:rsid w:val="00E53563"/>
    <w:rsid w:val="00E5430D"/>
    <w:rsid w:val="00E55DF1"/>
    <w:rsid w:val="00E56E1B"/>
    <w:rsid w:val="00E56EE3"/>
    <w:rsid w:val="00E61431"/>
    <w:rsid w:val="00E63670"/>
    <w:rsid w:val="00E64B42"/>
    <w:rsid w:val="00E71009"/>
    <w:rsid w:val="00E71908"/>
    <w:rsid w:val="00E7425F"/>
    <w:rsid w:val="00E75DE1"/>
    <w:rsid w:val="00E7613A"/>
    <w:rsid w:val="00E76506"/>
    <w:rsid w:val="00E81711"/>
    <w:rsid w:val="00E83599"/>
    <w:rsid w:val="00E863C9"/>
    <w:rsid w:val="00E86E70"/>
    <w:rsid w:val="00E927BD"/>
    <w:rsid w:val="00E933AA"/>
    <w:rsid w:val="00E9407B"/>
    <w:rsid w:val="00E9452E"/>
    <w:rsid w:val="00E94B75"/>
    <w:rsid w:val="00E95366"/>
    <w:rsid w:val="00E958FE"/>
    <w:rsid w:val="00E95D6D"/>
    <w:rsid w:val="00E97849"/>
    <w:rsid w:val="00EA185D"/>
    <w:rsid w:val="00EA36EC"/>
    <w:rsid w:val="00EA4B65"/>
    <w:rsid w:val="00EA513B"/>
    <w:rsid w:val="00EA63C1"/>
    <w:rsid w:val="00EB1EE5"/>
    <w:rsid w:val="00EB4A89"/>
    <w:rsid w:val="00EB5163"/>
    <w:rsid w:val="00EB5EB1"/>
    <w:rsid w:val="00EB77B9"/>
    <w:rsid w:val="00EC0F71"/>
    <w:rsid w:val="00EC20D2"/>
    <w:rsid w:val="00EC3480"/>
    <w:rsid w:val="00EC464D"/>
    <w:rsid w:val="00EC497B"/>
    <w:rsid w:val="00EC5071"/>
    <w:rsid w:val="00ED4655"/>
    <w:rsid w:val="00EE0191"/>
    <w:rsid w:val="00EE0377"/>
    <w:rsid w:val="00EE0881"/>
    <w:rsid w:val="00EE4D37"/>
    <w:rsid w:val="00EE540C"/>
    <w:rsid w:val="00EE7452"/>
    <w:rsid w:val="00EE7F14"/>
    <w:rsid w:val="00EF0B53"/>
    <w:rsid w:val="00EF0BA5"/>
    <w:rsid w:val="00EF22A7"/>
    <w:rsid w:val="00EF3BD5"/>
    <w:rsid w:val="00EF3F88"/>
    <w:rsid w:val="00EF477E"/>
    <w:rsid w:val="00F004E0"/>
    <w:rsid w:val="00F006F1"/>
    <w:rsid w:val="00F01781"/>
    <w:rsid w:val="00F02783"/>
    <w:rsid w:val="00F065E7"/>
    <w:rsid w:val="00F10FF6"/>
    <w:rsid w:val="00F123F5"/>
    <w:rsid w:val="00F12463"/>
    <w:rsid w:val="00F12B1A"/>
    <w:rsid w:val="00F14103"/>
    <w:rsid w:val="00F1571A"/>
    <w:rsid w:val="00F171D8"/>
    <w:rsid w:val="00F213B9"/>
    <w:rsid w:val="00F224A0"/>
    <w:rsid w:val="00F22D09"/>
    <w:rsid w:val="00F30D05"/>
    <w:rsid w:val="00F30F5E"/>
    <w:rsid w:val="00F3304D"/>
    <w:rsid w:val="00F35EDE"/>
    <w:rsid w:val="00F36796"/>
    <w:rsid w:val="00F36CD7"/>
    <w:rsid w:val="00F36D89"/>
    <w:rsid w:val="00F375D3"/>
    <w:rsid w:val="00F37D85"/>
    <w:rsid w:val="00F416F3"/>
    <w:rsid w:val="00F41D01"/>
    <w:rsid w:val="00F44E29"/>
    <w:rsid w:val="00F46109"/>
    <w:rsid w:val="00F564B8"/>
    <w:rsid w:val="00F57C27"/>
    <w:rsid w:val="00F57DD3"/>
    <w:rsid w:val="00F6124A"/>
    <w:rsid w:val="00F63579"/>
    <w:rsid w:val="00F63752"/>
    <w:rsid w:val="00F64151"/>
    <w:rsid w:val="00F74E1F"/>
    <w:rsid w:val="00F775B5"/>
    <w:rsid w:val="00F8059C"/>
    <w:rsid w:val="00F80D3B"/>
    <w:rsid w:val="00F84659"/>
    <w:rsid w:val="00F84BE3"/>
    <w:rsid w:val="00F91F32"/>
    <w:rsid w:val="00F923C5"/>
    <w:rsid w:val="00F93492"/>
    <w:rsid w:val="00F9416C"/>
    <w:rsid w:val="00F957B6"/>
    <w:rsid w:val="00F96141"/>
    <w:rsid w:val="00F96E30"/>
    <w:rsid w:val="00F9753E"/>
    <w:rsid w:val="00FA0596"/>
    <w:rsid w:val="00FA14AD"/>
    <w:rsid w:val="00FA204A"/>
    <w:rsid w:val="00FA20E9"/>
    <w:rsid w:val="00FA2EED"/>
    <w:rsid w:val="00FB2993"/>
    <w:rsid w:val="00FB5629"/>
    <w:rsid w:val="00FB6773"/>
    <w:rsid w:val="00FB7D36"/>
    <w:rsid w:val="00FC00B0"/>
    <w:rsid w:val="00FC02E6"/>
    <w:rsid w:val="00FC09EC"/>
    <w:rsid w:val="00FC5B69"/>
    <w:rsid w:val="00FC7746"/>
    <w:rsid w:val="00FD5A92"/>
    <w:rsid w:val="00FD695F"/>
    <w:rsid w:val="00FD7E53"/>
    <w:rsid w:val="00FE036E"/>
    <w:rsid w:val="00FE1B41"/>
    <w:rsid w:val="00FE1D74"/>
    <w:rsid w:val="00FE2FD6"/>
    <w:rsid w:val="00FE57DD"/>
    <w:rsid w:val="00FE6063"/>
    <w:rsid w:val="00FE78BC"/>
    <w:rsid w:val="00FF5C20"/>
    <w:rsid w:val="00FF622E"/>
    <w:rsid w:val="01AA4AA8"/>
    <w:rsid w:val="0ABA6A0A"/>
    <w:rsid w:val="15553E49"/>
    <w:rsid w:val="199835D1"/>
    <w:rsid w:val="22620E02"/>
    <w:rsid w:val="34067437"/>
    <w:rsid w:val="3A215B52"/>
    <w:rsid w:val="43E05D9B"/>
    <w:rsid w:val="4BB92FF4"/>
    <w:rsid w:val="57105E9F"/>
    <w:rsid w:val="5B8F0178"/>
    <w:rsid w:val="630025A2"/>
    <w:rsid w:val="66116713"/>
    <w:rsid w:val="6A0C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strokecolor="#739cc3">
      <v:fill angle="90" type="gradient">
        <o:fill v:ext="view" type="gradientUnscaled"/>
      </v:fill>
      <v:stroke color="#739cc3" weight="1.25pt"/>
    </o:shapedefaults>
    <o:shapelayout v:ext="edit">
      <o:idmap v:ext="edit" data="2"/>
    </o:shapelayout>
  </w:shapeDefaults>
  <w:decimalSymbol w:val="."/>
  <w:listSeparator w:val=","/>
  <w14:docId w14:val="6566C6D5"/>
  <w15:chartTrackingRefBased/>
  <w15:docId w15:val="{AFCA240C-2B79-4673-8D38-4B9475AD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unhideWhenUsed="1"/>
    <w:lsdException w:name="index heading" w:locked="1" w:semiHidden="1" w:unhideWhenUsed="1"/>
    <w:lsdException w:name="caption" w:qFormat="1"/>
    <w:lsdException w:name="envelope address" w:locked="1" w:semiHidden="1" w:unhideWhenUsed="1"/>
    <w:lsdException w:name="envelope return" w:locked="1" w:semiHidden="1" w:unhideWhenUsed="1"/>
    <w:lsdException w:name="footnote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qFormat="1"/>
    <w:lsdException w:name="Block Text" w:locked="1" w:semiHidden="1" w:unhideWhenUsed="1"/>
    <w:lsdException w:name="FollowedHyperlink" w:locked="1" w:semiHidden="1" w:unhideWhenUsed="1"/>
    <w:lsdException w:name="Strong" w:uiPriority="0" w:qFormat="1"/>
    <w:lsdException w:name="Emphasis" w:uiPriority="0" w:qFormat="1"/>
    <w:lsdException w:name="Document Map" w:locked="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560"/>
    <w:rPr>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x-none"/>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x-none"/>
    </w:rPr>
  </w:style>
  <w:style w:type="paragraph" w:styleId="4">
    <w:name w:val="heading 4"/>
    <w:basedOn w:val="a"/>
    <w:next w:val="a"/>
    <w:link w:val="4Char"/>
    <w:uiPriority w:val="99"/>
    <w:qFormat/>
    <w:pPr>
      <w:keepNext/>
      <w:tabs>
        <w:tab w:val="left" w:pos="864"/>
      </w:tabs>
      <w:spacing w:before="240" w:after="60"/>
      <w:ind w:left="864" w:hanging="864"/>
      <w:outlineLvl w:val="3"/>
    </w:pPr>
    <w:rPr>
      <w:b/>
      <w:bCs/>
      <w:sz w:val="28"/>
      <w:szCs w:val="28"/>
      <w:lang w:val="x-none"/>
    </w:rPr>
  </w:style>
  <w:style w:type="paragraph" w:styleId="5">
    <w:name w:val="heading 5"/>
    <w:basedOn w:val="a"/>
    <w:next w:val="a"/>
    <w:link w:val="5Char"/>
    <w:uiPriority w:val="99"/>
    <w:qFormat/>
    <w:pPr>
      <w:tabs>
        <w:tab w:val="left" w:pos="1916"/>
      </w:tabs>
      <w:spacing w:before="240" w:after="60"/>
      <w:ind w:left="1916" w:hanging="1008"/>
      <w:outlineLvl w:val="4"/>
    </w:pPr>
    <w:rPr>
      <w:b/>
      <w:bCs/>
      <w:i/>
      <w:iCs/>
      <w:sz w:val="26"/>
      <w:szCs w:val="26"/>
      <w:lang w:val="x-none"/>
    </w:rPr>
  </w:style>
  <w:style w:type="paragraph" w:styleId="6">
    <w:name w:val="heading 6"/>
    <w:basedOn w:val="a"/>
    <w:next w:val="a"/>
    <w:link w:val="6Char"/>
    <w:uiPriority w:val="99"/>
    <w:qFormat/>
    <w:pPr>
      <w:tabs>
        <w:tab w:val="left" w:pos="2060"/>
      </w:tabs>
      <w:spacing w:before="240" w:after="60"/>
      <w:ind w:left="2060" w:hanging="1152"/>
      <w:outlineLvl w:val="5"/>
    </w:pPr>
    <w:rPr>
      <w:b/>
      <w:bCs/>
      <w:sz w:val="22"/>
      <w:szCs w:val="22"/>
      <w:lang w:val="x-none"/>
    </w:rPr>
  </w:style>
  <w:style w:type="paragraph" w:styleId="7">
    <w:name w:val="heading 7"/>
    <w:basedOn w:val="a"/>
    <w:next w:val="a"/>
    <w:link w:val="7Char"/>
    <w:uiPriority w:val="99"/>
    <w:qFormat/>
    <w:pPr>
      <w:tabs>
        <w:tab w:val="left" w:pos="2204"/>
      </w:tabs>
      <w:spacing w:before="240" w:after="60"/>
      <w:ind w:left="2204" w:hanging="1296"/>
      <w:outlineLvl w:val="6"/>
    </w:pPr>
    <w:rPr>
      <w:lang w:val="x-none"/>
    </w:rPr>
  </w:style>
  <w:style w:type="paragraph" w:styleId="8">
    <w:name w:val="heading 8"/>
    <w:basedOn w:val="a"/>
    <w:next w:val="a"/>
    <w:link w:val="8Char"/>
    <w:uiPriority w:val="99"/>
    <w:qFormat/>
    <w:pPr>
      <w:tabs>
        <w:tab w:val="left" w:pos="2348"/>
      </w:tabs>
      <w:spacing w:before="240" w:after="60"/>
      <w:ind w:left="2348" w:hanging="1440"/>
      <w:outlineLvl w:val="7"/>
    </w:pPr>
    <w:rPr>
      <w:i/>
      <w:iCs/>
      <w:lang w:val="x-none"/>
    </w:rPr>
  </w:style>
  <w:style w:type="paragraph" w:styleId="9">
    <w:name w:val="heading 9"/>
    <w:basedOn w:val="a"/>
    <w:next w:val="a"/>
    <w:link w:val="9Char"/>
    <w:uiPriority w:val="99"/>
    <w:qFormat/>
    <w:pPr>
      <w:tabs>
        <w:tab w:val="left" w:pos="2492"/>
      </w:tabs>
      <w:spacing w:before="240" w:after="60"/>
      <w:ind w:left="2492" w:hanging="1584"/>
      <w:outlineLvl w:val="8"/>
    </w:pPr>
    <w:rPr>
      <w:rFonts w:ascii="Arial" w:hAnsi="Arial"/>
      <w:sz w:val="22"/>
      <w:szCs w:val="22"/>
      <w:lang w:val="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rFonts w:cs="Times New Roman"/>
      <w:color w:val="0000FF"/>
      <w:u w:val="single"/>
    </w:rPr>
  </w:style>
  <w:style w:type="character" w:styleId="a4">
    <w:name w:val="annotation reference"/>
    <w:uiPriority w:val="99"/>
    <w:rPr>
      <w:rFonts w:cs="Times New Roman"/>
      <w:sz w:val="16"/>
    </w:rPr>
  </w:style>
  <w:style w:type="character" w:customStyle="1" w:styleId="address">
    <w:name w:val="address"/>
  </w:style>
  <w:style w:type="character" w:customStyle="1" w:styleId="WXHeadingAppendixChar">
    <w:name w:val="WX Heading Appendix Char"/>
    <w:link w:val="WXHeadingAppendix"/>
    <w:uiPriority w:val="99"/>
    <w:locked/>
    <w:rPr>
      <w:rFonts w:ascii="Arial" w:hAnsi="Arial" w:cs="Arial"/>
      <w:b/>
      <w:bCs/>
      <w:caps/>
      <w:kern w:val="32"/>
      <w:sz w:val="28"/>
      <w:szCs w:val="28"/>
      <w:lang w:val="en-US" w:eastAsia="zh-CN" w:bidi="ar-SA"/>
    </w:rPr>
  </w:style>
  <w:style w:type="character" w:customStyle="1" w:styleId="Char">
    <w:name w:val="页脚 Char"/>
    <w:link w:val="a5"/>
    <w:uiPriority w:val="99"/>
    <w:locked/>
    <w:rPr>
      <w:rFonts w:cs="Times New Roman"/>
      <w:kern w:val="0"/>
      <w:sz w:val="18"/>
      <w:szCs w:val="18"/>
      <w:lang w:eastAsia="en-US"/>
    </w:rPr>
  </w:style>
  <w:style w:type="character" w:customStyle="1" w:styleId="Char0">
    <w:name w:val="日期 Char"/>
    <w:link w:val="a6"/>
    <w:uiPriority w:val="99"/>
    <w:rPr>
      <w:kern w:val="2"/>
      <w:sz w:val="24"/>
    </w:rPr>
  </w:style>
  <w:style w:type="character" w:customStyle="1" w:styleId="2Char">
    <w:name w:val="标题 2 Char"/>
    <w:link w:val="2"/>
    <w:uiPriority w:val="99"/>
    <w:semiHidden/>
    <w:locked/>
    <w:rPr>
      <w:rFonts w:ascii="Arial" w:eastAsia="宋体" w:hAnsi="Arial" w:cs="Arial"/>
      <w:b/>
      <w:bCs/>
      <w:iCs/>
      <w:sz w:val="28"/>
      <w:szCs w:val="28"/>
      <w:lang w:val="en-US" w:eastAsia="en-US" w:bidi="ar-SA"/>
    </w:rPr>
  </w:style>
  <w:style w:type="character" w:customStyle="1" w:styleId="Char1">
    <w:name w:val="批注文字 Char"/>
    <w:link w:val="a7"/>
    <w:uiPriority w:val="99"/>
    <w:locked/>
    <w:rPr>
      <w:rFonts w:cs="Times New Roman"/>
      <w:lang w:val="en-GB" w:eastAsia="nl-NL"/>
    </w:rPr>
  </w:style>
  <w:style w:type="character" w:customStyle="1" w:styleId="3Char0">
    <w:name w:val="正文文本缩进 3 Char"/>
    <w:link w:val="30"/>
    <w:uiPriority w:val="99"/>
    <w:qFormat/>
    <w:rPr>
      <w:kern w:val="2"/>
      <w:sz w:val="24"/>
    </w:rPr>
  </w:style>
  <w:style w:type="character" w:customStyle="1" w:styleId="Char2">
    <w:name w:val="正文文本 Char"/>
    <w:link w:val="a8"/>
    <w:uiPriority w:val="99"/>
    <w:semiHidden/>
    <w:rPr>
      <w:sz w:val="24"/>
      <w:szCs w:val="24"/>
      <w:lang w:eastAsia="en-US"/>
    </w:rPr>
  </w:style>
  <w:style w:type="character" w:customStyle="1" w:styleId="WXSuperscriptChar">
    <w:name w:val="WX Superscript Char"/>
    <w:link w:val="WXSuperscript"/>
    <w:uiPriority w:val="99"/>
    <w:locked/>
    <w:rPr>
      <w:rFonts w:cs="Arial"/>
      <w:bCs/>
      <w:kern w:val="32"/>
      <w:sz w:val="24"/>
      <w:szCs w:val="24"/>
      <w:vertAlign w:val="superscript"/>
      <w:lang w:val="en-US" w:eastAsia="zh-CN" w:bidi="ar-SA"/>
    </w:rPr>
  </w:style>
  <w:style w:type="character" w:customStyle="1" w:styleId="Char3">
    <w:name w:val="脚注文本 Char"/>
    <w:link w:val="a9"/>
    <w:uiPriority w:val="99"/>
    <w:rPr>
      <w:rFonts w:ascii="Calibri" w:hAnsi="Calibri"/>
    </w:rPr>
  </w:style>
  <w:style w:type="character" w:customStyle="1" w:styleId="6Char">
    <w:name w:val="标题 6 Char"/>
    <w:link w:val="6"/>
    <w:uiPriority w:val="99"/>
    <w:locked/>
    <w:rPr>
      <w:b/>
      <w:bCs/>
      <w:sz w:val="22"/>
      <w:szCs w:val="22"/>
      <w:lang w:eastAsia="en-US"/>
    </w:rPr>
  </w:style>
  <w:style w:type="character" w:customStyle="1" w:styleId="4Char">
    <w:name w:val="标题 4 Char"/>
    <w:link w:val="4"/>
    <w:uiPriority w:val="99"/>
    <w:locked/>
    <w:rPr>
      <w:b/>
      <w:bCs/>
      <w:sz w:val="28"/>
      <w:szCs w:val="28"/>
      <w:lang w:eastAsia="en-US"/>
    </w:rPr>
  </w:style>
  <w:style w:type="character" w:customStyle="1" w:styleId="WXTableHeaderChar">
    <w:name w:val="WX Table Header Char"/>
    <w:link w:val="WXTableHeader"/>
    <w:uiPriority w:val="99"/>
    <w:locked/>
    <w:rPr>
      <w:rFonts w:ascii="Arial" w:hAnsi="Arial" w:cs="Arial"/>
      <w:b/>
      <w:bCs/>
      <w:kern w:val="32"/>
      <w:lang w:val="en-US" w:eastAsia="zh-CN" w:bidi="ar-SA"/>
    </w:rPr>
  </w:style>
  <w:style w:type="character" w:customStyle="1" w:styleId="Char4">
    <w:name w:val="批注框文本 Char"/>
    <w:link w:val="aa"/>
    <w:uiPriority w:val="99"/>
    <w:semiHidden/>
    <w:rPr>
      <w:sz w:val="18"/>
      <w:szCs w:val="18"/>
      <w:lang w:eastAsia="en-US"/>
    </w:rPr>
  </w:style>
  <w:style w:type="character" w:customStyle="1" w:styleId="8Char">
    <w:name w:val="标题 8 Char"/>
    <w:link w:val="8"/>
    <w:uiPriority w:val="99"/>
    <w:locked/>
    <w:rPr>
      <w:i/>
      <w:iCs/>
      <w:sz w:val="24"/>
      <w:szCs w:val="24"/>
      <w:lang w:eastAsia="en-US"/>
    </w:rPr>
  </w:style>
  <w:style w:type="character" w:customStyle="1" w:styleId="WXTableTextChar">
    <w:name w:val="WX Table Text Char"/>
    <w:link w:val="WXTableText"/>
    <w:uiPriority w:val="99"/>
    <w:locked/>
    <w:rPr>
      <w:rFonts w:ascii="Arial" w:hAnsi="Arial" w:cs="Arial"/>
      <w:bCs/>
      <w:kern w:val="32"/>
      <w:lang w:val="en-US" w:eastAsia="zh-CN" w:bidi="ar-SA"/>
    </w:rPr>
  </w:style>
  <w:style w:type="character" w:customStyle="1" w:styleId="1Char">
    <w:name w:val="标题 1 Char"/>
    <w:link w:val="1"/>
    <w:uiPriority w:val="99"/>
    <w:locked/>
    <w:rPr>
      <w:rFonts w:cs="Times New Roman"/>
      <w:b/>
      <w:bCs/>
      <w:kern w:val="44"/>
      <w:sz w:val="44"/>
      <w:szCs w:val="44"/>
      <w:lang w:eastAsia="en-US"/>
    </w:rPr>
  </w:style>
  <w:style w:type="character" w:customStyle="1" w:styleId="WXHeading2Char">
    <w:name w:val="WX Heading 2 Char"/>
    <w:link w:val="WXHeading2"/>
    <w:uiPriority w:val="99"/>
    <w:locked/>
    <w:rPr>
      <w:rFonts w:ascii="Arial" w:hAnsi="Arial"/>
      <w:b/>
      <w:kern w:val="32"/>
      <w:sz w:val="28"/>
      <w:szCs w:val="28"/>
      <w:lang w:val="en-US" w:eastAsia="zh-CN" w:bidi="ar-SA"/>
    </w:rPr>
  </w:style>
  <w:style w:type="character" w:customStyle="1" w:styleId="3Char">
    <w:name w:val="标题 3 Char"/>
    <w:link w:val="3"/>
    <w:uiPriority w:val="99"/>
    <w:semiHidden/>
    <w:locked/>
    <w:rPr>
      <w:rFonts w:cs="Times New Roman"/>
      <w:b/>
      <w:bCs/>
      <w:kern w:val="0"/>
      <w:sz w:val="32"/>
      <w:szCs w:val="32"/>
      <w:lang w:eastAsia="en-US"/>
    </w:rPr>
  </w:style>
  <w:style w:type="character" w:customStyle="1" w:styleId="WXHeading1Char">
    <w:name w:val="WX Heading 1 Char"/>
    <w:link w:val="WXHeading1"/>
    <w:uiPriority w:val="99"/>
    <w:locked/>
    <w:rPr>
      <w:rFonts w:ascii="Arial" w:hAnsi="Arial"/>
      <w:b/>
      <w:bCs/>
      <w:caps/>
      <w:kern w:val="32"/>
      <w:sz w:val="28"/>
      <w:szCs w:val="28"/>
      <w:lang w:val="en-US" w:eastAsia="en-US" w:bidi="ar-SA"/>
    </w:rPr>
  </w:style>
  <w:style w:type="character" w:customStyle="1" w:styleId="5Char">
    <w:name w:val="标题 5 Char"/>
    <w:link w:val="5"/>
    <w:uiPriority w:val="99"/>
    <w:locked/>
    <w:rPr>
      <w:b/>
      <w:bCs/>
      <w:i/>
      <w:iCs/>
      <w:sz w:val="26"/>
      <w:szCs w:val="26"/>
      <w:lang w:eastAsia="en-US"/>
    </w:rPr>
  </w:style>
  <w:style w:type="character" w:customStyle="1" w:styleId="WXTableNoteChar">
    <w:name w:val="WX Table Note Char"/>
    <w:link w:val="WXTableNote"/>
    <w:uiPriority w:val="99"/>
    <w:locked/>
    <w:rPr>
      <w:rFonts w:ascii="Arial" w:hAnsi="Arial" w:cs="Arial"/>
      <w:bCs/>
      <w:kern w:val="32"/>
      <w:sz w:val="18"/>
      <w:szCs w:val="28"/>
      <w:lang w:val="en-US" w:eastAsia="zh-CN" w:bidi="ar-SA"/>
    </w:rPr>
  </w:style>
  <w:style w:type="character" w:customStyle="1" w:styleId="7Char">
    <w:name w:val="标题 7 Char"/>
    <w:link w:val="7"/>
    <w:uiPriority w:val="99"/>
    <w:locked/>
    <w:rPr>
      <w:sz w:val="24"/>
      <w:szCs w:val="24"/>
      <w:lang w:eastAsia="en-US"/>
    </w:rPr>
  </w:style>
  <w:style w:type="character" w:customStyle="1" w:styleId="9Char">
    <w:name w:val="标题 9 Char"/>
    <w:link w:val="9"/>
    <w:uiPriority w:val="99"/>
    <w:locked/>
    <w:rPr>
      <w:rFonts w:ascii="Arial" w:hAnsi="Arial"/>
      <w:sz w:val="22"/>
      <w:szCs w:val="22"/>
      <w:lang w:eastAsia="en-US"/>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character" w:customStyle="1" w:styleId="WXTableTitleChar">
    <w:name w:val="WX Table Title Char"/>
    <w:link w:val="WXTableTitle"/>
    <w:uiPriority w:val="99"/>
    <w:locked/>
    <w:rPr>
      <w:rFonts w:ascii="Arial" w:hAnsi="Arial" w:cs="Arial"/>
      <w:b/>
      <w:bCs/>
      <w:kern w:val="32"/>
      <w:sz w:val="26"/>
      <w:szCs w:val="26"/>
      <w:lang w:val="en-US" w:eastAsia="zh-CN" w:bidi="ar-SA"/>
    </w:rPr>
  </w:style>
  <w:style w:type="character" w:customStyle="1" w:styleId="Char5">
    <w:name w:val="页眉 Char"/>
    <w:link w:val="ab"/>
    <w:uiPriority w:val="99"/>
    <w:locked/>
    <w:rPr>
      <w:rFonts w:cs="Times New Roman"/>
      <w:kern w:val="0"/>
      <w:sz w:val="18"/>
      <w:szCs w:val="18"/>
      <w:lang w:eastAsia="en-US"/>
    </w:rPr>
  </w:style>
  <w:style w:type="character" w:customStyle="1" w:styleId="Char6">
    <w:name w:val="批注主题 Char"/>
    <w:link w:val="ac"/>
    <w:uiPriority w:val="99"/>
    <w:locked/>
    <w:rPr>
      <w:rFonts w:cs="Times New Roman"/>
      <w:b/>
      <w:bCs/>
      <w:lang w:val="en-GB" w:eastAsia="en-US"/>
    </w:rPr>
  </w:style>
  <w:style w:type="character" w:customStyle="1" w:styleId="Char7">
    <w:name w:val="文档结构图 Char"/>
    <w:link w:val="ad"/>
    <w:uiPriority w:val="99"/>
    <w:semiHidden/>
    <w:rPr>
      <w:rFonts w:ascii="宋体"/>
      <w:sz w:val="18"/>
      <w:szCs w:val="18"/>
      <w:lang w:eastAsia="en-US"/>
    </w:rPr>
  </w:style>
  <w:style w:type="character" w:customStyle="1" w:styleId="tomailaddress">
    <w:name w:val="tomailaddress"/>
  </w:style>
  <w:style w:type="paragraph" w:styleId="a8">
    <w:name w:val="Body Text"/>
    <w:basedOn w:val="a"/>
    <w:link w:val="Char2"/>
    <w:uiPriority w:val="99"/>
    <w:unhideWhenUsed/>
    <w:locked/>
    <w:pPr>
      <w:spacing w:after="120"/>
    </w:pPr>
    <w:rPr>
      <w:lang w:val="x-none"/>
    </w:rPr>
  </w:style>
  <w:style w:type="paragraph" w:styleId="ad">
    <w:name w:val="Document Map"/>
    <w:basedOn w:val="a"/>
    <w:link w:val="Char7"/>
    <w:uiPriority w:val="99"/>
    <w:unhideWhenUsed/>
    <w:locked/>
    <w:rPr>
      <w:rFonts w:ascii="宋体"/>
      <w:sz w:val="18"/>
      <w:szCs w:val="18"/>
      <w:lang w:val="x-none"/>
    </w:rPr>
  </w:style>
  <w:style w:type="paragraph" w:styleId="30">
    <w:name w:val="Body Text Indent 3"/>
    <w:basedOn w:val="a"/>
    <w:link w:val="3Char0"/>
    <w:uiPriority w:val="99"/>
    <w:qFormat/>
    <w:locked/>
    <w:pPr>
      <w:widowControl w:val="0"/>
      <w:spacing w:line="360" w:lineRule="auto"/>
      <w:ind w:firstLineChars="200" w:firstLine="480"/>
      <w:jc w:val="both"/>
    </w:pPr>
    <w:rPr>
      <w:kern w:val="2"/>
      <w:szCs w:val="20"/>
      <w:lang w:val="x-none" w:eastAsia="x-none"/>
    </w:rPr>
  </w:style>
  <w:style w:type="paragraph" w:styleId="10">
    <w:name w:val="目录 1"/>
    <w:basedOn w:val="a"/>
    <w:next w:val="a"/>
    <w:uiPriority w:val="39"/>
    <w:qFormat/>
    <w:pPr>
      <w:spacing w:before="120" w:after="120"/>
    </w:pPr>
    <w:rPr>
      <w:rFonts w:ascii="Calibri" w:hAnsi="Calibri"/>
      <w:b/>
      <w:bCs/>
      <w:caps/>
      <w:sz w:val="20"/>
      <w:szCs w:val="20"/>
    </w:rPr>
  </w:style>
  <w:style w:type="paragraph" w:styleId="a7">
    <w:name w:val="annotation text"/>
    <w:basedOn w:val="a"/>
    <w:link w:val="Char1"/>
    <w:uiPriority w:val="99"/>
    <w:rPr>
      <w:sz w:val="20"/>
      <w:szCs w:val="20"/>
      <w:lang w:val="en-GB" w:eastAsia="nl-NL"/>
    </w:rPr>
  </w:style>
  <w:style w:type="paragraph" w:styleId="60">
    <w:name w:val="目录 6"/>
    <w:basedOn w:val="a"/>
    <w:next w:val="a"/>
    <w:uiPriority w:val="39"/>
    <w:pPr>
      <w:ind w:left="1200"/>
    </w:pPr>
    <w:rPr>
      <w:rFonts w:ascii="Calibri" w:hAnsi="Calibri"/>
      <w:sz w:val="18"/>
      <w:szCs w:val="18"/>
    </w:rPr>
  </w:style>
  <w:style w:type="paragraph" w:styleId="a9">
    <w:name w:val="footnote text"/>
    <w:basedOn w:val="a"/>
    <w:link w:val="Char3"/>
    <w:uiPriority w:val="99"/>
    <w:unhideWhenUsed/>
    <w:locked/>
    <w:rPr>
      <w:rFonts w:ascii="Calibri" w:hAnsi="Calibri"/>
      <w:sz w:val="20"/>
      <w:szCs w:val="20"/>
      <w:lang w:val="x-none" w:eastAsia="x-none"/>
    </w:rPr>
  </w:style>
  <w:style w:type="paragraph" w:styleId="ab">
    <w:name w:val="header"/>
    <w:basedOn w:val="a"/>
    <w:link w:val="Char5"/>
    <w:uiPriority w:val="99"/>
    <w:pPr>
      <w:tabs>
        <w:tab w:val="center" w:pos="4320"/>
        <w:tab w:val="right" w:pos="8640"/>
      </w:tabs>
    </w:pPr>
    <w:rPr>
      <w:sz w:val="18"/>
      <w:szCs w:val="18"/>
      <w:lang w:val="x-none"/>
    </w:rPr>
  </w:style>
  <w:style w:type="paragraph" w:styleId="aa">
    <w:name w:val="Balloon Text"/>
    <w:basedOn w:val="a"/>
    <w:link w:val="Char4"/>
    <w:uiPriority w:val="99"/>
    <w:unhideWhenUsed/>
    <w:locked/>
    <w:rPr>
      <w:sz w:val="18"/>
      <w:szCs w:val="18"/>
      <w:lang w:val="x-none"/>
    </w:rPr>
  </w:style>
  <w:style w:type="paragraph" w:styleId="a6">
    <w:name w:val="Date"/>
    <w:basedOn w:val="a"/>
    <w:next w:val="a"/>
    <w:link w:val="Char0"/>
    <w:uiPriority w:val="99"/>
    <w:locked/>
    <w:pPr>
      <w:widowControl w:val="0"/>
      <w:jc w:val="both"/>
    </w:pPr>
    <w:rPr>
      <w:kern w:val="2"/>
      <w:szCs w:val="20"/>
      <w:lang w:val="x-none" w:eastAsia="x-none"/>
    </w:rPr>
  </w:style>
  <w:style w:type="paragraph" w:styleId="ac">
    <w:name w:val="annotation subject"/>
    <w:basedOn w:val="a7"/>
    <w:next w:val="a7"/>
    <w:link w:val="Char6"/>
    <w:uiPriority w:val="99"/>
    <w:rPr>
      <w:b/>
      <w:bCs/>
      <w:lang w:eastAsia="en-US"/>
    </w:rPr>
  </w:style>
  <w:style w:type="paragraph" w:styleId="90">
    <w:name w:val="目录 9"/>
    <w:basedOn w:val="a"/>
    <w:next w:val="a"/>
    <w:uiPriority w:val="39"/>
    <w:pPr>
      <w:ind w:left="1920"/>
    </w:pPr>
    <w:rPr>
      <w:rFonts w:ascii="Calibri" w:hAnsi="Calibri"/>
      <w:sz w:val="18"/>
      <w:szCs w:val="18"/>
    </w:rPr>
  </w:style>
  <w:style w:type="paragraph" w:styleId="ae">
    <w:name w:val="caption"/>
    <w:basedOn w:val="a"/>
    <w:next w:val="a"/>
    <w:uiPriority w:val="99"/>
    <w:qFormat/>
    <w:rPr>
      <w:rFonts w:ascii="Cambria" w:eastAsia="黑体" w:hAnsi="Cambria"/>
      <w:sz w:val="20"/>
      <w:szCs w:val="20"/>
    </w:rPr>
  </w:style>
  <w:style w:type="paragraph" w:styleId="80">
    <w:name w:val="目录 8"/>
    <w:basedOn w:val="a"/>
    <w:next w:val="a"/>
    <w:uiPriority w:val="39"/>
    <w:pPr>
      <w:ind w:left="1680"/>
    </w:pPr>
    <w:rPr>
      <w:rFonts w:ascii="Calibri" w:hAnsi="Calibri"/>
      <w:sz w:val="18"/>
      <w:szCs w:val="18"/>
    </w:rPr>
  </w:style>
  <w:style w:type="paragraph" w:styleId="50">
    <w:name w:val="目录 5"/>
    <w:basedOn w:val="a"/>
    <w:next w:val="a"/>
    <w:uiPriority w:val="39"/>
    <w:pPr>
      <w:ind w:left="960"/>
    </w:pPr>
    <w:rPr>
      <w:rFonts w:ascii="Calibri" w:hAnsi="Calibri"/>
      <w:sz w:val="18"/>
      <w:szCs w:val="18"/>
    </w:rPr>
  </w:style>
  <w:style w:type="paragraph" w:styleId="70">
    <w:name w:val="目录 7"/>
    <w:basedOn w:val="a"/>
    <w:next w:val="a"/>
    <w:uiPriority w:val="39"/>
    <w:pPr>
      <w:ind w:left="1440"/>
    </w:pPr>
    <w:rPr>
      <w:rFonts w:ascii="Calibri" w:hAnsi="Calibri"/>
      <w:sz w:val="18"/>
      <w:szCs w:val="18"/>
    </w:rPr>
  </w:style>
  <w:style w:type="paragraph" w:styleId="20">
    <w:name w:val="目录 2"/>
    <w:basedOn w:val="a"/>
    <w:next w:val="a"/>
    <w:uiPriority w:val="39"/>
    <w:qFormat/>
    <w:pPr>
      <w:ind w:left="240"/>
    </w:pPr>
    <w:rPr>
      <w:rFonts w:ascii="Calibri" w:hAnsi="Calibri"/>
      <w:smallCaps/>
      <w:sz w:val="20"/>
      <w:szCs w:val="20"/>
    </w:rPr>
  </w:style>
  <w:style w:type="paragraph" w:styleId="31">
    <w:name w:val="目录 3"/>
    <w:basedOn w:val="a"/>
    <w:next w:val="a"/>
    <w:uiPriority w:val="39"/>
    <w:qFormat/>
    <w:pPr>
      <w:ind w:left="480"/>
    </w:pPr>
    <w:rPr>
      <w:rFonts w:ascii="Calibri" w:hAnsi="Calibri"/>
      <w:i/>
      <w:iCs/>
      <w:sz w:val="20"/>
      <w:szCs w:val="20"/>
    </w:rPr>
  </w:style>
  <w:style w:type="paragraph" w:styleId="40">
    <w:name w:val="目录 4"/>
    <w:basedOn w:val="a"/>
    <w:next w:val="a"/>
    <w:uiPriority w:val="39"/>
    <w:pPr>
      <w:ind w:left="720"/>
    </w:pPr>
    <w:rPr>
      <w:rFonts w:ascii="Calibri" w:hAnsi="Calibri"/>
      <w:sz w:val="18"/>
      <w:szCs w:val="18"/>
    </w:rPr>
  </w:style>
  <w:style w:type="paragraph" w:styleId="a5">
    <w:name w:val="footer"/>
    <w:basedOn w:val="a"/>
    <w:link w:val="Char"/>
    <w:uiPriority w:val="99"/>
    <w:pPr>
      <w:tabs>
        <w:tab w:val="center" w:pos="4320"/>
        <w:tab w:val="right" w:pos="8640"/>
      </w:tabs>
    </w:pPr>
    <w:rPr>
      <w:sz w:val="18"/>
      <w:szCs w:val="18"/>
      <w:lang w:val="x-none"/>
    </w:rPr>
  </w:style>
  <w:style w:type="paragraph" w:styleId="af">
    <w:name w:val="table of figures"/>
    <w:basedOn w:val="a"/>
    <w:next w:val="a"/>
    <w:uiPriority w:val="99"/>
    <w:pPr>
      <w:ind w:left="480" w:hanging="480"/>
    </w:pPr>
    <w:rPr>
      <w:b/>
      <w:bCs/>
      <w:sz w:val="20"/>
      <w:szCs w:val="20"/>
    </w:rPr>
  </w:style>
  <w:style w:type="paragraph" w:customStyle="1" w:styleId="WXFooter">
    <w:name w:val="WX Footer"/>
    <w:next w:val="WXBodyText"/>
    <w:uiPriority w:val="99"/>
    <w:pPr>
      <w:spacing w:before="120"/>
    </w:pPr>
    <w:rPr>
      <w:rFonts w:cs="Arial"/>
      <w:bCs/>
      <w:kern w:val="32"/>
      <w:sz w:val="16"/>
      <w:szCs w:val="16"/>
    </w:rPr>
  </w:style>
  <w:style w:type="paragraph" w:customStyle="1" w:styleId="-11">
    <w:name w:val="彩色列表 - 强调文字颜色 11"/>
    <w:basedOn w:val="a"/>
    <w:uiPriority w:val="34"/>
    <w:qFormat/>
    <w:pPr>
      <w:ind w:firstLineChars="200" w:firstLine="420"/>
    </w:pPr>
  </w:style>
  <w:style w:type="paragraph" w:customStyle="1" w:styleId="WXSubscript">
    <w:name w:val="WX Subscript"/>
    <w:next w:val="WXBodyText"/>
    <w:uiPriority w:val="99"/>
    <w:rPr>
      <w:rFonts w:cs="Arial"/>
      <w:bCs/>
      <w:kern w:val="32"/>
      <w:sz w:val="24"/>
      <w:szCs w:val="24"/>
      <w:vertAlign w:val="subscript"/>
    </w:rPr>
  </w:style>
  <w:style w:type="paragraph" w:customStyle="1" w:styleId="WXBullets">
    <w:name w:val="WX Bullets"/>
    <w:basedOn w:val="WXBodyText"/>
    <w:uiPriority w:val="99"/>
    <w:pPr>
      <w:tabs>
        <w:tab w:val="left" w:pos="1077"/>
      </w:tabs>
      <w:spacing w:before="0" w:after="60"/>
    </w:pPr>
  </w:style>
  <w:style w:type="paragraph" w:customStyle="1" w:styleId="WXBodyText">
    <w:name w:val="WX Body Text"/>
    <w:link w:val="WXBodyTextChar"/>
    <w:uiPriority w:val="99"/>
    <w:qFormat/>
    <w:pPr>
      <w:spacing w:before="120" w:after="120"/>
      <w:ind w:left="720"/>
      <w:jc w:val="both"/>
    </w:pPr>
    <w:rPr>
      <w:rFonts w:cs="Arial"/>
      <w:bCs/>
      <w:kern w:val="32"/>
      <w:sz w:val="24"/>
      <w:szCs w:val="24"/>
    </w:rPr>
  </w:style>
  <w:style w:type="paragraph" w:styleId="TOC">
    <w:name w:val="TOC Heading"/>
    <w:basedOn w:val="1"/>
    <w:next w:val="a"/>
    <w:uiPriority w:val="39"/>
    <w:qFormat/>
    <w:pPr>
      <w:keepLines/>
      <w:tabs>
        <w:tab w:val="clear" w:pos="720"/>
      </w:tabs>
      <w:spacing w:before="480" w:after="0" w:line="276" w:lineRule="auto"/>
      <w:outlineLvl w:val="9"/>
    </w:pPr>
    <w:rPr>
      <w:rFonts w:ascii="Cambria" w:hAnsi="Cambria"/>
      <w:caps/>
      <w:color w:val="365F91"/>
      <w:kern w:val="0"/>
      <w:lang w:eastAsia="zh-CN"/>
    </w:rPr>
  </w:style>
  <w:style w:type="paragraph" w:customStyle="1" w:styleId="Bodytext1">
    <w:name w:val="Body text 1"/>
    <w:basedOn w:val="a"/>
    <w:pPr>
      <w:spacing w:after="120"/>
    </w:pPr>
    <w:rPr>
      <w:szCs w:val="20"/>
    </w:rPr>
  </w:style>
  <w:style w:type="paragraph" w:customStyle="1" w:styleId="WXTableHeader">
    <w:name w:val="WX Table Header"/>
    <w:basedOn w:val="WXTableText"/>
    <w:link w:val="WXTableHeaderChar"/>
    <w:uiPriority w:val="99"/>
    <w:rPr>
      <w:b/>
    </w:rPr>
  </w:style>
  <w:style w:type="paragraph" w:customStyle="1" w:styleId="WXFigureNote">
    <w:name w:val="WX Figure Note"/>
    <w:basedOn w:val="WXTableNote"/>
    <w:next w:val="WXBodyText"/>
    <w:uiPriority w:val="99"/>
  </w:style>
  <w:style w:type="paragraph" w:customStyle="1" w:styleId="WXTOCTitle">
    <w:name w:val="WX TOC Title"/>
    <w:next w:val="WXBodyText"/>
    <w:uiPriority w:val="99"/>
    <w:pPr>
      <w:spacing w:before="60" w:after="60"/>
      <w:jc w:val="center"/>
    </w:pPr>
    <w:rPr>
      <w:rFonts w:ascii="Arial" w:hAnsi="Arial" w:cs="Arial"/>
      <w:b/>
      <w:bCs/>
      <w:caps/>
      <w:kern w:val="32"/>
      <w:sz w:val="28"/>
      <w:szCs w:val="28"/>
      <w:lang w:eastAsia="en-US"/>
    </w:rPr>
  </w:style>
  <w:style w:type="paragraph" w:customStyle="1" w:styleId="WXHeading4">
    <w:name w:val="WX Heading 4"/>
    <w:next w:val="WXBodyText"/>
    <w:uiPriority w:val="99"/>
    <w:pPr>
      <w:keepNext/>
      <w:keepLines/>
      <w:tabs>
        <w:tab w:val="left" w:pos="2160"/>
      </w:tabs>
      <w:spacing w:before="120" w:after="240"/>
      <w:ind w:left="2160" w:hanging="1083"/>
    </w:pPr>
    <w:rPr>
      <w:rFonts w:ascii="Arial" w:hAnsi="Arial" w:cs="Arial"/>
      <w:b/>
      <w:bCs/>
      <w:kern w:val="32"/>
      <w:sz w:val="24"/>
      <w:szCs w:val="24"/>
    </w:rPr>
  </w:style>
  <w:style w:type="paragraph" w:customStyle="1" w:styleId="WXFigureTitle">
    <w:name w:val="WX Figure Title"/>
    <w:basedOn w:val="WXTableTitle"/>
    <w:next w:val="WXBodyText"/>
    <w:uiPriority w:val="99"/>
  </w:style>
  <w:style w:type="paragraph" w:customStyle="1" w:styleId="StyleWXBodyTextLeft254cm">
    <w:name w:val="Style WX Body Text + Left:  2.54 cm"/>
    <w:basedOn w:val="WXBodyText"/>
    <w:uiPriority w:val="99"/>
    <w:pPr>
      <w:ind w:left="1531"/>
    </w:pPr>
    <w:rPr>
      <w:rFonts w:cs="Times New Roman"/>
      <w:bCs w:val="0"/>
      <w:szCs w:val="20"/>
    </w:rPr>
  </w:style>
  <w:style w:type="paragraph" w:customStyle="1" w:styleId="WXTableNote">
    <w:name w:val="WX Table Note"/>
    <w:next w:val="WXBodyText"/>
    <w:link w:val="WXTableNoteChar"/>
    <w:uiPriority w:val="99"/>
    <w:pPr>
      <w:spacing w:before="60" w:after="60"/>
    </w:pPr>
    <w:rPr>
      <w:rFonts w:ascii="Arial" w:hAnsi="Arial" w:cs="Arial"/>
      <w:bCs/>
      <w:kern w:val="32"/>
      <w:sz w:val="18"/>
      <w:szCs w:val="28"/>
    </w:rPr>
  </w:style>
  <w:style w:type="paragraph" w:styleId="-1">
    <w:name w:val="彩色列表 - 强调文字颜色 1"/>
    <w:basedOn w:val="a"/>
    <w:uiPriority w:val="34"/>
    <w:qFormat/>
    <w:pPr>
      <w:ind w:firstLineChars="200" w:firstLine="420"/>
    </w:pPr>
  </w:style>
  <w:style w:type="paragraph" w:customStyle="1" w:styleId="WXHeading1">
    <w:name w:val="WX Heading 1"/>
    <w:next w:val="WXBodyText"/>
    <w:link w:val="WXHeading1Char"/>
    <w:uiPriority w:val="99"/>
    <w:pPr>
      <w:keepNext/>
      <w:keepLines/>
      <w:tabs>
        <w:tab w:val="left" w:pos="720"/>
      </w:tabs>
      <w:snapToGrid w:val="0"/>
      <w:spacing w:before="120" w:after="240"/>
      <w:ind w:left="720" w:hanging="720"/>
      <w:outlineLvl w:val="0"/>
    </w:pPr>
    <w:rPr>
      <w:rFonts w:ascii="Arial" w:hAnsi="Arial"/>
      <w:b/>
      <w:bCs/>
      <w:caps/>
      <w:kern w:val="32"/>
      <w:sz w:val="28"/>
      <w:szCs w:val="28"/>
      <w:lang w:eastAsia="en-US"/>
    </w:rPr>
  </w:style>
  <w:style w:type="paragraph" w:customStyle="1" w:styleId="WXHeading3">
    <w:name w:val="WX Heading 3"/>
    <w:next w:val="WXBodyText"/>
    <w:uiPriority w:val="99"/>
    <w:pPr>
      <w:keepNext/>
      <w:keepLines/>
      <w:tabs>
        <w:tab w:val="left" w:pos="1531"/>
      </w:tabs>
      <w:spacing w:before="120" w:after="240"/>
      <w:ind w:left="1531" w:hanging="811"/>
      <w:outlineLvl w:val="2"/>
    </w:pPr>
    <w:rPr>
      <w:rFonts w:ascii="Arial" w:hAnsi="Arial" w:cs="Arial"/>
      <w:b/>
      <w:bCs/>
      <w:kern w:val="32"/>
      <w:sz w:val="24"/>
      <w:szCs w:val="24"/>
    </w:rPr>
  </w:style>
  <w:style w:type="paragraph" w:customStyle="1" w:styleId="WXTableTitle">
    <w:name w:val="WX Table Title"/>
    <w:next w:val="WXBodyText"/>
    <w:link w:val="WXTableTitleChar"/>
    <w:uiPriority w:val="99"/>
    <w:pPr>
      <w:keepNext/>
      <w:keepLines/>
      <w:tabs>
        <w:tab w:val="left" w:pos="1151"/>
      </w:tabs>
      <w:spacing w:before="120" w:after="120"/>
      <w:ind w:left="2160" w:hanging="2160"/>
      <w:jc w:val="center"/>
    </w:pPr>
    <w:rPr>
      <w:rFonts w:ascii="Arial" w:hAnsi="Arial" w:cs="Arial"/>
      <w:b/>
      <w:bCs/>
      <w:kern w:val="32"/>
      <w:sz w:val="26"/>
      <w:szCs w:val="26"/>
    </w:rPr>
  </w:style>
  <w:style w:type="paragraph" w:customStyle="1" w:styleId="WXTableDataCompact">
    <w:name w:val="WX Table Data Compact"/>
    <w:basedOn w:val="WXTableData"/>
    <w:next w:val="WXBodyText"/>
    <w:uiPriority w:val="99"/>
    <w:rPr>
      <w:bCs w:val="0"/>
      <w:spacing w:val="-22"/>
    </w:rPr>
  </w:style>
  <w:style w:type="paragraph" w:customStyle="1" w:styleId="WXHeading2">
    <w:name w:val="WX Heading 2"/>
    <w:next w:val="WXBodyText"/>
    <w:link w:val="WXHeading2Char"/>
    <w:uiPriority w:val="99"/>
    <w:pPr>
      <w:keepNext/>
      <w:keepLines/>
      <w:tabs>
        <w:tab w:val="left" w:pos="1083"/>
      </w:tabs>
      <w:spacing w:before="120" w:after="240"/>
      <w:ind w:left="1083" w:hanging="726"/>
      <w:outlineLvl w:val="1"/>
    </w:pPr>
    <w:rPr>
      <w:rFonts w:ascii="Arial" w:hAnsi="Arial"/>
      <w:b/>
      <w:kern w:val="32"/>
      <w:sz w:val="28"/>
      <w:szCs w:val="28"/>
    </w:rPr>
  </w:style>
  <w:style w:type="paragraph" w:customStyle="1" w:styleId="WXTableData">
    <w:name w:val="WX Table Data"/>
    <w:next w:val="WXBodyText"/>
    <w:uiPriority w:val="99"/>
    <w:pPr>
      <w:keepNext/>
      <w:keepLines/>
      <w:tabs>
        <w:tab w:val="left" w:pos="357"/>
      </w:tabs>
      <w:spacing w:before="60" w:after="60"/>
      <w:jc w:val="center"/>
    </w:pPr>
    <w:rPr>
      <w:rFonts w:ascii="Arial" w:hAnsi="Arial" w:cs="Arial"/>
      <w:bCs/>
      <w:kern w:val="32"/>
    </w:rPr>
  </w:style>
  <w:style w:type="paragraph" w:customStyle="1" w:styleId="WXBodyTextTitle">
    <w:name w:val="WX Body Text Title"/>
    <w:next w:val="WXBodyText"/>
    <w:uiPriority w:val="99"/>
    <w:pPr>
      <w:spacing w:before="120" w:after="120"/>
      <w:ind w:left="720" w:hanging="720"/>
      <w:jc w:val="center"/>
      <w:outlineLvl w:val="0"/>
    </w:pPr>
    <w:rPr>
      <w:rFonts w:ascii="Arial" w:hAnsi="Arial" w:cs="Arial"/>
      <w:b/>
      <w:bCs/>
      <w:caps/>
      <w:kern w:val="32"/>
      <w:sz w:val="28"/>
      <w:szCs w:val="28"/>
      <w:lang w:eastAsia="en-US"/>
    </w:rPr>
  </w:style>
  <w:style w:type="paragraph" w:customStyle="1" w:styleId="WXbodytexttitlenotoc">
    <w:name w:val="WX body text title no toc"/>
    <w:basedOn w:val="WXBodyTextTitle"/>
    <w:next w:val="WXBodyText"/>
    <w:uiPriority w:val="99"/>
  </w:style>
  <w:style w:type="paragraph" w:customStyle="1" w:styleId="WXHeadingAppendix">
    <w:name w:val="WX Heading Appendix"/>
    <w:next w:val="WXBodyText"/>
    <w:link w:val="WXHeadingAppendixChar"/>
    <w:uiPriority w:val="99"/>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Header">
    <w:name w:val="WX Header"/>
    <w:next w:val="WXBodyText"/>
    <w:uiPriority w:val="99"/>
    <w:pPr>
      <w:spacing w:after="120"/>
    </w:pPr>
    <w:rPr>
      <w:rFonts w:cs="Arial"/>
      <w:bCs/>
      <w:kern w:val="32"/>
      <w:sz w:val="16"/>
      <w:szCs w:val="16"/>
    </w:rPr>
  </w:style>
  <w:style w:type="paragraph" w:customStyle="1" w:styleId="WXTableText">
    <w:name w:val="WX Table Text"/>
    <w:link w:val="WXTableTextChar"/>
    <w:uiPriority w:val="99"/>
    <w:pPr>
      <w:tabs>
        <w:tab w:val="left" w:pos="357"/>
      </w:tabs>
      <w:spacing w:before="60" w:after="60"/>
    </w:pPr>
    <w:rPr>
      <w:rFonts w:ascii="Arial" w:hAnsi="Arial" w:cs="Arial"/>
      <w:bCs/>
      <w:kern w:val="32"/>
    </w:rPr>
  </w:style>
  <w:style w:type="paragraph" w:customStyle="1" w:styleId="WXSuperscript">
    <w:name w:val="WX Superscript"/>
    <w:next w:val="WXBodyText"/>
    <w:link w:val="WXSuperscriptChar"/>
    <w:uiPriority w:val="99"/>
    <w:rPr>
      <w:rFonts w:cs="Arial"/>
      <w:bCs/>
      <w:kern w:val="32"/>
      <w:sz w:val="24"/>
      <w:szCs w:val="24"/>
      <w:vertAlign w:val="superscript"/>
    </w:rPr>
  </w:style>
  <w:style w:type="paragraph" w:customStyle="1" w:styleId="Default">
    <w:name w:val="Default"/>
    <w:pPr>
      <w:widowControl w:val="0"/>
      <w:autoSpaceDE w:val="0"/>
      <w:autoSpaceDN w:val="0"/>
      <w:adjustRightInd w:val="0"/>
    </w:pPr>
    <w:rPr>
      <w:color w:val="000000"/>
      <w:sz w:val="24"/>
      <w:szCs w:val="24"/>
    </w:rPr>
  </w:style>
  <w:style w:type="table" w:customStyle="1" w:styleId="21">
    <w:name w:val="网格型2"/>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Table Grid"/>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951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xiayuye@cti-ce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BF6D9A-93AD-48BA-931A-EAF206C8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3655</Words>
  <Characters>20837</Characters>
  <Application>Microsoft Office Word</Application>
  <DocSecurity>0</DocSecurity>
  <Lines>173</Lines>
  <Paragraphs>48</Paragraphs>
  <ScaleCrop>false</ScaleCrop>
  <Company>HCSW</Company>
  <LinksUpToDate>false</LinksUpToDate>
  <CharactersWithSpaces>24444</CharactersWithSpaces>
  <SharedDoc>false</SharedDoc>
  <HLinks>
    <vt:vector size="450" baseType="variant">
      <vt:variant>
        <vt:i4>3211336</vt:i4>
      </vt:variant>
      <vt:variant>
        <vt:i4>447</vt:i4>
      </vt:variant>
      <vt:variant>
        <vt:i4>0</vt:i4>
      </vt:variant>
      <vt:variant>
        <vt:i4>5</vt:i4>
      </vt:variant>
      <vt:variant>
        <vt:lpwstr>mailto:xiayuye@cti-cert.com</vt:lpwstr>
      </vt:variant>
      <vt:variant>
        <vt:lpwstr/>
      </vt:variant>
      <vt:variant>
        <vt:i4>1572912</vt:i4>
      </vt:variant>
      <vt:variant>
        <vt:i4>440</vt:i4>
      </vt:variant>
      <vt:variant>
        <vt:i4>0</vt:i4>
      </vt:variant>
      <vt:variant>
        <vt:i4>5</vt:i4>
      </vt:variant>
      <vt:variant>
        <vt:lpwstr/>
      </vt:variant>
      <vt:variant>
        <vt:lpwstr>_Toc535769623</vt:lpwstr>
      </vt:variant>
      <vt:variant>
        <vt:i4>1572912</vt:i4>
      </vt:variant>
      <vt:variant>
        <vt:i4>434</vt:i4>
      </vt:variant>
      <vt:variant>
        <vt:i4>0</vt:i4>
      </vt:variant>
      <vt:variant>
        <vt:i4>5</vt:i4>
      </vt:variant>
      <vt:variant>
        <vt:lpwstr/>
      </vt:variant>
      <vt:variant>
        <vt:lpwstr>_Toc535769621</vt:lpwstr>
      </vt:variant>
      <vt:variant>
        <vt:i4>1572912</vt:i4>
      </vt:variant>
      <vt:variant>
        <vt:i4>428</vt:i4>
      </vt:variant>
      <vt:variant>
        <vt:i4>0</vt:i4>
      </vt:variant>
      <vt:variant>
        <vt:i4>5</vt:i4>
      </vt:variant>
      <vt:variant>
        <vt:lpwstr/>
      </vt:variant>
      <vt:variant>
        <vt:lpwstr>_Toc535769620</vt:lpwstr>
      </vt:variant>
      <vt:variant>
        <vt:i4>1769520</vt:i4>
      </vt:variant>
      <vt:variant>
        <vt:i4>422</vt:i4>
      </vt:variant>
      <vt:variant>
        <vt:i4>0</vt:i4>
      </vt:variant>
      <vt:variant>
        <vt:i4>5</vt:i4>
      </vt:variant>
      <vt:variant>
        <vt:lpwstr/>
      </vt:variant>
      <vt:variant>
        <vt:lpwstr>_Toc535769619</vt:lpwstr>
      </vt:variant>
      <vt:variant>
        <vt:i4>1769520</vt:i4>
      </vt:variant>
      <vt:variant>
        <vt:i4>416</vt:i4>
      </vt:variant>
      <vt:variant>
        <vt:i4>0</vt:i4>
      </vt:variant>
      <vt:variant>
        <vt:i4>5</vt:i4>
      </vt:variant>
      <vt:variant>
        <vt:lpwstr/>
      </vt:variant>
      <vt:variant>
        <vt:lpwstr>_Toc535769618</vt:lpwstr>
      </vt:variant>
      <vt:variant>
        <vt:i4>1769520</vt:i4>
      </vt:variant>
      <vt:variant>
        <vt:i4>410</vt:i4>
      </vt:variant>
      <vt:variant>
        <vt:i4>0</vt:i4>
      </vt:variant>
      <vt:variant>
        <vt:i4>5</vt:i4>
      </vt:variant>
      <vt:variant>
        <vt:lpwstr/>
      </vt:variant>
      <vt:variant>
        <vt:lpwstr>_Toc535769617</vt:lpwstr>
      </vt:variant>
      <vt:variant>
        <vt:i4>1769520</vt:i4>
      </vt:variant>
      <vt:variant>
        <vt:i4>404</vt:i4>
      </vt:variant>
      <vt:variant>
        <vt:i4>0</vt:i4>
      </vt:variant>
      <vt:variant>
        <vt:i4>5</vt:i4>
      </vt:variant>
      <vt:variant>
        <vt:lpwstr/>
      </vt:variant>
      <vt:variant>
        <vt:lpwstr>_Toc535769616</vt:lpwstr>
      </vt:variant>
      <vt:variant>
        <vt:i4>1769520</vt:i4>
      </vt:variant>
      <vt:variant>
        <vt:i4>398</vt:i4>
      </vt:variant>
      <vt:variant>
        <vt:i4>0</vt:i4>
      </vt:variant>
      <vt:variant>
        <vt:i4>5</vt:i4>
      </vt:variant>
      <vt:variant>
        <vt:lpwstr/>
      </vt:variant>
      <vt:variant>
        <vt:lpwstr>_Toc535769615</vt:lpwstr>
      </vt:variant>
      <vt:variant>
        <vt:i4>1769520</vt:i4>
      </vt:variant>
      <vt:variant>
        <vt:i4>392</vt:i4>
      </vt:variant>
      <vt:variant>
        <vt:i4>0</vt:i4>
      </vt:variant>
      <vt:variant>
        <vt:i4>5</vt:i4>
      </vt:variant>
      <vt:variant>
        <vt:lpwstr/>
      </vt:variant>
      <vt:variant>
        <vt:lpwstr>_Toc535769614</vt:lpwstr>
      </vt:variant>
      <vt:variant>
        <vt:i4>1769520</vt:i4>
      </vt:variant>
      <vt:variant>
        <vt:i4>386</vt:i4>
      </vt:variant>
      <vt:variant>
        <vt:i4>0</vt:i4>
      </vt:variant>
      <vt:variant>
        <vt:i4>5</vt:i4>
      </vt:variant>
      <vt:variant>
        <vt:lpwstr/>
      </vt:variant>
      <vt:variant>
        <vt:lpwstr>_Toc535769613</vt:lpwstr>
      </vt:variant>
      <vt:variant>
        <vt:i4>1769520</vt:i4>
      </vt:variant>
      <vt:variant>
        <vt:i4>380</vt:i4>
      </vt:variant>
      <vt:variant>
        <vt:i4>0</vt:i4>
      </vt:variant>
      <vt:variant>
        <vt:i4>5</vt:i4>
      </vt:variant>
      <vt:variant>
        <vt:lpwstr/>
      </vt:variant>
      <vt:variant>
        <vt:lpwstr>_Toc535769612</vt:lpwstr>
      </vt:variant>
      <vt:variant>
        <vt:i4>1769520</vt:i4>
      </vt:variant>
      <vt:variant>
        <vt:i4>374</vt:i4>
      </vt:variant>
      <vt:variant>
        <vt:i4>0</vt:i4>
      </vt:variant>
      <vt:variant>
        <vt:i4>5</vt:i4>
      </vt:variant>
      <vt:variant>
        <vt:lpwstr/>
      </vt:variant>
      <vt:variant>
        <vt:lpwstr>_Toc535769611</vt:lpwstr>
      </vt:variant>
      <vt:variant>
        <vt:i4>1769520</vt:i4>
      </vt:variant>
      <vt:variant>
        <vt:i4>368</vt:i4>
      </vt:variant>
      <vt:variant>
        <vt:i4>0</vt:i4>
      </vt:variant>
      <vt:variant>
        <vt:i4>5</vt:i4>
      </vt:variant>
      <vt:variant>
        <vt:lpwstr/>
      </vt:variant>
      <vt:variant>
        <vt:lpwstr>_Toc535769610</vt:lpwstr>
      </vt:variant>
      <vt:variant>
        <vt:i4>1703984</vt:i4>
      </vt:variant>
      <vt:variant>
        <vt:i4>362</vt:i4>
      </vt:variant>
      <vt:variant>
        <vt:i4>0</vt:i4>
      </vt:variant>
      <vt:variant>
        <vt:i4>5</vt:i4>
      </vt:variant>
      <vt:variant>
        <vt:lpwstr/>
      </vt:variant>
      <vt:variant>
        <vt:lpwstr>_Toc535769609</vt:lpwstr>
      </vt:variant>
      <vt:variant>
        <vt:i4>1703984</vt:i4>
      </vt:variant>
      <vt:variant>
        <vt:i4>356</vt:i4>
      </vt:variant>
      <vt:variant>
        <vt:i4>0</vt:i4>
      </vt:variant>
      <vt:variant>
        <vt:i4>5</vt:i4>
      </vt:variant>
      <vt:variant>
        <vt:lpwstr/>
      </vt:variant>
      <vt:variant>
        <vt:lpwstr>_Toc535769608</vt:lpwstr>
      </vt:variant>
      <vt:variant>
        <vt:i4>1703984</vt:i4>
      </vt:variant>
      <vt:variant>
        <vt:i4>350</vt:i4>
      </vt:variant>
      <vt:variant>
        <vt:i4>0</vt:i4>
      </vt:variant>
      <vt:variant>
        <vt:i4>5</vt:i4>
      </vt:variant>
      <vt:variant>
        <vt:lpwstr/>
      </vt:variant>
      <vt:variant>
        <vt:lpwstr>_Toc535769607</vt:lpwstr>
      </vt:variant>
      <vt:variant>
        <vt:i4>1703984</vt:i4>
      </vt:variant>
      <vt:variant>
        <vt:i4>344</vt:i4>
      </vt:variant>
      <vt:variant>
        <vt:i4>0</vt:i4>
      </vt:variant>
      <vt:variant>
        <vt:i4>5</vt:i4>
      </vt:variant>
      <vt:variant>
        <vt:lpwstr/>
      </vt:variant>
      <vt:variant>
        <vt:lpwstr>_Toc535769606</vt:lpwstr>
      </vt:variant>
      <vt:variant>
        <vt:i4>1703984</vt:i4>
      </vt:variant>
      <vt:variant>
        <vt:i4>338</vt:i4>
      </vt:variant>
      <vt:variant>
        <vt:i4>0</vt:i4>
      </vt:variant>
      <vt:variant>
        <vt:i4>5</vt:i4>
      </vt:variant>
      <vt:variant>
        <vt:lpwstr/>
      </vt:variant>
      <vt:variant>
        <vt:lpwstr>_Toc535769605</vt:lpwstr>
      </vt:variant>
      <vt:variant>
        <vt:i4>1703984</vt:i4>
      </vt:variant>
      <vt:variant>
        <vt:i4>332</vt:i4>
      </vt:variant>
      <vt:variant>
        <vt:i4>0</vt:i4>
      </vt:variant>
      <vt:variant>
        <vt:i4>5</vt:i4>
      </vt:variant>
      <vt:variant>
        <vt:lpwstr/>
      </vt:variant>
      <vt:variant>
        <vt:lpwstr>_Toc535769604</vt:lpwstr>
      </vt:variant>
      <vt:variant>
        <vt:i4>1703984</vt:i4>
      </vt:variant>
      <vt:variant>
        <vt:i4>326</vt:i4>
      </vt:variant>
      <vt:variant>
        <vt:i4>0</vt:i4>
      </vt:variant>
      <vt:variant>
        <vt:i4>5</vt:i4>
      </vt:variant>
      <vt:variant>
        <vt:lpwstr/>
      </vt:variant>
      <vt:variant>
        <vt:lpwstr>_Toc535769603</vt:lpwstr>
      </vt:variant>
      <vt:variant>
        <vt:i4>1703984</vt:i4>
      </vt:variant>
      <vt:variant>
        <vt:i4>320</vt:i4>
      </vt:variant>
      <vt:variant>
        <vt:i4>0</vt:i4>
      </vt:variant>
      <vt:variant>
        <vt:i4>5</vt:i4>
      </vt:variant>
      <vt:variant>
        <vt:lpwstr/>
      </vt:variant>
      <vt:variant>
        <vt:lpwstr>_Toc535769602</vt:lpwstr>
      </vt:variant>
      <vt:variant>
        <vt:i4>1703984</vt:i4>
      </vt:variant>
      <vt:variant>
        <vt:i4>314</vt:i4>
      </vt:variant>
      <vt:variant>
        <vt:i4>0</vt:i4>
      </vt:variant>
      <vt:variant>
        <vt:i4>5</vt:i4>
      </vt:variant>
      <vt:variant>
        <vt:lpwstr/>
      </vt:variant>
      <vt:variant>
        <vt:lpwstr>_Toc535769601</vt:lpwstr>
      </vt:variant>
      <vt:variant>
        <vt:i4>1703984</vt:i4>
      </vt:variant>
      <vt:variant>
        <vt:i4>308</vt:i4>
      </vt:variant>
      <vt:variant>
        <vt:i4>0</vt:i4>
      </vt:variant>
      <vt:variant>
        <vt:i4>5</vt:i4>
      </vt:variant>
      <vt:variant>
        <vt:lpwstr/>
      </vt:variant>
      <vt:variant>
        <vt:lpwstr>_Toc535769600</vt:lpwstr>
      </vt:variant>
      <vt:variant>
        <vt:i4>1245235</vt:i4>
      </vt:variant>
      <vt:variant>
        <vt:i4>302</vt:i4>
      </vt:variant>
      <vt:variant>
        <vt:i4>0</vt:i4>
      </vt:variant>
      <vt:variant>
        <vt:i4>5</vt:i4>
      </vt:variant>
      <vt:variant>
        <vt:lpwstr/>
      </vt:variant>
      <vt:variant>
        <vt:lpwstr>_Toc535769599</vt:lpwstr>
      </vt:variant>
      <vt:variant>
        <vt:i4>1245235</vt:i4>
      </vt:variant>
      <vt:variant>
        <vt:i4>296</vt:i4>
      </vt:variant>
      <vt:variant>
        <vt:i4>0</vt:i4>
      </vt:variant>
      <vt:variant>
        <vt:i4>5</vt:i4>
      </vt:variant>
      <vt:variant>
        <vt:lpwstr/>
      </vt:variant>
      <vt:variant>
        <vt:lpwstr>_Toc535769598</vt:lpwstr>
      </vt:variant>
      <vt:variant>
        <vt:i4>1245235</vt:i4>
      </vt:variant>
      <vt:variant>
        <vt:i4>290</vt:i4>
      </vt:variant>
      <vt:variant>
        <vt:i4>0</vt:i4>
      </vt:variant>
      <vt:variant>
        <vt:i4>5</vt:i4>
      </vt:variant>
      <vt:variant>
        <vt:lpwstr/>
      </vt:variant>
      <vt:variant>
        <vt:lpwstr>_Toc535769597</vt:lpwstr>
      </vt:variant>
      <vt:variant>
        <vt:i4>1245235</vt:i4>
      </vt:variant>
      <vt:variant>
        <vt:i4>284</vt:i4>
      </vt:variant>
      <vt:variant>
        <vt:i4>0</vt:i4>
      </vt:variant>
      <vt:variant>
        <vt:i4>5</vt:i4>
      </vt:variant>
      <vt:variant>
        <vt:lpwstr/>
      </vt:variant>
      <vt:variant>
        <vt:lpwstr>_Toc535769596</vt:lpwstr>
      </vt:variant>
      <vt:variant>
        <vt:i4>1245235</vt:i4>
      </vt:variant>
      <vt:variant>
        <vt:i4>278</vt:i4>
      </vt:variant>
      <vt:variant>
        <vt:i4>0</vt:i4>
      </vt:variant>
      <vt:variant>
        <vt:i4>5</vt:i4>
      </vt:variant>
      <vt:variant>
        <vt:lpwstr/>
      </vt:variant>
      <vt:variant>
        <vt:lpwstr>_Toc535769595</vt:lpwstr>
      </vt:variant>
      <vt:variant>
        <vt:i4>1245235</vt:i4>
      </vt:variant>
      <vt:variant>
        <vt:i4>272</vt:i4>
      </vt:variant>
      <vt:variant>
        <vt:i4>0</vt:i4>
      </vt:variant>
      <vt:variant>
        <vt:i4>5</vt:i4>
      </vt:variant>
      <vt:variant>
        <vt:lpwstr/>
      </vt:variant>
      <vt:variant>
        <vt:lpwstr>_Toc535769594</vt:lpwstr>
      </vt:variant>
      <vt:variant>
        <vt:i4>1245235</vt:i4>
      </vt:variant>
      <vt:variant>
        <vt:i4>266</vt:i4>
      </vt:variant>
      <vt:variant>
        <vt:i4>0</vt:i4>
      </vt:variant>
      <vt:variant>
        <vt:i4>5</vt:i4>
      </vt:variant>
      <vt:variant>
        <vt:lpwstr/>
      </vt:variant>
      <vt:variant>
        <vt:lpwstr>_Toc535769593</vt:lpwstr>
      </vt:variant>
      <vt:variant>
        <vt:i4>1245235</vt:i4>
      </vt:variant>
      <vt:variant>
        <vt:i4>260</vt:i4>
      </vt:variant>
      <vt:variant>
        <vt:i4>0</vt:i4>
      </vt:variant>
      <vt:variant>
        <vt:i4>5</vt:i4>
      </vt:variant>
      <vt:variant>
        <vt:lpwstr/>
      </vt:variant>
      <vt:variant>
        <vt:lpwstr>_Toc535769592</vt:lpwstr>
      </vt:variant>
      <vt:variant>
        <vt:i4>1245235</vt:i4>
      </vt:variant>
      <vt:variant>
        <vt:i4>254</vt:i4>
      </vt:variant>
      <vt:variant>
        <vt:i4>0</vt:i4>
      </vt:variant>
      <vt:variant>
        <vt:i4>5</vt:i4>
      </vt:variant>
      <vt:variant>
        <vt:lpwstr/>
      </vt:variant>
      <vt:variant>
        <vt:lpwstr>_Toc535769591</vt:lpwstr>
      </vt:variant>
      <vt:variant>
        <vt:i4>1245235</vt:i4>
      </vt:variant>
      <vt:variant>
        <vt:i4>248</vt:i4>
      </vt:variant>
      <vt:variant>
        <vt:i4>0</vt:i4>
      </vt:variant>
      <vt:variant>
        <vt:i4>5</vt:i4>
      </vt:variant>
      <vt:variant>
        <vt:lpwstr/>
      </vt:variant>
      <vt:variant>
        <vt:lpwstr>_Toc535769590</vt:lpwstr>
      </vt:variant>
      <vt:variant>
        <vt:i4>1179699</vt:i4>
      </vt:variant>
      <vt:variant>
        <vt:i4>242</vt:i4>
      </vt:variant>
      <vt:variant>
        <vt:i4>0</vt:i4>
      </vt:variant>
      <vt:variant>
        <vt:i4>5</vt:i4>
      </vt:variant>
      <vt:variant>
        <vt:lpwstr/>
      </vt:variant>
      <vt:variant>
        <vt:lpwstr>_Toc535769589</vt:lpwstr>
      </vt:variant>
      <vt:variant>
        <vt:i4>1179699</vt:i4>
      </vt:variant>
      <vt:variant>
        <vt:i4>236</vt:i4>
      </vt:variant>
      <vt:variant>
        <vt:i4>0</vt:i4>
      </vt:variant>
      <vt:variant>
        <vt:i4>5</vt:i4>
      </vt:variant>
      <vt:variant>
        <vt:lpwstr/>
      </vt:variant>
      <vt:variant>
        <vt:lpwstr>_Toc535769588</vt:lpwstr>
      </vt:variant>
      <vt:variant>
        <vt:i4>1179699</vt:i4>
      </vt:variant>
      <vt:variant>
        <vt:i4>230</vt:i4>
      </vt:variant>
      <vt:variant>
        <vt:i4>0</vt:i4>
      </vt:variant>
      <vt:variant>
        <vt:i4>5</vt:i4>
      </vt:variant>
      <vt:variant>
        <vt:lpwstr/>
      </vt:variant>
      <vt:variant>
        <vt:lpwstr>_Toc535769587</vt:lpwstr>
      </vt:variant>
      <vt:variant>
        <vt:i4>1179699</vt:i4>
      </vt:variant>
      <vt:variant>
        <vt:i4>224</vt:i4>
      </vt:variant>
      <vt:variant>
        <vt:i4>0</vt:i4>
      </vt:variant>
      <vt:variant>
        <vt:i4>5</vt:i4>
      </vt:variant>
      <vt:variant>
        <vt:lpwstr/>
      </vt:variant>
      <vt:variant>
        <vt:lpwstr>_Toc535769586</vt:lpwstr>
      </vt:variant>
      <vt:variant>
        <vt:i4>1179699</vt:i4>
      </vt:variant>
      <vt:variant>
        <vt:i4>218</vt:i4>
      </vt:variant>
      <vt:variant>
        <vt:i4>0</vt:i4>
      </vt:variant>
      <vt:variant>
        <vt:i4>5</vt:i4>
      </vt:variant>
      <vt:variant>
        <vt:lpwstr/>
      </vt:variant>
      <vt:variant>
        <vt:lpwstr>_Toc535769585</vt:lpwstr>
      </vt:variant>
      <vt:variant>
        <vt:i4>1179699</vt:i4>
      </vt:variant>
      <vt:variant>
        <vt:i4>212</vt:i4>
      </vt:variant>
      <vt:variant>
        <vt:i4>0</vt:i4>
      </vt:variant>
      <vt:variant>
        <vt:i4>5</vt:i4>
      </vt:variant>
      <vt:variant>
        <vt:lpwstr/>
      </vt:variant>
      <vt:variant>
        <vt:lpwstr>_Toc535769584</vt:lpwstr>
      </vt:variant>
      <vt:variant>
        <vt:i4>1179699</vt:i4>
      </vt:variant>
      <vt:variant>
        <vt:i4>206</vt:i4>
      </vt:variant>
      <vt:variant>
        <vt:i4>0</vt:i4>
      </vt:variant>
      <vt:variant>
        <vt:i4>5</vt:i4>
      </vt:variant>
      <vt:variant>
        <vt:lpwstr/>
      </vt:variant>
      <vt:variant>
        <vt:lpwstr>_Toc535769583</vt:lpwstr>
      </vt:variant>
      <vt:variant>
        <vt:i4>1179699</vt:i4>
      </vt:variant>
      <vt:variant>
        <vt:i4>200</vt:i4>
      </vt:variant>
      <vt:variant>
        <vt:i4>0</vt:i4>
      </vt:variant>
      <vt:variant>
        <vt:i4>5</vt:i4>
      </vt:variant>
      <vt:variant>
        <vt:lpwstr/>
      </vt:variant>
      <vt:variant>
        <vt:lpwstr>_Toc535769582</vt:lpwstr>
      </vt:variant>
      <vt:variant>
        <vt:i4>1179699</vt:i4>
      </vt:variant>
      <vt:variant>
        <vt:i4>194</vt:i4>
      </vt:variant>
      <vt:variant>
        <vt:i4>0</vt:i4>
      </vt:variant>
      <vt:variant>
        <vt:i4>5</vt:i4>
      </vt:variant>
      <vt:variant>
        <vt:lpwstr/>
      </vt:variant>
      <vt:variant>
        <vt:lpwstr>_Toc535769581</vt:lpwstr>
      </vt:variant>
      <vt:variant>
        <vt:i4>1179699</vt:i4>
      </vt:variant>
      <vt:variant>
        <vt:i4>188</vt:i4>
      </vt:variant>
      <vt:variant>
        <vt:i4>0</vt:i4>
      </vt:variant>
      <vt:variant>
        <vt:i4>5</vt:i4>
      </vt:variant>
      <vt:variant>
        <vt:lpwstr/>
      </vt:variant>
      <vt:variant>
        <vt:lpwstr>_Toc535769580</vt:lpwstr>
      </vt:variant>
      <vt:variant>
        <vt:i4>1900595</vt:i4>
      </vt:variant>
      <vt:variant>
        <vt:i4>182</vt:i4>
      </vt:variant>
      <vt:variant>
        <vt:i4>0</vt:i4>
      </vt:variant>
      <vt:variant>
        <vt:i4>5</vt:i4>
      </vt:variant>
      <vt:variant>
        <vt:lpwstr/>
      </vt:variant>
      <vt:variant>
        <vt:lpwstr>_Toc535769579</vt:lpwstr>
      </vt:variant>
      <vt:variant>
        <vt:i4>1900595</vt:i4>
      </vt:variant>
      <vt:variant>
        <vt:i4>176</vt:i4>
      </vt:variant>
      <vt:variant>
        <vt:i4>0</vt:i4>
      </vt:variant>
      <vt:variant>
        <vt:i4>5</vt:i4>
      </vt:variant>
      <vt:variant>
        <vt:lpwstr/>
      </vt:variant>
      <vt:variant>
        <vt:lpwstr>_Toc535769578</vt:lpwstr>
      </vt:variant>
      <vt:variant>
        <vt:i4>1900595</vt:i4>
      </vt:variant>
      <vt:variant>
        <vt:i4>170</vt:i4>
      </vt:variant>
      <vt:variant>
        <vt:i4>0</vt:i4>
      </vt:variant>
      <vt:variant>
        <vt:i4>5</vt:i4>
      </vt:variant>
      <vt:variant>
        <vt:lpwstr/>
      </vt:variant>
      <vt:variant>
        <vt:lpwstr>_Toc535769577</vt:lpwstr>
      </vt:variant>
      <vt:variant>
        <vt:i4>1900595</vt:i4>
      </vt:variant>
      <vt:variant>
        <vt:i4>164</vt:i4>
      </vt:variant>
      <vt:variant>
        <vt:i4>0</vt:i4>
      </vt:variant>
      <vt:variant>
        <vt:i4>5</vt:i4>
      </vt:variant>
      <vt:variant>
        <vt:lpwstr/>
      </vt:variant>
      <vt:variant>
        <vt:lpwstr>_Toc535769576</vt:lpwstr>
      </vt:variant>
      <vt:variant>
        <vt:i4>1900595</vt:i4>
      </vt:variant>
      <vt:variant>
        <vt:i4>158</vt:i4>
      </vt:variant>
      <vt:variant>
        <vt:i4>0</vt:i4>
      </vt:variant>
      <vt:variant>
        <vt:i4>5</vt:i4>
      </vt:variant>
      <vt:variant>
        <vt:lpwstr/>
      </vt:variant>
      <vt:variant>
        <vt:lpwstr>_Toc535769575</vt:lpwstr>
      </vt:variant>
      <vt:variant>
        <vt:i4>1900595</vt:i4>
      </vt:variant>
      <vt:variant>
        <vt:i4>152</vt:i4>
      </vt:variant>
      <vt:variant>
        <vt:i4>0</vt:i4>
      </vt:variant>
      <vt:variant>
        <vt:i4>5</vt:i4>
      </vt:variant>
      <vt:variant>
        <vt:lpwstr/>
      </vt:variant>
      <vt:variant>
        <vt:lpwstr>_Toc535769574</vt:lpwstr>
      </vt:variant>
      <vt:variant>
        <vt:i4>1900595</vt:i4>
      </vt:variant>
      <vt:variant>
        <vt:i4>146</vt:i4>
      </vt:variant>
      <vt:variant>
        <vt:i4>0</vt:i4>
      </vt:variant>
      <vt:variant>
        <vt:i4>5</vt:i4>
      </vt:variant>
      <vt:variant>
        <vt:lpwstr/>
      </vt:variant>
      <vt:variant>
        <vt:lpwstr>_Toc535769573</vt:lpwstr>
      </vt:variant>
      <vt:variant>
        <vt:i4>1900595</vt:i4>
      </vt:variant>
      <vt:variant>
        <vt:i4>140</vt:i4>
      </vt:variant>
      <vt:variant>
        <vt:i4>0</vt:i4>
      </vt:variant>
      <vt:variant>
        <vt:i4>5</vt:i4>
      </vt:variant>
      <vt:variant>
        <vt:lpwstr/>
      </vt:variant>
      <vt:variant>
        <vt:lpwstr>_Toc535769572</vt:lpwstr>
      </vt:variant>
      <vt:variant>
        <vt:i4>1900595</vt:i4>
      </vt:variant>
      <vt:variant>
        <vt:i4>134</vt:i4>
      </vt:variant>
      <vt:variant>
        <vt:i4>0</vt:i4>
      </vt:variant>
      <vt:variant>
        <vt:i4>5</vt:i4>
      </vt:variant>
      <vt:variant>
        <vt:lpwstr/>
      </vt:variant>
      <vt:variant>
        <vt:lpwstr>_Toc535769571</vt:lpwstr>
      </vt:variant>
      <vt:variant>
        <vt:i4>1900595</vt:i4>
      </vt:variant>
      <vt:variant>
        <vt:i4>128</vt:i4>
      </vt:variant>
      <vt:variant>
        <vt:i4>0</vt:i4>
      </vt:variant>
      <vt:variant>
        <vt:i4>5</vt:i4>
      </vt:variant>
      <vt:variant>
        <vt:lpwstr/>
      </vt:variant>
      <vt:variant>
        <vt:lpwstr>_Toc535769570</vt:lpwstr>
      </vt:variant>
      <vt:variant>
        <vt:i4>1835059</vt:i4>
      </vt:variant>
      <vt:variant>
        <vt:i4>122</vt:i4>
      </vt:variant>
      <vt:variant>
        <vt:i4>0</vt:i4>
      </vt:variant>
      <vt:variant>
        <vt:i4>5</vt:i4>
      </vt:variant>
      <vt:variant>
        <vt:lpwstr/>
      </vt:variant>
      <vt:variant>
        <vt:lpwstr>_Toc535769569</vt:lpwstr>
      </vt:variant>
      <vt:variant>
        <vt:i4>1835059</vt:i4>
      </vt:variant>
      <vt:variant>
        <vt:i4>116</vt:i4>
      </vt:variant>
      <vt:variant>
        <vt:i4>0</vt:i4>
      </vt:variant>
      <vt:variant>
        <vt:i4>5</vt:i4>
      </vt:variant>
      <vt:variant>
        <vt:lpwstr/>
      </vt:variant>
      <vt:variant>
        <vt:lpwstr>_Toc535769568</vt:lpwstr>
      </vt:variant>
      <vt:variant>
        <vt:i4>1835059</vt:i4>
      </vt:variant>
      <vt:variant>
        <vt:i4>110</vt:i4>
      </vt:variant>
      <vt:variant>
        <vt:i4>0</vt:i4>
      </vt:variant>
      <vt:variant>
        <vt:i4>5</vt:i4>
      </vt:variant>
      <vt:variant>
        <vt:lpwstr/>
      </vt:variant>
      <vt:variant>
        <vt:lpwstr>_Toc535769567</vt:lpwstr>
      </vt:variant>
      <vt:variant>
        <vt:i4>1835059</vt:i4>
      </vt:variant>
      <vt:variant>
        <vt:i4>104</vt:i4>
      </vt:variant>
      <vt:variant>
        <vt:i4>0</vt:i4>
      </vt:variant>
      <vt:variant>
        <vt:i4>5</vt:i4>
      </vt:variant>
      <vt:variant>
        <vt:lpwstr/>
      </vt:variant>
      <vt:variant>
        <vt:lpwstr>_Toc535769566</vt:lpwstr>
      </vt:variant>
      <vt:variant>
        <vt:i4>1835059</vt:i4>
      </vt:variant>
      <vt:variant>
        <vt:i4>98</vt:i4>
      </vt:variant>
      <vt:variant>
        <vt:i4>0</vt:i4>
      </vt:variant>
      <vt:variant>
        <vt:i4>5</vt:i4>
      </vt:variant>
      <vt:variant>
        <vt:lpwstr/>
      </vt:variant>
      <vt:variant>
        <vt:lpwstr>_Toc535769565</vt:lpwstr>
      </vt:variant>
      <vt:variant>
        <vt:i4>1835059</vt:i4>
      </vt:variant>
      <vt:variant>
        <vt:i4>92</vt:i4>
      </vt:variant>
      <vt:variant>
        <vt:i4>0</vt:i4>
      </vt:variant>
      <vt:variant>
        <vt:i4>5</vt:i4>
      </vt:variant>
      <vt:variant>
        <vt:lpwstr/>
      </vt:variant>
      <vt:variant>
        <vt:lpwstr>_Toc535769563</vt:lpwstr>
      </vt:variant>
      <vt:variant>
        <vt:i4>1835059</vt:i4>
      </vt:variant>
      <vt:variant>
        <vt:i4>86</vt:i4>
      </vt:variant>
      <vt:variant>
        <vt:i4>0</vt:i4>
      </vt:variant>
      <vt:variant>
        <vt:i4>5</vt:i4>
      </vt:variant>
      <vt:variant>
        <vt:lpwstr/>
      </vt:variant>
      <vt:variant>
        <vt:lpwstr>_Toc535769562</vt:lpwstr>
      </vt:variant>
      <vt:variant>
        <vt:i4>1835059</vt:i4>
      </vt:variant>
      <vt:variant>
        <vt:i4>80</vt:i4>
      </vt:variant>
      <vt:variant>
        <vt:i4>0</vt:i4>
      </vt:variant>
      <vt:variant>
        <vt:i4>5</vt:i4>
      </vt:variant>
      <vt:variant>
        <vt:lpwstr/>
      </vt:variant>
      <vt:variant>
        <vt:lpwstr>_Toc535769561</vt:lpwstr>
      </vt:variant>
      <vt:variant>
        <vt:i4>1835059</vt:i4>
      </vt:variant>
      <vt:variant>
        <vt:i4>74</vt:i4>
      </vt:variant>
      <vt:variant>
        <vt:i4>0</vt:i4>
      </vt:variant>
      <vt:variant>
        <vt:i4>5</vt:i4>
      </vt:variant>
      <vt:variant>
        <vt:lpwstr/>
      </vt:variant>
      <vt:variant>
        <vt:lpwstr>_Toc535769560</vt:lpwstr>
      </vt:variant>
      <vt:variant>
        <vt:i4>2031667</vt:i4>
      </vt:variant>
      <vt:variant>
        <vt:i4>68</vt:i4>
      </vt:variant>
      <vt:variant>
        <vt:i4>0</vt:i4>
      </vt:variant>
      <vt:variant>
        <vt:i4>5</vt:i4>
      </vt:variant>
      <vt:variant>
        <vt:lpwstr/>
      </vt:variant>
      <vt:variant>
        <vt:lpwstr>_Toc535769559</vt:lpwstr>
      </vt:variant>
      <vt:variant>
        <vt:i4>2031667</vt:i4>
      </vt:variant>
      <vt:variant>
        <vt:i4>62</vt:i4>
      </vt:variant>
      <vt:variant>
        <vt:i4>0</vt:i4>
      </vt:variant>
      <vt:variant>
        <vt:i4>5</vt:i4>
      </vt:variant>
      <vt:variant>
        <vt:lpwstr/>
      </vt:variant>
      <vt:variant>
        <vt:lpwstr>_Toc535769558</vt:lpwstr>
      </vt:variant>
      <vt:variant>
        <vt:i4>2031667</vt:i4>
      </vt:variant>
      <vt:variant>
        <vt:i4>56</vt:i4>
      </vt:variant>
      <vt:variant>
        <vt:i4>0</vt:i4>
      </vt:variant>
      <vt:variant>
        <vt:i4>5</vt:i4>
      </vt:variant>
      <vt:variant>
        <vt:lpwstr/>
      </vt:variant>
      <vt:variant>
        <vt:lpwstr>_Toc535769557</vt:lpwstr>
      </vt:variant>
      <vt:variant>
        <vt:i4>2031667</vt:i4>
      </vt:variant>
      <vt:variant>
        <vt:i4>50</vt:i4>
      </vt:variant>
      <vt:variant>
        <vt:i4>0</vt:i4>
      </vt:variant>
      <vt:variant>
        <vt:i4>5</vt:i4>
      </vt:variant>
      <vt:variant>
        <vt:lpwstr/>
      </vt:variant>
      <vt:variant>
        <vt:lpwstr>_Toc535769556</vt:lpwstr>
      </vt:variant>
      <vt:variant>
        <vt:i4>2031667</vt:i4>
      </vt:variant>
      <vt:variant>
        <vt:i4>44</vt:i4>
      </vt:variant>
      <vt:variant>
        <vt:i4>0</vt:i4>
      </vt:variant>
      <vt:variant>
        <vt:i4>5</vt:i4>
      </vt:variant>
      <vt:variant>
        <vt:lpwstr/>
      </vt:variant>
      <vt:variant>
        <vt:lpwstr>_Toc535769555</vt:lpwstr>
      </vt:variant>
      <vt:variant>
        <vt:i4>2031667</vt:i4>
      </vt:variant>
      <vt:variant>
        <vt:i4>38</vt:i4>
      </vt:variant>
      <vt:variant>
        <vt:i4>0</vt:i4>
      </vt:variant>
      <vt:variant>
        <vt:i4>5</vt:i4>
      </vt:variant>
      <vt:variant>
        <vt:lpwstr/>
      </vt:variant>
      <vt:variant>
        <vt:lpwstr>_Toc535769554</vt:lpwstr>
      </vt:variant>
      <vt:variant>
        <vt:i4>2031667</vt:i4>
      </vt:variant>
      <vt:variant>
        <vt:i4>32</vt:i4>
      </vt:variant>
      <vt:variant>
        <vt:i4>0</vt:i4>
      </vt:variant>
      <vt:variant>
        <vt:i4>5</vt:i4>
      </vt:variant>
      <vt:variant>
        <vt:lpwstr/>
      </vt:variant>
      <vt:variant>
        <vt:lpwstr>_Toc535769553</vt:lpwstr>
      </vt:variant>
      <vt:variant>
        <vt:i4>2031667</vt:i4>
      </vt:variant>
      <vt:variant>
        <vt:i4>26</vt:i4>
      </vt:variant>
      <vt:variant>
        <vt:i4>0</vt:i4>
      </vt:variant>
      <vt:variant>
        <vt:i4>5</vt:i4>
      </vt:variant>
      <vt:variant>
        <vt:lpwstr/>
      </vt:variant>
      <vt:variant>
        <vt:lpwstr>_Toc535769552</vt:lpwstr>
      </vt:variant>
      <vt:variant>
        <vt:i4>2031667</vt:i4>
      </vt:variant>
      <vt:variant>
        <vt:i4>20</vt:i4>
      </vt:variant>
      <vt:variant>
        <vt:i4>0</vt:i4>
      </vt:variant>
      <vt:variant>
        <vt:i4>5</vt:i4>
      </vt:variant>
      <vt:variant>
        <vt:lpwstr/>
      </vt:variant>
      <vt:variant>
        <vt:lpwstr>_Toc535769551</vt:lpwstr>
      </vt:variant>
      <vt:variant>
        <vt:i4>2031667</vt:i4>
      </vt:variant>
      <vt:variant>
        <vt:i4>14</vt:i4>
      </vt:variant>
      <vt:variant>
        <vt:i4>0</vt:i4>
      </vt:variant>
      <vt:variant>
        <vt:i4>5</vt:i4>
      </vt:variant>
      <vt:variant>
        <vt:lpwstr/>
      </vt:variant>
      <vt:variant>
        <vt:lpwstr>_Toc535769550</vt:lpwstr>
      </vt:variant>
      <vt:variant>
        <vt:i4>1966131</vt:i4>
      </vt:variant>
      <vt:variant>
        <vt:i4>8</vt:i4>
      </vt:variant>
      <vt:variant>
        <vt:i4>0</vt:i4>
      </vt:variant>
      <vt:variant>
        <vt:i4>5</vt:i4>
      </vt:variant>
      <vt:variant>
        <vt:lpwstr/>
      </vt:variant>
      <vt:variant>
        <vt:lpwstr>_Toc535769549</vt:lpwstr>
      </vt:variant>
      <vt:variant>
        <vt:i4>1966131</vt:i4>
      </vt:variant>
      <vt:variant>
        <vt:i4>2</vt:i4>
      </vt:variant>
      <vt:variant>
        <vt:i4>0</vt:i4>
      </vt:variant>
      <vt:variant>
        <vt:i4>5</vt:i4>
      </vt:variant>
      <vt:variant>
        <vt:lpwstr/>
      </vt:variant>
      <vt:variant>
        <vt:lpwstr>_Toc535769548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沈婷婷</dc:creator>
  <cp:keywords/>
  <cp:lastModifiedBy>智勇 于</cp:lastModifiedBy>
  <cp:revision>2</cp:revision>
  <cp:lastPrinted>2019-01-18T08:26:00Z</cp:lastPrinted>
  <dcterms:created xsi:type="dcterms:W3CDTF">2024-06-30T07:18:00Z</dcterms:created>
  <dcterms:modified xsi:type="dcterms:W3CDTF">2024-06-30T07:18:00Z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