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b/>
                <w:color w:val="000000"/>
                <w:sz w:val="24"/>
              </w:rPr>
              <w:t>姚  晔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b/>
                <w:color w:val="000000"/>
                <w:sz w:val="24"/>
              </w:rPr>
              <w:t>f25015243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b/>
                <w:color w:val="000000"/>
                <w:sz w:val="24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b/>
                <w:color w:val="000000"/>
                <w:sz w:val="24"/>
              </w:rPr>
              <w:t>2026 年 10 月 29 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389FC1C7">
      <w:pPr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  <w:r>
        <w:rPr>
          <w:rFonts w:ascii="Times New Roman" w:hAnsi="Times New Roman" w:eastAsia="仿宋_GB2312" w:cs="Times New Roman"/>
          <w:b/>
          <w:color w:val="000000"/>
          <w:sz w:val="28"/>
        </w:rPr>
        <w:t>1、选取的开源项目：Apache Commons Lang 3.17.0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本次测试对象取自 Apache 社区。Apache Commons Lang（Maven 坐标 org.apache.commons:commons-lang3）是 Apache 软件基金会（ASF）Commons 项目组的核心基础库，其定位是为 JDK 自带的 java.lang 包补齐缺失的通用工具：字符串处理 StringUtils、数组与对象操作 ArrayUtils 与 ObjectUtils、日期计算 DateUtils、反射与注解工具，以及大量 Builder 与异常体系。该库被 Maven、Hadoop、Spring 等大量项目间接依赖，是 Java 生态中分发范围最广的组件之一。本次测试选取 3.17.0 版本（2024 年发布），通过官方仓库标签 rel/commons-lang-3.17.0 获取源码归档包，解压后共 576 个文件、63 个子目录，合计 8.36 MB，其中 Java 源文件 500 个，占 86.8%。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选取该项目有三点考虑：一是许可证单一且声明规范，根目录同时提供 LICENSE.txt、NOTICE.txt 与逐文件版权头，天然构成评估工具检出率与准确率的“金标准”；二是文件类型丰富，除 Java 源码外还包含 Markdown、XML、HTML、CGI 脚本与 PNG/XCF 图像，可同时检验工具对文本资源与二进制资源的处理能力；三是规模适中，单机两分钟内即可完成全量扫描，便于反复实验与结果复核。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项目授权条款为 Apache License 2.0（SPDX 标识 Apache-2.0），属宽松型（Permissive）许可证，允许商用、修改与再分发，主要义务是随分发保留版权与许可声明、附带 LICENSE 副本、完整保留 NOTICE 文件内容，并对修改过的文件加以标注。本次测试要回答的核心问题正是：这样一份声明规范的项目，能否被工具准确、完整地识别出来。</w:t>
      </w:r>
    </w:p>
    <w:p>
      <w:pPr>
        <w:spacing w:before="160" w:after="60" w:lineRule="auto" w:line="300"/>
        <w:jc w:val="center"/>
      </w:pPr>
      <w:r>
        <w:rPr>
          <w:rFonts w:ascii="Times New Roman" w:hAnsi="Times New Roman" w:eastAsia="仿宋_GB2312" w:cs="Times New Roman"/>
          <w:b/>
          <w:color w:val="000000"/>
          <w:sz w:val="28"/>
        </w:rPr>
        <w:t>2、许可证合规工具的安装过程及遇到的问题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2.1 工具选型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参照课程提供的 33 款工具清单逐条比较后，选用 ScanCode Toolkit 32.5.0。它是业界事实标准的开源代码扫描引擎，可同时输出许可证、版权、包清单与依赖信息，报告格式覆盖 JSON、HTML、CSV 与 SPDX，且能完全离线在 Windows 单机运行。相比之下，Fossology 需部署 PostgreSQL 与 Web 服务，Apache Rat 只审计源码文件头、不识别正文中的许可证，ORT 需联网解析并下载依赖树，搭建成本都明显超出本次作业需要。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2.2 安装步骤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测试环境为 Windows 11 24H2（x64）与 Python 3.13.12。为避免污染系统环境，全部依赖安装在独立虚拟环境中，主要命令如下：</w:t>
      </w:r>
    </w:p>
    <w:p w14:paraId="322EC6BF">
      <w:pPr>
        <w:widowControl/>
        <w:spacing w:line="300" w:lineRule="auto" w:before="0" w:after="0"/>
        <w:ind w:left="0" w:right="0" w:firstLine="0"/>
        <w:jc w:val="left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python -m venv C:\Users\yy\.workbuddy\binaries\python\envs\default</w:t>
      </w:r>
    </w:p>
    <w:p w14:paraId="322EC6BF">
      <w:pPr>
        <w:widowControl/>
        <w:spacing w:line="300" w:lineRule="auto" w:before="0" w:after="0"/>
        <w:ind w:left="0" w:right="0" w:firstLine="0"/>
        <w:jc w:val="left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...\envs\default\Scripts\pip install scancode-toolkit==32.5.0</w:t>
      </w:r>
    </w:p>
    <w:p w14:paraId="322EC6BF">
      <w:pPr>
        <w:widowControl/>
        <w:spacing w:line="300" w:lineRule="auto" w:before="0" w:after="0"/>
        <w:ind w:left="0" w:right="0" w:firstLine="0"/>
        <w:jc w:val="left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...\envs\default\Scripts\scancode --version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安装完成后版本校验返回 ScanCode version 32.5.0、Output Format version 4.1.0、SPDX License list version 3.27，说明主程序与内置许可证规则库均已就绪。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2.3 遇到的问题及处理</w:t>
      </w:r>
    </w:p>
    <w:p w14:paraId="322EC6BF">
      <w:pPr>
        <w:keepNext/>
        <w:widowControl/>
        <w:spacing w:line="300" w:lineRule="auto" w:before="120" w:after="40"/>
        <w:ind w:left="0" w:right="0" w:firstLine="0"/>
        <w:jc w:val="center"/>
        <w:rPr>
          <w:color w:val="FF0000"/>
        </w:rPr>
      </w:pPr>
      <w:r>
        <w:rPr>
          <w:rFonts w:ascii="Times New Roman" w:hAnsi="Times New Roman" w:eastAsia="宋体" w:cs="Times New Roman"/>
          <w:b/>
          <w:color w:val="000000"/>
          <w:sz w:val="18"/>
        </w:rPr>
        <w:t>表 1  安装与运行阶段遇到的问题及处理办法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69"/>
        <w:gridCol w:w="2769"/>
        <w:gridCol w:w="2769"/>
      </w:tblGrid>
      <w:tr>
        <w:trPr>
          <w:trHeight w:val="351"/>
          <w:cantSplit/>
        </w:trPr>
        <w:tc>
          <w:tcPr>
            <w:tcW w:type="dxa" w:w="2835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问题现象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原因分析</w:t>
            </w:r>
          </w:p>
        </w:tc>
        <w:tc>
          <w:tcPr>
            <w:tcW w:type="dxa" w:w="2381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处理办法</w:t>
            </w:r>
          </w:p>
        </w:tc>
      </w:tr>
      <w:tr>
        <w:trPr>
          <w:trHeight w:val="351"/>
          <w:cantSplit/>
        </w:trPr>
        <w:tc>
          <w:tcPr>
            <w:tcW w:type="dxa" w:w="2835"/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pip 报 No matching distribution found for scancode-toolkit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国内镜像源未同步 32.5.0，且 Python 3.13 对应的 Windows 轮子尚未被镜像收录</w:t>
            </w:r>
          </w:p>
        </w:tc>
        <w:tc>
          <w:tcPr>
            <w:tcW w:type="dxa" w:w="2381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改用官方源 -i https://pypi.org/simple 后安装成功</w:t>
            </w:r>
          </w:p>
        </w:tc>
      </w:tr>
      <w:tr>
        <w:trPr>
          <w:trHeight w:val="351"/>
          <w:cantSplit/>
        </w:trPr>
        <w:tc>
          <w:tcPr>
            <w:tcW w:type="dxa" w:w="2835"/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启动即抛 ValueError: did not find any pre_scan hooks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pip 按最新依赖自动装入 pluggy 1.7.0，而 plugincode 32.0.0 的钩子注册机制与 pluggy 1.6 以上版本不兼容</w:t>
            </w:r>
          </w:p>
        </w:tc>
        <w:tc>
          <w:tcPr>
            <w:tcW w:type="dxa" w:w="2381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降级执行 pip install pluggy==1.5.0，程序恢复正常</w:t>
            </w:r>
          </w:p>
        </w:tc>
      </w:tr>
      <w:tr>
        <w:trPr>
          <w:trHeight w:val="351"/>
          <w:cantSplit/>
        </w:trPr>
        <w:tc>
          <w:tcPr>
            <w:tcW w:type="dxa" w:w="2835"/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首次运行报 output file parent is not a directory or does not exists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ScanCode 不会自动创建输出文件的父目录</w:t>
            </w:r>
          </w:p>
        </w:tc>
        <w:tc>
          <w:tcPr>
            <w:tcW w:type="dxa" w:w="2381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先创建 out 目录，再指定 --json-pp out/...</w:t>
            </w:r>
          </w:p>
        </w:tc>
      </w:tr>
      <w:tr>
        <w:trPr>
          <w:trHeight w:val="351"/>
          <w:cantSplit/>
        </w:trPr>
        <w:tc>
          <w:tcPr>
            <w:tcW w:type="dxa" w:w="2835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全量扫描耗时过长，单线程数分钟仍未结束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576 个文件串行处理，许可证文本匹配属 CPU 密集型任务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增加 -n 4 多进程参数，实际耗时降至 102.17 秒</w:t>
            </w:r>
          </w:p>
        </w:tc>
      </w:tr>
    </w:tbl>
    <w:p>
      <w:pPr>
        <w:spacing w:before="0" w:after="0"/>
        <w:ind w:firstLine="0"/>
        <w:rPr>
          <w:sz w:val="10"/>
        </w:rPr>
      </w:pPr>
    </w:p>
    <w:p>
      <w:pPr>
        <w:spacing w:before="160" w:after="60" w:lineRule="auto" w:line="300"/>
        <w:jc w:val="center"/>
      </w:pPr>
      <w:r>
        <w:rPr>
          <w:rFonts w:ascii="Times New Roman" w:hAnsi="Times New Roman" w:eastAsia="仿宋_GB2312" w:cs="Times New Roman"/>
          <w:b/>
          <w:color w:val="000000"/>
          <w:sz w:val="28"/>
        </w:rPr>
        <w:t>3、工具输出的检测报告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3.1 扫描命令与输出文件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扫描命令如下，其中 -c、-l、-p、-i 分别开启版权、许可证、包信息与文件信息扫描：</w:t>
      </w:r>
    </w:p>
    <w:p w14:paraId="322EC6BF">
      <w:pPr>
        <w:widowControl/>
        <w:spacing w:line="300" w:lineRule="auto" w:before="0" w:after="0"/>
        <w:ind w:left="0" w:right="0" w:firstLine="0"/>
        <w:jc w:val="left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scancode -clpi -n 4 --timeout 900 --json-pp out/scan.json --html out/scan.html commons-lang-rel-commons-lang-3.17.0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工具共生成了两份报告：JSON 报告 1.5 MB，机器可读，记录每一处匹配的规则编号、起止行号、文本覆盖率与置信度；HTML 报告 771 KB，供人工浏览，可按文件路径筛选并展开原文匹配片段。本次分析的统计数据全部由 JSON 报告编程汇总得到。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3.2 扫描概况</w:t>
      </w:r>
    </w:p>
    <w:p w14:paraId="322EC6BF">
      <w:pPr>
        <w:keepNext/>
        <w:widowControl/>
        <w:spacing w:line="300" w:lineRule="auto" w:before="120" w:after="40"/>
        <w:ind w:left="0" w:right="0" w:firstLine="0"/>
        <w:jc w:val="center"/>
        <w:rPr>
          <w:color w:val="FF0000"/>
        </w:rPr>
      </w:pPr>
      <w:r>
        <w:rPr>
          <w:rFonts w:ascii="Times New Roman" w:hAnsi="Times New Roman" w:eastAsia="宋体" w:cs="Times New Roman"/>
          <w:b/>
          <w:color w:val="000000"/>
          <w:sz w:val="18"/>
        </w:rPr>
        <w:t>表 2  ScanCode 扫描概况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76"/>
        <w:gridCol w:w="2076"/>
        <w:gridCol w:w="2076"/>
        <w:gridCol w:w="2076"/>
      </w:tblGrid>
      <w:tr>
        <w:trPr>
          <w:trHeight w:val="351"/>
          <w:cantSplit/>
        </w:trPr>
        <w:tc>
          <w:tcPr>
            <w:tcW w:type="dxa" w:w="1701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扫描资源</w:t>
            </w:r>
          </w:p>
        </w:tc>
        <w:tc>
          <w:tcPr>
            <w:tcW w:type="dxa" w:w="3005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639（576 个文件 + 63 个目录）</w:t>
            </w:r>
          </w:p>
        </w:tc>
        <w:tc>
          <w:tcPr>
            <w:tcW w:type="dxa" w:w="1474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总大小</w:t>
            </w:r>
          </w:p>
        </w:tc>
        <w:tc>
          <w:tcPr>
            <w:tcW w:type="dxa" w:w="2098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8.36 MB</w:t>
            </w:r>
          </w:p>
        </w:tc>
      </w:tr>
      <w:tr>
        <w:trPr>
          <w:trHeight w:val="351"/>
          <w:cantSplit/>
        </w:trPr>
        <w:tc>
          <w:tcPr>
            <w:tcW w:type="dxa" w:w="1701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扫描耗时</w:t>
            </w:r>
          </w:p>
        </w:tc>
        <w:tc>
          <w:tcPr>
            <w:tcW w:type="dxa" w:w="3005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102.17 秒</w:t>
            </w:r>
          </w:p>
        </w:tc>
        <w:tc>
          <w:tcPr>
            <w:tcW w:type="dxa" w:w="1474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处理速度</w:t>
            </w:r>
          </w:p>
        </w:tc>
        <w:tc>
          <w:tcPr>
            <w:tcW w:type="dxa" w:w="2098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5.80 文件/秒</w:t>
            </w:r>
          </w:p>
        </w:tc>
      </w:tr>
      <w:tr>
        <w:trPr>
          <w:trHeight w:val="351"/>
          <w:cantSplit/>
        </w:trPr>
        <w:tc>
          <w:tcPr>
            <w:tcW w:type="dxa" w:w="1701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检出文件</w:t>
            </w:r>
          </w:p>
        </w:tc>
        <w:tc>
          <w:tcPr>
            <w:tcW w:type="dxa" w:w="3005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570 / 576，即 98.96%</w:t>
            </w:r>
          </w:p>
        </w:tc>
        <w:tc>
          <w:tcPr>
            <w:tcW w:type="dxa" w:w="1474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扫描错误</w:t>
            </w:r>
          </w:p>
        </w:tc>
        <w:tc>
          <w:tcPr>
            <w:tcW w:type="dxa" w:w="2098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 个</w:t>
            </w:r>
          </w:p>
        </w:tc>
      </w:tr>
      <w:tr>
        <w:trPr>
          <w:trHeight w:val="351"/>
          <w:cantSplit/>
        </w:trPr>
        <w:tc>
          <w:tcPr>
            <w:tcW w:type="dxa" w:w="1701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识别到的包</w:t>
            </w:r>
          </w:p>
        </w:tc>
        <w:tc>
          <w:tcPr>
            <w:tcW w:type="dxa" w:w="3005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 个（maven：commons-lang3 3.17.0）</w:t>
            </w:r>
          </w:p>
        </w:tc>
        <w:tc>
          <w:tcPr>
            <w:tcW w:type="dxa" w:w="1474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版权声明</w:t>
            </w:r>
          </w:p>
        </w:tc>
        <w:tc>
          <w:tcPr>
            <w:tcW w:type="dxa" w:w="2098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条</w:t>
            </w:r>
          </w:p>
        </w:tc>
      </w:tr>
    </w:tbl>
    <w:p>
      <w:pPr>
        <w:spacing w:before="0" w:after="0"/>
        <w:ind w:firstLine="0"/>
        <w:rPr>
          <w:sz w:val="10"/>
        </w:rPr>
      </w:pP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3.3 许可证检测结果</w:t>
      </w:r>
    </w:p>
    <w:p w14:paraId="322EC6BF">
      <w:pPr>
        <w:keepNext/>
        <w:widowControl/>
        <w:spacing w:line="300" w:lineRule="auto" w:before="120" w:after="40"/>
        <w:ind w:left="0" w:right="0" w:firstLine="0"/>
        <w:jc w:val="center"/>
        <w:rPr>
          <w:color w:val="FF0000"/>
        </w:rPr>
      </w:pPr>
      <w:r>
        <w:rPr>
          <w:rFonts w:ascii="Times New Roman" w:hAnsi="Times New Roman" w:eastAsia="宋体" w:cs="Times New Roman"/>
          <w:b/>
          <w:color w:val="000000"/>
          <w:sz w:val="18"/>
        </w:rPr>
        <w:t>表 3  许可证表达式检测结果分布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76"/>
        <w:gridCol w:w="2076"/>
        <w:gridCol w:w="2076"/>
        <w:gridCol w:w="2076"/>
      </w:tblGrid>
      <w:tr>
        <w:trPr>
          <w:trHeight w:val="351"/>
          <w:cantSplit/>
        </w:trPr>
        <w:tc>
          <w:tcPr>
            <w:tcW w:type="dxa" w:w="3628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许可证表达式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文件数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占比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判定说明</w:t>
            </w:r>
          </w:p>
        </w:tc>
      </w:tr>
      <w:tr>
        <w:trPr>
          <w:trHeight w:val="351"/>
          <w:cantSplit/>
        </w:trPr>
        <w:tc>
          <w:tcPr>
            <w:tcW w:type="dxa" w:w="3628"/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apache-2.0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567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98.44%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单一表达式，标准 ASF 许可头</w:t>
            </w:r>
          </w:p>
        </w:tc>
      </w:tr>
      <w:tr>
        <w:trPr>
          <w:trHeight w:val="351"/>
          <w:cantSplit/>
        </w:trPr>
        <w:tc>
          <w:tcPr>
            <w:tcW w:type="dxa" w:w="3628"/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apache-2.0 AND apache-1.1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0.17%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历史 CLIRR 报告页面转引旧版许可</w:t>
            </w:r>
          </w:p>
        </w:tc>
      </w:tr>
      <w:tr>
        <w:trPr>
          <w:trHeight w:val="351"/>
          <w:cantSplit/>
        </w:trPr>
        <w:tc>
          <w:tcPr>
            <w:tcW w:type="dxa" w:w="3628"/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apache-2.0 AND (generic-cla AND apache-2.0)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0.17%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README 中的贡献者协议文本</w:t>
            </w:r>
          </w:p>
        </w:tc>
      </w:tr>
      <w:tr>
        <w:trPr>
          <w:trHeight w:val="351"/>
          <w:cantSplit/>
        </w:trPr>
        <w:tc>
          <w:tcPr>
            <w:tcW w:type="dxa" w:w="3628"/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apache-2.0 AND (generic-cla AND apache-2.0) AND generic-cla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0.17%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CONTRIBUTING 同一文本重复聚合</w:t>
            </w:r>
          </w:p>
        </w:tc>
      </w:tr>
      <w:tr>
        <w:trPr>
          <w:trHeight w:val="351"/>
          <w:cantSplit/>
        </w:trPr>
        <w:tc>
          <w:tcPr>
            <w:tcW w:type="dxa" w:w="3628"/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未检出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1.04%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图像、空文件与无声明资源的文本</w:t>
            </w:r>
          </w:p>
        </w:tc>
      </w:tr>
      <w:tr>
        <w:trPr>
          <w:trHeight w:val="351"/>
          <w:cantSplit/>
        </w:trPr>
        <w:tc>
          <w:tcPr>
            <w:tcW w:type="dxa" w:w="3628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077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576</w:t>
            </w:r>
          </w:p>
        </w:tc>
        <w:tc>
          <w:tcPr>
            <w:tcW w:type="dxa" w:w="1077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——</w:t>
            </w:r>
          </w:p>
        </w:tc>
      </w:tr>
    </w:tbl>
    <w:p>
      <w:pPr>
        <w:spacing w:before="0" w:after="0"/>
        <w:ind w:firstLine="0"/>
        <w:rPr>
          <w:sz w:val="10"/>
        </w:rPr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1918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187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2EC6BF">
      <w:pPr>
        <w:widowControl/>
        <w:spacing w:line="300" w:lineRule="auto" w:before="120" w:after="40"/>
        <w:ind w:left="0" w:right="0" w:firstLine="0"/>
        <w:jc w:val="center"/>
        <w:rPr>
          <w:color w:val="FF0000"/>
        </w:rPr>
      </w:pPr>
      <w:r>
        <w:rPr>
          <w:rFonts w:ascii="Times New Roman" w:hAnsi="Times New Roman" w:eastAsia="宋体" w:cs="Times New Roman"/>
          <w:b/>
          <w:color w:val="000000"/>
          <w:sz w:val="18"/>
        </w:rPr>
        <w:t>图 1  576 个文件的许可证检测结果分布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3.4 版权与包信息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版权检测仅得到 2 条结果，分别位于 NOTICE.txt（Copyright 2001-2024 The Apache Software Foundation）与 src/site/resources/lang2-lang3-clirr-report.html（含 HTML 实体转义的 2001-2011 年版权行）；包识别得到 1 条 maven 包记录 commons-lang3 3.17.0，其声明许可证与 pom.xml 中一致，均为 apache-2.0。</w:t>
      </w:r>
    </w:p>
    <w:p>
      <w:pPr>
        <w:spacing w:before="160" w:after="60" w:lineRule="auto" w:line="300"/>
        <w:jc w:val="center"/>
      </w:pPr>
      <w:r>
        <w:rPr>
          <w:rFonts w:ascii="Times New Roman" w:hAnsi="Times New Roman" w:eastAsia="仿宋_GB2312" w:cs="Times New Roman"/>
          <w:b/>
          <w:color w:val="000000"/>
          <w:sz w:val="28"/>
        </w:rPr>
        <w:t>4、检测报告的详细分析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4.1 检出结果的正确性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对 581 处匹配逐一核查：576 处 score 为 100 的匹配全部命中源码头部第 2 至 15 行的标准 ASF 声明块，文本覆盖率与规则相关度均为 100%，属真阳性；另有 3 处 score 95、1 处 score 80 与 1 处 score 75 的匹配落在 README.md、CONTRIBUTING.md 与 CLIRR 报告页面。其中 apache-1.1 的判定是“内容真、语义偏”：该页面确实转引了 ASF 旧版许可文本，但它只是历史报告的正文内容，并不构成项目当前的授权条款，属于需要人工解释的上下文误报；generic-cla（贡献者许可协议）同样是误报，工具把“如何签署 CLA”的流程说明当成了授权条款。据此，表达式级准确率约为 573/576，即 99.5%，但若不经复核直接采信，会把项目误判为“多许可证并含协议约束”。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4.2 漏报分析与召回率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6 个未检出文件分别是 logo.xcf 与 logo.png（二进制图像）、profile.jacoco（0 字节空文件）、download_lang.cgi（157 字节脚本）、RELEASE-NOTES-3.9.txt 与 lang-708-input.txt（发行说明与测试用 JSON）。前三类本身不含任何许可证文本，漏报不影响结论；真正值得警惕的是 RELEASE-NOTES-3.9.txt 这类从旧版本继承的历史文本资源，它不含授权条款却可能夹带早期许可表述，是合规风险的高发区，而工具对此完全不提示，只能靠人工核对版本来源。以代码类文件计，召回率为 570/576，即 98.96%。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4.3 版权与依赖维度的能力边界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本项目 576 个文件全部带有 ASF 版权头，工具却只识别出 2 条版权记录，召回率仅 0.35%。原因在于 ASF 的标准头部写法是 Licensed to the Apache Software Foundation (ASF) under one or more contributor license agreements，其中并不包含“Copyright 加年份”这一工具所依赖的模式；ScanCode 的版权识别基于模式规则，对以许可声明代替版权声明的写法无能为力。这说明版权归属不能只看扫描报告，必须与 NOTICE、LICENSE 及仓库元数据交叉验证。另一方面，本次扫描只覆盖源码目录，未解析 pom.xml 中 JUnit、EasyMock、commons-text 等依赖的传递闭包，因此这份报告只能回答“项目自身代码是什么许可”，不能回答“最终制品包含哪些第三方组件”。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4.4 测试方法与总体策略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ScanCode 采用的是全文许可文本匹配而非关键词或文件头白名单匹配。其匹配引擎分四级：1-hash 做整段文本哈希精确比对，2-aho 用 Aho-Corasick 多模式自动机做近似整句匹配（本次 581 处中有 579 处由它命中），3-seq 按序列相似度处理被改动过的文本，4-spdx-id 直接识别 SPDX 标识符。正因如此，即便头部被改写、换行或插入项目名，仍能给出 95 分以上的匹配。整体测试策略可归纳为三层递进：先以文件级许可证检测回答“有没有、是什么”，再以版权与包清单回答“归谁、属于哪个组件”，最后以人工复核消解低置信度与上下文歧义。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4.5 测试风险与充分性判断标准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本次测试识别出四类风险：一是误报风险，非授权文本被识别为许可证，本项目 2 处；二是漏报风险，无声明文件与二进制资源天然不可检出，本项目 6 处；三是规则库滞后风险，新出现或企业自定义的许可证不在规则库内会被直接放过；四是范围风险，只扫源码不扫依赖，使软件成分分析结论不完整。据此设定四条充分性判断标准并逐项验证：第一，代码类文件许可证检出率不低于 95%，实测 98.96%，达标；第二，所有 score 低于 90 的匹配必须人工复核，实测 4 处已逐条复核；第三，报告中不得出现 GPL、AGPL、SSPL 等强传染性许可证，实测零出现，达标；第四，第三方依赖清单应完整可追溯，本次未做，未达标。</w:t>
      </w:r>
    </w:p>
    <w:p w14:paraId="322EC6BF">
      <w:pPr>
        <w:keepNext/>
        <w:widowControl/>
        <w:spacing w:line="300" w:lineRule="auto" w:before="100" w:after="20"/>
        <w:ind w:left="0" w:right="0" w:firstLine="0"/>
        <w:jc w:val="both"/>
        <w:rPr>
          <w:color w:val="FF0000"/>
        </w:rPr>
      </w:pPr>
      <w:r>
        <w:rPr>
          <w:rFonts w:ascii="Times New Roman" w:hAnsi="Times New Roman" w:eastAsia="仿宋_GB2312" w:cs="Times New Roman"/>
          <w:b/>
          <w:color w:val="000000"/>
          <w:sz w:val="24"/>
        </w:rPr>
        <w:t>4.6 合规结论与改进建议</w:t>
      </w:r>
    </w:p>
    <w:p w14:paraId="322EC6BF">
      <w:pPr>
        <w:widowControl/>
        <w:spacing w:line="300" w:lineRule="auto" w:before="0" w:after="0"/>
        <w:ind w:firstLineChars="200" w:left="0" w:right="0" w:firstLine="420"/>
        <w:jc w:val="both"/>
        <w:rPr>
          <w:color w:val="FF0000"/>
        </w:rPr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结论：Apache Commons Lang 3.17.0 是一份许可证高度纯净的 Apache-2.0 项目，570 个可判定文件中全部包含 Apache-2.0，无 copyleft 污染，可安全用于商业产品与二次分发；合规义务为随分发保留 LICENSE 与 NOTICE、并对修改文件作出标注。改进建议：一是将 scancode 接入 CI，对每次合并请求做增量扫描并设置置信度阈值门禁；二是补充 SPDX 输出以对接 SBOM 平台，形成机器可读的交付清单；三是叠加 ORT 或 ScanCode.io 补齐依赖树扫描，使第四条充分性标准也能满足；四是建立低置信度匹配的人工复核机制，避免把工具输出直接当作法律结论。</w:t>
      </w:r>
    </w:p>
    <w:p w14:paraId="322EC6BF">
      <w:pPr>
        <w:widowControl/>
        <w:spacing w:line="300" w:lineRule="auto"/>
        <w:ind w:firstLine="0"/>
        <w:jc w:val="left"/>
        <w:rPr>
          <w:color w:val="FF0000"/>
        </w:r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依帆临水</cp:lastModifiedBy>
  <dcterms:modified xsi:type="dcterms:W3CDTF">2026-10-08T11:26:42Z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