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Postmortem Template</w:t>
      </w:r>
    </w:p>
    <w:p>
      <w:r>
        <w:t>Placeholder for DOCX source: SupportFlow Incident Postmortem Template</w:t>
      </w:r>
    </w:p>
    <w:p>
      <w:r>
        <w:t>Source ID: incident-postmortem-template</w:t>
      </w:r>
    </w:p>
    <w:p>
      <w:r>
        <w:t>This text file stands in for a lightweight DOCX document in the sample corpus.</w:t>
      </w:r>
    </w:p>
    <w:p>
      <w:r>
        <w:t>Required sections:</w:t>
      </w:r>
    </w:p>
    <w:p>
      <w:r>
        <w:t>1. Summary</w:t>
      </w:r>
    </w:p>
    <w:p>
      <w:r>
        <w:t>2. Customer impact</w:t>
      </w:r>
    </w:p>
    <w:p>
      <w:r>
        <w:t>3. Timeline</w:t>
      </w:r>
    </w:p>
    <w:p>
      <w:r>
        <w:t>4. Detection path</w:t>
      </w:r>
    </w:p>
    <w:p>
      <w:r>
        <w:t>5. Root cause</w:t>
      </w:r>
    </w:p>
    <w:p>
      <w:r>
        <w:t>6. Mitigation</w:t>
      </w:r>
    </w:p>
    <w:p>
      <w:r>
        <w:t>7. What went well</w:t>
      </w:r>
    </w:p>
    <w:p>
      <w:r>
        <w:t>8. What needs improvement</w:t>
      </w:r>
    </w:p>
    <w:p>
      <w:r>
        <w:t>9. Action items with owner role and due date</w:t>
      </w:r>
    </w:p>
    <w:p>
      <w:r>
        <w:t>Postmortem rule:</w:t>
      </w:r>
    </w:p>
    <w:p>
      <w:r>
        <w:t>Do not publish root cause language until engineering and support operations approve the final wording. Customer-facing summaries must distinguish confirmed facts from investigation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