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779E4">
      <w:pPr>
        <w:keepNext w:val="0"/>
        <w:keepLines w:val="0"/>
        <w:widowControl/>
        <w:suppressLineNumbers w:val="0"/>
        <w:spacing w:before="0" w:beforeAutospacing="0" w:after="150" w:afterAutospacing="0" w:line="240" w:lineRule="auto"/>
        <w:ind w:left="0" w:leftChars="0" w:right="0" w:firstLine="0" w:firstLineChars="0"/>
        <w:jc w:val="center"/>
        <w:rPr>
          <w:rFonts w:hint="default" w:ascii="Arial" w:hAnsi="Arial" w:eastAsia="Arial" w:cs="Arial"/>
          <w:color w:val="000000"/>
          <w:kern w:val="0"/>
          <w:sz w:val="28"/>
          <w:szCs w:val="20"/>
          <w:lang w:val="en-US" w:eastAsia="zh-CN" w:bidi="ar"/>
          <w:woUserID w:val="5"/>
        </w:rPr>
      </w:pPr>
      <w:r>
        <w:rPr>
          <w:rFonts w:hint="default" w:ascii="Arial" w:hAnsi="Arial" w:eastAsia="Arial" w:cs="Arial"/>
          <w:color w:val="000000"/>
          <w:kern w:val="0"/>
          <w:sz w:val="28"/>
          <w:szCs w:val="20"/>
          <w:lang w:val="en-US" w:eastAsia="zh-CN" w:bidi="ar"/>
          <w:woUserID w:val="5"/>
        </w:rPr>
        <w:t xml:space="preserve">XI’AN JIAOTONG-LIVERPOOL UNIVERSITY </w:t>
      </w:r>
    </w:p>
    <w:p w14:paraId="5279EFD5">
      <w:pPr>
        <w:keepNext w:val="0"/>
        <w:keepLines w:val="0"/>
        <w:widowControl/>
        <w:suppressLineNumbers w:val="0"/>
        <w:spacing w:before="0" w:beforeAutospacing="0" w:after="150" w:afterAutospacing="0" w:line="240" w:lineRule="auto"/>
        <w:ind w:left="0" w:leftChars="0" w:right="0" w:firstLine="0" w:firstLineChars="0"/>
        <w:jc w:val="center"/>
        <w:rPr>
          <w:rFonts w:hint="eastAsia" w:ascii="宋体" w:hAnsi="宋体" w:eastAsia="宋体" w:cs="宋体"/>
          <w:color w:val="000000"/>
          <w:kern w:val="0"/>
          <w:sz w:val="44"/>
          <w:szCs w:val="21"/>
          <w:lang w:val="en-US" w:eastAsia="zh-CN" w:bidi="ar"/>
          <w:woUserID w:val="5"/>
        </w:rPr>
      </w:pPr>
      <w:r>
        <w:rPr>
          <w:rFonts w:hint="eastAsia" w:ascii="宋体" w:hAnsi="宋体" w:eastAsia="宋体" w:cs="宋体"/>
          <w:color w:val="000000"/>
          <w:kern w:val="0"/>
          <w:sz w:val="44"/>
          <w:szCs w:val="21"/>
          <w:lang w:val="en-US" w:eastAsia="zh-CN" w:bidi="ar"/>
          <w:woUserID w:val="5"/>
        </w:rPr>
        <w:t>西 交 利 物 浦 大 学</w:t>
      </w:r>
    </w:p>
    <w:p w14:paraId="4D48AC08">
      <w:pPr>
        <w:keepNext w:val="0"/>
        <w:keepLines w:val="0"/>
        <w:widowControl/>
        <w:suppressLineNumbers w:val="0"/>
        <w:spacing w:before="0" w:beforeAutospacing="0" w:after="150" w:afterAutospacing="0" w:line="240" w:lineRule="auto"/>
        <w:ind w:left="0" w:leftChars="0" w:right="0" w:firstLine="0" w:firstLineChars="0"/>
        <w:jc w:val="center"/>
        <w:rPr>
          <w:sz w:val="21"/>
          <w:szCs w:val="24"/>
          <w:lang w:val="en-US"/>
          <w:woUserID w:val="5"/>
        </w:rPr>
      </w:pPr>
      <w:r>
        <w:rPr>
          <w:rFonts w:hint="default" w:ascii="Arial" w:hAnsi="Arial" w:eastAsia="Arial" w:cs="Arial"/>
          <w:color w:val="000000"/>
          <w:kern w:val="0"/>
          <w:sz w:val="28"/>
          <w:szCs w:val="20"/>
          <w:lang w:val="en-US" w:eastAsia="zh-CN" w:bidi="ar"/>
          <w:woUserID w:val="5"/>
        </w:rPr>
        <w:t>COURSEWORK SUBMISSION COVER SHEET</w:t>
      </w:r>
    </w:p>
    <w:tbl>
      <w:tblPr>
        <w:tblStyle w:val="23"/>
        <w:tblW w:w="9072"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5" w:type="dxa"/>
          <w:bottom w:w="0" w:type="dxa"/>
          <w:right w:w="33" w:type="dxa"/>
        </w:tblCellMar>
      </w:tblPr>
      <w:tblGrid>
        <w:gridCol w:w="1893"/>
        <w:gridCol w:w="2125"/>
        <w:gridCol w:w="2526"/>
        <w:gridCol w:w="2528"/>
      </w:tblGrid>
      <w:tr w14:paraId="34AD9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33" w:type="dxa"/>
          </w:tblCellMar>
        </w:tblPrEx>
        <w:trPr>
          <w:trHeight w:val="374"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2240EDE0">
            <w:pPr>
              <w:keepNext w:val="0"/>
              <w:keepLines w:val="0"/>
              <w:widowControl/>
              <w:suppressLineNumbers w:val="0"/>
              <w:spacing w:before="0" w:beforeAutospacing="0" w:after="0" w:afterAutospacing="0" w:line="256" w:lineRule="auto"/>
              <w:ind w:left="108" w:right="0" w:firstLine="0"/>
              <w:jc w:val="center"/>
              <w:rPr>
                <w:rFonts w:hint="default"/>
                <w:sz w:val="21"/>
                <w:szCs w:val="24"/>
                <w:lang w:val="en-US"/>
                <w:woUserID w:val="5"/>
              </w:rPr>
            </w:pPr>
            <w:r>
              <w:rPr>
                <w:rFonts w:hint="default" w:ascii="Verdana" w:hAnsi="Verdana" w:eastAsia="Verdana" w:cs="Verdana"/>
                <w:color w:val="000000"/>
                <w:kern w:val="0"/>
                <w:sz w:val="20"/>
                <w:szCs w:val="22"/>
                <w:lang w:val="en-US" w:eastAsia="zh-CN" w:bidi="ar"/>
                <w:woUserID w:val="5"/>
              </w:rPr>
              <w:t xml:space="preserve">Name </w:t>
            </w:r>
          </w:p>
        </w:tc>
        <w:tc>
          <w:tcPr>
            <w:tcW w:w="1171"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5F828045">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eastAsia" w:ascii="Verdana" w:hAnsi="Verdana" w:eastAsia="Verdana" w:cs="Verdana"/>
                <w:color w:val="000000"/>
                <w:kern w:val="0"/>
                <w:sz w:val="20"/>
                <w:szCs w:val="22"/>
                <w:lang w:val="en-US" w:eastAsia="zh" w:bidi="ar"/>
                <w:woUserID w:val="5"/>
              </w:rPr>
              <w:t>Ying Huang</w:t>
            </w:r>
            <w:r>
              <w:rPr>
                <w:rFonts w:hint="default" w:ascii="Verdana" w:hAnsi="Verdana" w:eastAsia="Verdana" w:cs="Verdana"/>
                <w:color w:val="000000"/>
                <w:kern w:val="0"/>
                <w:sz w:val="20"/>
                <w:szCs w:val="22"/>
                <w:lang w:val="en-US" w:eastAsia="zh-CN" w:bidi="ar"/>
                <w:woUserID w:val="5"/>
              </w:rPr>
              <w:t xml:space="preserve"> </w:t>
            </w:r>
          </w:p>
        </w:tc>
        <w:tc>
          <w:tcPr>
            <w:tcW w:w="1392"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21D5C5ED">
            <w:pPr>
              <w:keepNext w:val="0"/>
              <w:keepLines w:val="0"/>
              <w:widowControl/>
              <w:suppressLineNumbers w:val="0"/>
              <w:spacing w:before="0" w:beforeAutospacing="0" w:after="0" w:afterAutospacing="0" w:line="256" w:lineRule="auto"/>
              <w:ind w:left="108" w:right="0" w:firstLine="0"/>
              <w:jc w:val="center"/>
              <w:rPr>
                <w:rFonts w:hint="default"/>
                <w:sz w:val="21"/>
                <w:szCs w:val="24"/>
                <w:lang w:val="en-US"/>
                <w:woUserID w:val="1"/>
              </w:rPr>
            </w:pPr>
            <w:r>
              <w:rPr>
                <w:rFonts w:hint="default" w:ascii="Verdana" w:hAnsi="Verdana" w:eastAsia="Verdana" w:cs="Verdana"/>
                <w:color w:val="000000"/>
                <w:kern w:val="0"/>
                <w:sz w:val="20"/>
                <w:szCs w:val="22"/>
                <w:lang w:val="en-US" w:eastAsia="zh-CN" w:bidi="ar"/>
                <w:woUserID w:val="5"/>
              </w:rPr>
              <w:t>Student Number</w:t>
            </w:r>
          </w:p>
        </w:tc>
        <w:tc>
          <w:tcPr>
            <w:tcW w:w="139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4D9F36E1">
            <w:pPr>
              <w:keepNext w:val="0"/>
              <w:keepLines w:val="0"/>
              <w:widowControl/>
              <w:suppressLineNumbers w:val="0"/>
              <w:spacing w:before="0" w:beforeAutospacing="0" w:after="0" w:afterAutospacing="0" w:line="256" w:lineRule="auto"/>
              <w:ind w:left="108" w:right="0" w:firstLine="0"/>
              <w:jc w:val="center"/>
              <w:rPr>
                <w:rFonts w:hint="eastAsia" w:ascii="Verdana" w:hAnsi="Verdana" w:eastAsia="Verdana" w:cs="Verdana"/>
                <w:color w:val="000000"/>
                <w:kern w:val="0"/>
                <w:sz w:val="20"/>
                <w:szCs w:val="22"/>
                <w:lang w:val="en-US" w:eastAsia="zh" w:bidi="ar"/>
                <w:woUserID w:val="5"/>
              </w:rPr>
            </w:pPr>
            <w:r>
              <w:rPr>
                <w:rFonts w:hint="eastAsia" w:ascii="Verdana" w:hAnsi="Verdana" w:eastAsia="Verdana" w:cs="Verdana"/>
                <w:color w:val="000000"/>
                <w:kern w:val="0"/>
                <w:sz w:val="20"/>
                <w:szCs w:val="22"/>
                <w:lang w:val="en-US" w:eastAsia="zh" w:bidi="ar"/>
                <w:woUserID w:val="5"/>
              </w:rPr>
              <w:t>2253303</w:t>
            </w:r>
          </w:p>
        </w:tc>
      </w:tr>
      <w:tr w14:paraId="655CC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33" w:type="dxa"/>
          </w:tblCellMar>
        </w:tblPrEx>
        <w:trPr>
          <w:trHeight w:val="374"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4D74570C">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CN" w:bidi="ar"/>
                <w:woUserID w:val="5"/>
              </w:rPr>
              <w:t>Name</w:t>
            </w:r>
          </w:p>
        </w:tc>
        <w:tc>
          <w:tcPr>
            <w:tcW w:w="1171"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4177F9FC">
            <w:pPr>
              <w:keepNext w:val="0"/>
              <w:keepLines w:val="0"/>
              <w:widowControl/>
              <w:suppressLineNumbers w:val="0"/>
              <w:spacing w:before="0" w:beforeAutospacing="0" w:after="0" w:afterAutospacing="0" w:line="256" w:lineRule="auto"/>
              <w:ind w:left="108" w:right="0" w:firstLine="0"/>
              <w:jc w:val="center"/>
              <w:rPr>
                <w:rFonts w:hint="eastAsia" w:ascii="Verdana" w:hAnsi="Verdana" w:eastAsia="Verdana" w:cs="Verdana"/>
                <w:color w:val="000000"/>
                <w:kern w:val="0"/>
                <w:sz w:val="20"/>
                <w:szCs w:val="22"/>
                <w:lang w:val="en-US" w:eastAsia="zh" w:bidi="ar"/>
                <w:woUserID w:val="5"/>
              </w:rPr>
            </w:pPr>
            <w:r>
              <w:rPr>
                <w:rFonts w:hint="eastAsia" w:ascii="Verdana" w:hAnsi="Verdana" w:eastAsia="Verdana" w:cs="Verdana"/>
                <w:color w:val="000000"/>
                <w:kern w:val="0"/>
                <w:sz w:val="20"/>
                <w:szCs w:val="22"/>
                <w:lang w:val="en-US" w:eastAsia="zh" w:bidi="ar"/>
                <w:woUserID w:val="5"/>
              </w:rPr>
              <w:t>Xingjian Lu</w:t>
            </w:r>
          </w:p>
        </w:tc>
        <w:tc>
          <w:tcPr>
            <w:tcW w:w="1392"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1FE878C8">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1"/>
              </w:rPr>
            </w:pPr>
            <w:r>
              <w:rPr>
                <w:rFonts w:hint="default" w:ascii="Verdana" w:hAnsi="Verdana" w:eastAsia="Verdana" w:cs="Verdana"/>
                <w:color w:val="000000"/>
                <w:kern w:val="0"/>
                <w:sz w:val="20"/>
                <w:szCs w:val="22"/>
                <w:lang w:val="en-US" w:eastAsia="zh-CN" w:bidi="ar"/>
                <w:woUserID w:val="5"/>
              </w:rPr>
              <w:t>Student Number</w:t>
            </w:r>
          </w:p>
        </w:tc>
        <w:tc>
          <w:tcPr>
            <w:tcW w:w="139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1F8D2E5D">
            <w:pPr>
              <w:keepNext w:val="0"/>
              <w:keepLines w:val="0"/>
              <w:widowControl/>
              <w:suppressLineNumbers w:val="0"/>
              <w:spacing w:before="0" w:beforeAutospacing="0" w:after="0" w:afterAutospacing="0" w:line="256" w:lineRule="auto"/>
              <w:ind w:left="108" w:right="0" w:firstLine="0"/>
              <w:jc w:val="center"/>
              <w:rPr>
                <w:rFonts w:hint="eastAsia" w:ascii="Verdana" w:hAnsi="Verdana" w:eastAsia="Verdana" w:cs="Verdana"/>
                <w:color w:val="000000"/>
                <w:kern w:val="0"/>
                <w:sz w:val="20"/>
                <w:szCs w:val="22"/>
                <w:lang w:val="en-US" w:eastAsia="zh" w:bidi="ar"/>
                <w:woUserID w:val="7"/>
              </w:rPr>
            </w:pPr>
            <w:r>
              <w:rPr>
                <w:rFonts w:hint="eastAsia" w:ascii="Verdana" w:hAnsi="Verdana" w:eastAsia="Verdana" w:cs="Verdana"/>
                <w:color w:val="000000"/>
                <w:kern w:val="0"/>
                <w:sz w:val="20"/>
                <w:szCs w:val="22"/>
                <w:lang w:val="en-US" w:eastAsia="zh" w:bidi="ar"/>
                <w:woUserID w:val="7"/>
              </w:rPr>
              <w:t>2251737</w:t>
            </w:r>
          </w:p>
        </w:tc>
      </w:tr>
      <w:tr w14:paraId="0CE1D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33" w:type="dxa"/>
          </w:tblCellMar>
        </w:tblPrEx>
        <w:trPr>
          <w:trHeight w:val="374"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5A089C53">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CN" w:bidi="ar"/>
                <w:woUserID w:val="5"/>
              </w:rPr>
              <w:t>Name</w:t>
            </w:r>
          </w:p>
        </w:tc>
        <w:tc>
          <w:tcPr>
            <w:tcW w:w="1171"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2FA81781">
            <w:pPr>
              <w:keepNext w:val="0"/>
              <w:keepLines w:val="0"/>
              <w:widowControl/>
              <w:suppressLineNumbers w:val="0"/>
              <w:spacing w:before="0" w:beforeAutospacing="0" w:after="0" w:afterAutospacing="0" w:line="256" w:lineRule="auto"/>
              <w:ind w:left="108" w:right="0" w:firstLine="0"/>
              <w:jc w:val="center"/>
              <w:rPr>
                <w:rFonts w:hint="eastAsia" w:ascii="Verdana" w:hAnsi="Verdana" w:eastAsia="Verdana" w:cs="Verdana"/>
                <w:color w:val="000000"/>
                <w:kern w:val="0"/>
                <w:sz w:val="20"/>
                <w:szCs w:val="22"/>
                <w:lang w:val="en-US" w:eastAsia="zh" w:bidi="ar"/>
                <w:woUserID w:val="5"/>
              </w:rPr>
            </w:pPr>
            <w:r>
              <w:rPr>
                <w:rFonts w:hint="eastAsia" w:ascii="Verdana" w:hAnsi="Verdana" w:eastAsia="Verdana" w:cs="Verdana"/>
                <w:color w:val="000000"/>
                <w:kern w:val="0"/>
                <w:sz w:val="20"/>
                <w:szCs w:val="22"/>
                <w:lang w:val="en-US" w:eastAsia="zh" w:bidi="ar"/>
                <w:woUserID w:val="5"/>
              </w:rPr>
              <w:t>Wangyu Li</w:t>
            </w:r>
          </w:p>
        </w:tc>
        <w:tc>
          <w:tcPr>
            <w:tcW w:w="1392"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2881FDE5">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1"/>
              </w:rPr>
            </w:pPr>
            <w:r>
              <w:rPr>
                <w:rFonts w:hint="default" w:ascii="Verdana" w:hAnsi="Verdana" w:eastAsia="Verdana" w:cs="Verdana"/>
                <w:color w:val="000000"/>
                <w:kern w:val="0"/>
                <w:sz w:val="20"/>
                <w:szCs w:val="22"/>
                <w:lang w:val="en-US" w:eastAsia="zh-CN" w:bidi="ar"/>
                <w:woUserID w:val="5"/>
              </w:rPr>
              <w:t>Student Number</w:t>
            </w:r>
          </w:p>
        </w:tc>
        <w:tc>
          <w:tcPr>
            <w:tcW w:w="139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01210849">
            <w:pPr>
              <w:keepNext w:val="0"/>
              <w:keepLines w:val="0"/>
              <w:widowControl/>
              <w:suppressLineNumbers w:val="0"/>
              <w:spacing w:before="0" w:beforeAutospacing="0" w:after="0" w:afterAutospacing="0" w:line="256" w:lineRule="auto"/>
              <w:ind w:left="108" w:right="0" w:firstLine="0"/>
              <w:jc w:val="center"/>
              <w:rPr>
                <w:rFonts w:hint="eastAsia" w:ascii="Verdana" w:hAnsi="Verdana" w:eastAsia="Verdana" w:cs="Verdana"/>
                <w:color w:val="000000"/>
                <w:kern w:val="0"/>
                <w:sz w:val="20"/>
                <w:szCs w:val="22"/>
                <w:lang w:val="en-US" w:eastAsia="zh" w:bidi="ar"/>
                <w:woUserID w:val="6"/>
              </w:rPr>
            </w:pPr>
            <w:r>
              <w:rPr>
                <w:rFonts w:hint="eastAsia" w:ascii="Verdana" w:hAnsi="Verdana" w:eastAsia="Verdana" w:cs="Verdana"/>
                <w:color w:val="000000"/>
                <w:kern w:val="0"/>
                <w:sz w:val="20"/>
                <w:szCs w:val="22"/>
                <w:lang w:val="en-US" w:eastAsia="zh" w:bidi="ar"/>
                <w:woUserID w:val="6"/>
              </w:rPr>
              <w:t>2252341</w:t>
            </w:r>
          </w:p>
        </w:tc>
      </w:tr>
      <w:tr w14:paraId="7BC82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33" w:type="dxa"/>
          </w:tblCellMar>
        </w:tblPrEx>
        <w:trPr>
          <w:trHeight w:val="374"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3338FE8F">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CN" w:bidi="ar"/>
                <w:woUserID w:val="5"/>
              </w:rPr>
              <w:t>Name</w:t>
            </w:r>
          </w:p>
        </w:tc>
        <w:tc>
          <w:tcPr>
            <w:tcW w:w="1171"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38EB3C66">
            <w:pPr>
              <w:keepNext w:val="0"/>
              <w:keepLines w:val="0"/>
              <w:widowControl/>
              <w:suppressLineNumbers w:val="0"/>
              <w:spacing w:before="0" w:beforeAutospacing="0" w:after="0" w:afterAutospacing="0" w:line="256" w:lineRule="auto"/>
              <w:ind w:left="108" w:right="0" w:firstLine="0"/>
              <w:jc w:val="center"/>
              <w:rPr>
                <w:rFonts w:hint="eastAsia" w:ascii="Verdana" w:hAnsi="Verdana" w:eastAsia="Verdana" w:cs="Verdana"/>
                <w:color w:val="000000"/>
                <w:kern w:val="0"/>
                <w:sz w:val="20"/>
                <w:szCs w:val="22"/>
                <w:lang w:val="en-US" w:eastAsia="zh" w:bidi="ar"/>
                <w:woUserID w:val="5"/>
              </w:rPr>
            </w:pPr>
            <w:r>
              <w:rPr>
                <w:rFonts w:hint="eastAsia" w:ascii="Verdana" w:hAnsi="Verdana" w:eastAsia="Verdana" w:cs="Verdana"/>
                <w:color w:val="000000"/>
                <w:kern w:val="0"/>
                <w:sz w:val="20"/>
                <w:szCs w:val="22"/>
                <w:lang w:val="en-US" w:eastAsia="zh" w:bidi="ar"/>
                <w:woUserID w:val="5"/>
              </w:rPr>
              <w:t>Yidi Tang</w:t>
            </w:r>
          </w:p>
        </w:tc>
        <w:tc>
          <w:tcPr>
            <w:tcW w:w="1392"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0415032F">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CN" w:bidi="ar"/>
                <w:woUserID w:val="5"/>
              </w:rPr>
              <w:t>Student Number</w:t>
            </w:r>
          </w:p>
        </w:tc>
        <w:tc>
          <w:tcPr>
            <w:tcW w:w="139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6478A4A4">
            <w:pPr>
              <w:keepNext w:val="0"/>
              <w:keepLines w:val="0"/>
              <w:widowControl/>
              <w:suppressLineNumbers w:val="0"/>
              <w:spacing w:before="0" w:beforeAutospacing="0" w:after="0" w:afterAutospacing="0" w:line="256" w:lineRule="auto"/>
              <w:ind w:left="108" w:right="0" w:firstLine="0"/>
              <w:jc w:val="center"/>
              <w:rPr>
                <w:rFonts w:hint="eastAsia" w:ascii="Verdana" w:hAnsi="Verdana" w:eastAsia="Verdana" w:cs="Verdana"/>
                <w:color w:val="000000"/>
                <w:kern w:val="0"/>
                <w:sz w:val="20"/>
                <w:szCs w:val="22"/>
                <w:lang w:val="en-US" w:eastAsia="zh" w:bidi="ar"/>
                <w:woUserID w:val="3"/>
              </w:rPr>
            </w:pPr>
            <w:r>
              <w:rPr>
                <w:rFonts w:hint="eastAsia" w:ascii="Verdana" w:hAnsi="Verdana" w:eastAsia="Verdana" w:cs="Verdana"/>
                <w:color w:val="000000"/>
                <w:kern w:val="0"/>
                <w:sz w:val="20"/>
                <w:szCs w:val="22"/>
                <w:lang w:val="en-US" w:eastAsia="zh" w:bidi="ar"/>
                <w:woUserID w:val="3"/>
              </w:rPr>
              <w:t>2252681</w:t>
            </w:r>
          </w:p>
        </w:tc>
      </w:tr>
      <w:tr w14:paraId="2CA12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33" w:type="dxa"/>
          </w:tblCellMar>
        </w:tblPrEx>
        <w:trPr>
          <w:trHeight w:val="374"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311518D6">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CN" w:bidi="ar"/>
                <w:woUserID w:val="5"/>
              </w:rPr>
              <w:t>Name</w:t>
            </w:r>
          </w:p>
        </w:tc>
        <w:tc>
          <w:tcPr>
            <w:tcW w:w="1171"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50303C85">
            <w:pPr>
              <w:keepNext w:val="0"/>
              <w:keepLines w:val="0"/>
              <w:widowControl/>
              <w:suppressLineNumbers w:val="0"/>
              <w:spacing w:before="0" w:beforeAutospacing="0" w:after="0" w:afterAutospacing="0" w:line="256" w:lineRule="auto"/>
              <w:ind w:left="108" w:right="0" w:firstLine="0"/>
              <w:jc w:val="center"/>
              <w:rPr>
                <w:rFonts w:hint="eastAsia" w:ascii="Verdana" w:hAnsi="Verdana" w:eastAsia="Verdana" w:cs="Verdana"/>
                <w:color w:val="000000"/>
                <w:kern w:val="0"/>
                <w:sz w:val="20"/>
                <w:szCs w:val="22"/>
                <w:lang w:val="en-US" w:eastAsia="zh" w:bidi="ar"/>
                <w:woUserID w:val="5"/>
              </w:rPr>
            </w:pPr>
            <w:r>
              <w:rPr>
                <w:rFonts w:hint="eastAsia" w:ascii="Verdana" w:hAnsi="Verdana" w:eastAsia="Verdana" w:cs="Verdana"/>
                <w:color w:val="000000"/>
                <w:kern w:val="0"/>
                <w:sz w:val="20"/>
                <w:szCs w:val="22"/>
                <w:lang w:val="en-US" w:eastAsia="zh" w:bidi="ar"/>
                <w:woUserID w:val="5"/>
              </w:rPr>
              <w:t>Jingwei Liu</w:t>
            </w:r>
          </w:p>
        </w:tc>
        <w:tc>
          <w:tcPr>
            <w:tcW w:w="1392"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5562315D">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CN" w:bidi="ar"/>
                <w:woUserID w:val="5"/>
              </w:rPr>
              <w:t>Student Number</w:t>
            </w:r>
          </w:p>
        </w:tc>
        <w:tc>
          <w:tcPr>
            <w:tcW w:w="139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24518A48">
            <w:pPr>
              <w:keepNext w:val="0"/>
              <w:keepLines w:val="0"/>
              <w:widowControl/>
              <w:suppressLineNumbers w:val="0"/>
              <w:spacing w:before="0" w:beforeAutospacing="0" w:after="0" w:afterAutospacing="0" w:line="256" w:lineRule="auto"/>
              <w:ind w:left="108" w:right="0" w:firstLine="0"/>
              <w:jc w:val="center"/>
              <w:rPr>
                <w:rFonts w:hint="eastAsia" w:ascii="Verdana" w:hAnsi="Verdana" w:eastAsia="Verdana" w:cs="Verdana"/>
                <w:color w:val="000000"/>
                <w:kern w:val="0"/>
                <w:sz w:val="20"/>
                <w:szCs w:val="22"/>
                <w:lang w:val="en-US" w:eastAsia="zh" w:bidi="ar"/>
                <w:woUserID w:val="5"/>
              </w:rPr>
            </w:pPr>
            <w:r>
              <w:rPr>
                <w:rFonts w:hint="eastAsia" w:ascii="Verdana" w:hAnsi="Verdana" w:eastAsia="Verdana" w:cs="Verdana"/>
                <w:color w:val="000000"/>
                <w:kern w:val="0"/>
                <w:sz w:val="20"/>
                <w:szCs w:val="22"/>
                <w:lang w:val="en-US" w:eastAsia="zh" w:bidi="ar"/>
                <w:woUserID w:val="5"/>
              </w:rPr>
              <w:t>2253336</w:t>
            </w:r>
          </w:p>
        </w:tc>
      </w:tr>
      <w:tr w14:paraId="50AC8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33" w:type="dxa"/>
          </w:tblCellMar>
        </w:tblPrEx>
        <w:trPr>
          <w:trHeight w:val="374"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1141D5CD">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CN" w:bidi="ar"/>
                <w:woUserID w:val="5"/>
              </w:rPr>
              <w:t>Name</w:t>
            </w:r>
          </w:p>
        </w:tc>
        <w:tc>
          <w:tcPr>
            <w:tcW w:w="1171"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54CE3FF5">
            <w:pPr>
              <w:keepNext w:val="0"/>
              <w:keepLines w:val="0"/>
              <w:widowControl/>
              <w:suppressLineNumbers w:val="0"/>
              <w:spacing w:before="0" w:beforeAutospacing="0" w:after="0" w:afterAutospacing="0" w:line="256" w:lineRule="auto"/>
              <w:ind w:left="108" w:right="0" w:firstLine="0"/>
              <w:jc w:val="center"/>
              <w:rPr>
                <w:rFonts w:hint="eastAsia" w:ascii="Verdana" w:hAnsi="Verdana" w:eastAsia="Verdana" w:cs="Verdana"/>
                <w:color w:val="000000"/>
                <w:kern w:val="0"/>
                <w:sz w:val="20"/>
                <w:szCs w:val="22"/>
                <w:lang w:val="en-US" w:eastAsia="zh" w:bidi="ar"/>
                <w:woUserID w:val="5"/>
              </w:rPr>
            </w:pPr>
            <w:r>
              <w:rPr>
                <w:rFonts w:hint="eastAsia" w:ascii="Verdana" w:hAnsi="Verdana" w:eastAsia="Verdana" w:cs="Verdana"/>
                <w:color w:val="000000"/>
                <w:kern w:val="0"/>
                <w:sz w:val="20"/>
                <w:szCs w:val="22"/>
                <w:lang w:val="en-US" w:eastAsia="zh" w:bidi="ar"/>
                <w:woUserID w:val="5"/>
              </w:rPr>
              <w:t>Tianyu Zhou</w:t>
            </w:r>
          </w:p>
        </w:tc>
        <w:tc>
          <w:tcPr>
            <w:tcW w:w="1392"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090FC8BB">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CN" w:bidi="ar"/>
                <w:woUserID w:val="5"/>
              </w:rPr>
              <w:t>Student Number</w:t>
            </w:r>
          </w:p>
        </w:tc>
        <w:tc>
          <w:tcPr>
            <w:tcW w:w="139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610203DB">
            <w:pPr>
              <w:keepNext w:val="0"/>
              <w:keepLines w:val="0"/>
              <w:widowControl/>
              <w:suppressLineNumbers w:val="0"/>
              <w:spacing w:before="0" w:beforeAutospacing="0" w:after="0" w:afterAutospacing="0" w:line="256" w:lineRule="auto"/>
              <w:ind w:left="108" w:right="0" w:firstLine="0"/>
              <w:jc w:val="center"/>
              <w:rPr>
                <w:rFonts w:hint="eastAsia" w:ascii="Verdana" w:hAnsi="Verdana" w:eastAsia="Verdana" w:cs="Verdana"/>
                <w:color w:val="000000"/>
                <w:kern w:val="0"/>
                <w:sz w:val="20"/>
                <w:szCs w:val="22"/>
                <w:lang w:val="en-US" w:eastAsia="zh" w:bidi="ar"/>
                <w:woUserID w:val="6"/>
              </w:rPr>
            </w:pPr>
            <w:r>
              <w:rPr>
                <w:rFonts w:hint="eastAsia" w:ascii="Verdana" w:hAnsi="Verdana" w:eastAsia="Verdana" w:cs="Verdana"/>
                <w:color w:val="000000"/>
                <w:kern w:val="0"/>
                <w:sz w:val="20"/>
                <w:szCs w:val="22"/>
                <w:lang w:val="en-US" w:eastAsia="zh" w:bidi="ar"/>
                <w:woUserID w:val="6"/>
              </w:rPr>
              <w:t>2252665</w:t>
            </w:r>
          </w:p>
        </w:tc>
      </w:tr>
      <w:tr w14:paraId="4AF04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33" w:type="dxa"/>
          </w:tblCellMar>
        </w:tblPrEx>
        <w:trPr>
          <w:trHeight w:val="374"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28EAA203">
            <w:pPr>
              <w:keepNext w:val="0"/>
              <w:keepLines w:val="0"/>
              <w:widowControl/>
              <w:suppressLineNumbers w:val="0"/>
              <w:spacing w:before="0" w:beforeAutospacing="0" w:after="0" w:afterAutospacing="0" w:line="256" w:lineRule="auto"/>
              <w:ind w:left="108" w:right="0" w:firstLine="0"/>
              <w:jc w:val="center"/>
              <w:rPr>
                <w:rFonts w:hint="default"/>
                <w:sz w:val="21"/>
                <w:szCs w:val="24"/>
                <w:lang w:val="en-US"/>
                <w:woUserID w:val="5"/>
              </w:rPr>
            </w:pPr>
            <w:r>
              <w:rPr>
                <w:rFonts w:hint="default" w:ascii="Verdana" w:hAnsi="Verdana" w:eastAsia="Verdana" w:cs="Verdana"/>
                <w:color w:val="000000"/>
                <w:kern w:val="0"/>
                <w:sz w:val="20"/>
                <w:szCs w:val="22"/>
                <w:lang w:val="en-US" w:eastAsia="zh-CN" w:bidi="ar"/>
                <w:woUserID w:val="5"/>
              </w:rPr>
              <w:t xml:space="preserve">Programme </w:t>
            </w:r>
          </w:p>
        </w:tc>
        <w:tc>
          <w:tcPr>
            <w:tcW w:w="3956" w:type="pct"/>
            <w:gridSpan w:val="3"/>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209725F8">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 w:bidi="ar"/>
                <w:woUserID w:val="5"/>
              </w:rPr>
              <w:t>Accounting</w:t>
            </w:r>
          </w:p>
        </w:tc>
      </w:tr>
      <w:tr w14:paraId="5B0C3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33" w:type="dxa"/>
          </w:tblCellMar>
        </w:tblPrEx>
        <w:trPr>
          <w:trHeight w:val="372"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434393C8">
            <w:pPr>
              <w:keepNext w:val="0"/>
              <w:keepLines w:val="0"/>
              <w:widowControl/>
              <w:suppressLineNumbers w:val="0"/>
              <w:spacing w:before="0" w:beforeAutospacing="0" w:after="0" w:afterAutospacing="0" w:line="256" w:lineRule="auto"/>
              <w:ind w:left="108" w:right="0" w:firstLine="0"/>
              <w:jc w:val="center"/>
              <w:rPr>
                <w:rFonts w:hint="default"/>
                <w:sz w:val="21"/>
                <w:szCs w:val="24"/>
                <w:lang w:val="en-US"/>
                <w:woUserID w:val="5"/>
              </w:rPr>
            </w:pPr>
            <w:r>
              <w:rPr>
                <w:rFonts w:hint="default" w:ascii="Verdana" w:hAnsi="Verdana" w:eastAsia="Verdana" w:cs="Verdana"/>
                <w:color w:val="000000"/>
                <w:kern w:val="0"/>
                <w:sz w:val="20"/>
                <w:szCs w:val="22"/>
                <w:lang w:val="en-US" w:eastAsia="zh-CN" w:bidi="ar"/>
                <w:woUserID w:val="5"/>
              </w:rPr>
              <w:t xml:space="preserve">Module Title </w:t>
            </w:r>
          </w:p>
        </w:tc>
        <w:tc>
          <w:tcPr>
            <w:tcW w:w="3956" w:type="pct"/>
            <w:gridSpan w:val="3"/>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5F780919">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CN" w:bidi="ar"/>
                <w:woUserID w:val="5"/>
              </w:rPr>
              <w:t>Corporate Reporting, Analysis</w:t>
            </w:r>
          </w:p>
        </w:tc>
      </w:tr>
      <w:tr w14:paraId="32BC5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33" w:type="dxa"/>
          </w:tblCellMar>
        </w:tblPrEx>
        <w:trPr>
          <w:trHeight w:val="500"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34F5BC7D">
            <w:pPr>
              <w:keepNext w:val="0"/>
              <w:keepLines w:val="0"/>
              <w:widowControl/>
              <w:suppressLineNumbers w:val="0"/>
              <w:spacing w:before="0" w:beforeAutospacing="0" w:after="0" w:afterAutospacing="0" w:line="256" w:lineRule="auto"/>
              <w:ind w:left="108" w:right="0" w:firstLine="0"/>
              <w:jc w:val="center"/>
              <w:rPr>
                <w:rFonts w:hint="default"/>
                <w:sz w:val="21"/>
                <w:szCs w:val="24"/>
                <w:lang w:val="en-US"/>
                <w:woUserID w:val="5"/>
              </w:rPr>
            </w:pPr>
            <w:r>
              <w:rPr>
                <w:rFonts w:hint="default" w:ascii="Verdana" w:hAnsi="Verdana" w:eastAsia="Verdana" w:cs="Verdana"/>
                <w:color w:val="000000"/>
                <w:kern w:val="0"/>
                <w:sz w:val="20"/>
                <w:szCs w:val="22"/>
                <w:lang w:val="en-US" w:eastAsia="zh-CN" w:bidi="ar"/>
                <w:woUserID w:val="5"/>
              </w:rPr>
              <w:t xml:space="preserve">Module Code </w:t>
            </w:r>
          </w:p>
        </w:tc>
        <w:tc>
          <w:tcPr>
            <w:tcW w:w="3956" w:type="pct"/>
            <w:gridSpan w:val="3"/>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7C501DC1">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 w:bidi="ar"/>
                <w:woUserID w:val="5"/>
              </w:rPr>
              <w:t>ACC302</w:t>
            </w:r>
            <w:r>
              <w:rPr>
                <w:rFonts w:hint="default" w:ascii="Verdana" w:hAnsi="Verdana" w:eastAsia="Verdana" w:cs="Verdana"/>
                <w:color w:val="000000"/>
                <w:kern w:val="0"/>
                <w:sz w:val="20"/>
                <w:szCs w:val="22"/>
                <w:lang w:val="en-US" w:eastAsia="zh-CN" w:bidi="ar"/>
                <w:woUserID w:val="5"/>
              </w:rPr>
              <w:t xml:space="preserve"> </w:t>
            </w:r>
          </w:p>
        </w:tc>
      </w:tr>
      <w:tr w14:paraId="257F5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33" w:type="dxa"/>
          </w:tblCellMar>
        </w:tblPrEx>
        <w:trPr>
          <w:trHeight w:val="500"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5F4037EE">
            <w:pPr>
              <w:keepNext w:val="0"/>
              <w:keepLines w:val="0"/>
              <w:widowControl/>
              <w:suppressLineNumbers w:val="0"/>
              <w:spacing w:before="0" w:beforeAutospacing="0" w:after="0" w:afterAutospacing="0" w:line="256" w:lineRule="auto"/>
              <w:ind w:left="108" w:right="0" w:firstLine="0"/>
              <w:jc w:val="center"/>
              <w:rPr>
                <w:rFonts w:hint="default"/>
                <w:sz w:val="21"/>
                <w:szCs w:val="24"/>
                <w:lang w:val="en-US"/>
                <w:woUserID w:val="5"/>
              </w:rPr>
            </w:pPr>
            <w:r>
              <w:rPr>
                <w:rFonts w:hint="default" w:ascii="Verdana" w:hAnsi="Verdana" w:eastAsia="Verdana" w:cs="Verdana"/>
                <w:color w:val="000000"/>
                <w:kern w:val="0"/>
                <w:sz w:val="20"/>
                <w:szCs w:val="22"/>
                <w:lang w:val="en-US" w:eastAsia="zh-CN" w:bidi="ar"/>
                <w:woUserID w:val="5"/>
              </w:rPr>
              <w:t xml:space="preserve">Assignment Title </w:t>
            </w:r>
          </w:p>
        </w:tc>
        <w:tc>
          <w:tcPr>
            <w:tcW w:w="3956" w:type="pct"/>
            <w:gridSpan w:val="3"/>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52E94D2C">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CN" w:bidi="ar"/>
                <w:woUserID w:val="5"/>
              </w:rPr>
              <w:t xml:space="preserve">Financial and ESG Risk Analysis of Volkswagen, BMW and Toyota </w:t>
            </w:r>
          </w:p>
        </w:tc>
      </w:tr>
      <w:tr w14:paraId="5B14E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33" w:type="dxa"/>
          </w:tblCellMar>
        </w:tblPrEx>
        <w:trPr>
          <w:trHeight w:val="374"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6367A705">
            <w:pPr>
              <w:keepNext w:val="0"/>
              <w:keepLines w:val="0"/>
              <w:widowControl/>
              <w:suppressLineNumbers w:val="0"/>
              <w:spacing w:before="0" w:beforeAutospacing="0" w:after="0" w:afterAutospacing="0" w:line="256" w:lineRule="auto"/>
              <w:ind w:left="108" w:right="0" w:firstLine="0"/>
              <w:jc w:val="center"/>
              <w:rPr>
                <w:rFonts w:hint="default"/>
                <w:sz w:val="21"/>
                <w:szCs w:val="24"/>
                <w:lang w:val="en-US"/>
                <w:woUserID w:val="5"/>
              </w:rPr>
            </w:pPr>
            <w:r>
              <w:rPr>
                <w:rFonts w:hint="default" w:ascii="Verdana" w:hAnsi="Verdana" w:eastAsia="Verdana" w:cs="Verdana"/>
                <w:color w:val="000000"/>
                <w:kern w:val="0"/>
                <w:sz w:val="20"/>
                <w:szCs w:val="22"/>
                <w:lang w:val="en-US" w:eastAsia="zh-CN" w:bidi="ar"/>
                <w:woUserID w:val="5"/>
              </w:rPr>
              <w:t xml:space="preserve">Submission Deadline </w:t>
            </w:r>
          </w:p>
        </w:tc>
        <w:tc>
          <w:tcPr>
            <w:tcW w:w="3956" w:type="pct"/>
            <w:gridSpan w:val="3"/>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54C25253">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 w:bidi="ar"/>
                <w:woUserID w:val="5"/>
              </w:rPr>
              <w:t>Sunday, 3 May 2026, 23:59</w:t>
            </w:r>
          </w:p>
        </w:tc>
      </w:tr>
      <w:tr w14:paraId="5001F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33" w:type="dxa"/>
          </w:tblCellMar>
        </w:tblPrEx>
        <w:trPr>
          <w:trHeight w:val="500" w:hRule="atLeast"/>
        </w:trPr>
        <w:tc>
          <w:tcPr>
            <w:tcW w:w="1043"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3A294DD8">
            <w:pPr>
              <w:keepNext w:val="0"/>
              <w:keepLines w:val="0"/>
              <w:widowControl/>
              <w:suppressLineNumbers w:val="0"/>
              <w:spacing w:before="0" w:beforeAutospacing="0" w:after="0" w:afterAutospacing="0" w:line="256" w:lineRule="auto"/>
              <w:ind w:left="108" w:right="0" w:firstLine="0"/>
              <w:jc w:val="center"/>
              <w:rPr>
                <w:rFonts w:hint="default"/>
                <w:sz w:val="21"/>
                <w:szCs w:val="24"/>
                <w:lang w:val="en-US"/>
                <w:woUserID w:val="5"/>
              </w:rPr>
            </w:pPr>
            <w:r>
              <w:rPr>
                <w:rFonts w:hint="default" w:ascii="Verdana" w:hAnsi="Verdana" w:eastAsia="Verdana" w:cs="Verdana"/>
                <w:color w:val="000000"/>
                <w:kern w:val="0"/>
                <w:sz w:val="20"/>
                <w:szCs w:val="22"/>
                <w:lang w:val="en-US" w:eastAsia="zh-CN" w:bidi="ar"/>
                <w:woUserID w:val="5"/>
              </w:rPr>
              <w:t xml:space="preserve">Module Leader </w:t>
            </w:r>
          </w:p>
        </w:tc>
        <w:tc>
          <w:tcPr>
            <w:tcW w:w="3956" w:type="pct"/>
            <w:gridSpan w:val="3"/>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6AE0ED63">
            <w:pPr>
              <w:keepNext w:val="0"/>
              <w:keepLines w:val="0"/>
              <w:widowControl/>
              <w:suppressLineNumbers w:val="0"/>
              <w:spacing w:before="0" w:beforeAutospacing="0" w:after="0" w:afterAutospacing="0" w:line="256" w:lineRule="auto"/>
              <w:ind w:left="108" w:right="0" w:firstLine="0"/>
              <w:jc w:val="center"/>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 w:bidi="ar"/>
                <w:woUserID w:val="5"/>
              </w:rPr>
              <w:t>Zhiying Huang</w:t>
            </w:r>
          </w:p>
        </w:tc>
      </w:tr>
    </w:tbl>
    <w:p w14:paraId="4A9B951A">
      <w:pPr>
        <w:keepNext w:val="0"/>
        <w:keepLines w:val="0"/>
        <w:widowControl/>
        <w:suppressLineNumbers w:val="0"/>
        <w:spacing w:before="0" w:beforeAutospacing="0" w:after="86" w:afterAutospacing="0" w:line="256" w:lineRule="auto"/>
        <w:ind w:left="0" w:right="0" w:firstLine="0"/>
        <w:jc w:val="left"/>
        <w:rPr>
          <w:rFonts w:hint="default" w:ascii="Arial" w:hAnsi="Arial" w:eastAsia="Arial" w:cs="Arial"/>
          <w:color w:val="000000"/>
          <w:kern w:val="0"/>
          <w:sz w:val="21"/>
          <w:szCs w:val="22"/>
          <w:lang w:val="en-US" w:eastAsia="zh-CN" w:bidi="ar"/>
          <w:woUserID w:val="5"/>
        </w:rPr>
      </w:pPr>
      <w:r>
        <w:rPr>
          <w:rFonts w:hint="default" w:ascii="Arial" w:hAnsi="Arial" w:eastAsia="Arial" w:cs="Arial"/>
          <w:color w:val="000000"/>
          <w:kern w:val="0"/>
          <w:sz w:val="21"/>
          <w:szCs w:val="22"/>
          <w:lang w:val="en-US" w:eastAsia="zh-CN" w:bidi="ar"/>
          <w:woUserID w:val="5"/>
        </w:rPr>
        <w:t xml:space="preserve"> </w:t>
      </w:r>
    </w:p>
    <w:p w14:paraId="4A9DB6BC">
      <w:pPr>
        <w:keepNext w:val="0"/>
        <w:keepLines w:val="0"/>
        <w:widowControl/>
        <w:suppressLineNumbers w:val="0"/>
        <w:spacing w:before="0" w:beforeAutospacing="0" w:after="86" w:afterAutospacing="0" w:line="256" w:lineRule="auto"/>
        <w:ind w:left="0" w:right="0" w:firstLine="0"/>
        <w:jc w:val="left"/>
        <w:rPr>
          <w:sz w:val="20"/>
          <w:szCs w:val="20"/>
          <w:lang w:val="en-US"/>
          <w:woUserID w:val="5"/>
        </w:rPr>
      </w:pPr>
      <w:r>
        <w:rPr>
          <w:rFonts w:hint="default" w:ascii="Verdana" w:hAnsi="Verdana" w:eastAsia="Verdana" w:cs="Verdana"/>
          <w:color w:val="000000"/>
          <w:kern w:val="0"/>
          <w:sz w:val="20"/>
          <w:szCs w:val="20"/>
          <w:lang w:val="en-US" w:eastAsia="zh-CN" w:bidi="ar"/>
          <w:woUserID w:val="5"/>
        </w:rPr>
        <w:t xml:space="preserve">By uploading or submitting this coursework submission cover sheet, I certify the following: </w:t>
      </w:r>
    </w:p>
    <w:p w14:paraId="28A579F0">
      <w:pPr>
        <w:keepNext w:val="0"/>
        <w:keepLines w:val="0"/>
        <w:widowControl/>
        <w:numPr>
          <w:ilvl w:val="0"/>
          <w:numId w:val="1"/>
        </w:numPr>
        <w:suppressLineNumbers w:val="0"/>
        <w:tabs>
          <w:tab w:val="clear" w:pos="420"/>
        </w:tabs>
        <w:spacing w:before="0" w:beforeAutospacing="0" w:after="34" w:afterAutospacing="0" w:line="240" w:lineRule="auto"/>
        <w:ind w:left="420" w:leftChars="0" w:right="574" w:rightChars="0" w:hanging="420" w:firstLineChars="0"/>
        <w:jc w:val="left"/>
        <w:rPr>
          <w:sz w:val="20"/>
          <w:szCs w:val="20"/>
          <w:lang w:val="en-US"/>
          <w:woUserID w:val="5"/>
        </w:rPr>
      </w:pPr>
      <w:r>
        <w:rPr>
          <w:rFonts w:hint="default" w:ascii="Verdana" w:hAnsi="Verdana" w:eastAsia="Verdana" w:cs="Verdana"/>
          <w:color w:val="000000"/>
          <w:kern w:val="0"/>
          <w:sz w:val="20"/>
          <w:szCs w:val="20"/>
          <w:lang w:val="en-US" w:eastAsia="zh-CN" w:bidi="ar"/>
          <w:woUserID w:val="5"/>
        </w:rPr>
        <w:t xml:space="preserve">I have read and understood the definitions of collusion, copying, plagiarism, dishonest use of data, and academic offences involving Artificial Intelligence (AI) as outlined in the Academic Integrity Policy of Xi’an Jiaotong-Liverpool University. </w:t>
      </w:r>
    </w:p>
    <w:p w14:paraId="27DB037A">
      <w:pPr>
        <w:keepNext w:val="0"/>
        <w:keepLines w:val="0"/>
        <w:widowControl/>
        <w:numPr>
          <w:ilvl w:val="0"/>
          <w:numId w:val="1"/>
        </w:numPr>
        <w:suppressLineNumbers w:val="0"/>
        <w:tabs>
          <w:tab w:val="clear" w:pos="420"/>
        </w:tabs>
        <w:spacing w:before="0" w:beforeAutospacing="0" w:after="34" w:afterAutospacing="0" w:line="240" w:lineRule="auto"/>
        <w:ind w:left="420" w:leftChars="0" w:right="574" w:rightChars="0" w:hanging="420" w:firstLineChars="0"/>
        <w:jc w:val="left"/>
        <w:rPr>
          <w:sz w:val="20"/>
          <w:szCs w:val="20"/>
          <w:lang w:val="en-US"/>
          <w:woUserID w:val="5"/>
        </w:rPr>
      </w:pPr>
      <w:r>
        <w:rPr>
          <w:rFonts w:hint="default" w:ascii="Verdana" w:hAnsi="Verdana" w:eastAsia="Verdana" w:cs="Verdana"/>
          <w:color w:val="000000"/>
          <w:kern w:val="0"/>
          <w:sz w:val="20"/>
          <w:szCs w:val="20"/>
          <w:lang w:val="en-US" w:eastAsia="zh-CN" w:bidi="ar"/>
          <w:woUserID w:val="5"/>
        </w:rPr>
        <w:t xml:space="preserve">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 </w:t>
      </w:r>
    </w:p>
    <w:p w14:paraId="769F1E08">
      <w:pPr>
        <w:keepNext w:val="0"/>
        <w:keepLines w:val="0"/>
        <w:widowControl/>
        <w:numPr>
          <w:ilvl w:val="0"/>
          <w:numId w:val="1"/>
        </w:numPr>
        <w:suppressLineNumbers w:val="0"/>
        <w:tabs>
          <w:tab w:val="clear" w:pos="420"/>
        </w:tabs>
        <w:spacing w:before="0" w:beforeAutospacing="0" w:after="34" w:afterAutospacing="0" w:line="240" w:lineRule="auto"/>
        <w:ind w:left="420" w:leftChars="0" w:right="574" w:rightChars="0" w:hanging="420" w:firstLineChars="0"/>
        <w:jc w:val="left"/>
        <w:rPr>
          <w:sz w:val="20"/>
          <w:szCs w:val="20"/>
          <w:lang w:val="en-US"/>
          <w:woUserID w:val="5"/>
        </w:rPr>
      </w:pPr>
      <w:r>
        <w:rPr>
          <w:rFonts w:hint="default" w:ascii="Verdana" w:hAnsi="Verdana" w:eastAsia="Verdana" w:cs="Verdana"/>
          <w:color w:val="000000"/>
          <w:kern w:val="0"/>
          <w:sz w:val="20"/>
          <w:szCs w:val="20"/>
          <w:lang w:val="en-US" w:eastAsia="zh-CN" w:bidi="ar"/>
          <w:woUserID w:val="5"/>
        </w:rPr>
        <w:t xml:space="preserve">This work is not the product of unauthorized collaboration between myself and others. </w:t>
      </w:r>
    </w:p>
    <w:p w14:paraId="7EF5DBF3">
      <w:pPr>
        <w:keepNext w:val="0"/>
        <w:keepLines w:val="0"/>
        <w:widowControl/>
        <w:numPr>
          <w:ilvl w:val="0"/>
          <w:numId w:val="1"/>
        </w:numPr>
        <w:suppressLineNumbers w:val="0"/>
        <w:tabs>
          <w:tab w:val="clear" w:pos="420"/>
        </w:tabs>
        <w:spacing w:before="0" w:beforeAutospacing="0" w:after="0" w:afterAutospacing="0" w:line="240" w:lineRule="auto"/>
        <w:ind w:left="420" w:leftChars="0" w:right="574" w:rightChars="0" w:hanging="420" w:firstLineChars="0"/>
        <w:jc w:val="left"/>
        <w:rPr>
          <w:sz w:val="21"/>
          <w:szCs w:val="24"/>
          <w:lang w:val="en-US"/>
          <w:woUserID w:val="5"/>
        </w:rPr>
      </w:pPr>
      <w:r>
        <w:rPr>
          <w:rFonts w:hint="default" w:ascii="Verdana" w:hAnsi="Verdana" w:eastAsia="Verdana" w:cs="Verdana"/>
          <w:color w:val="000000"/>
          <w:kern w:val="0"/>
          <w:sz w:val="20"/>
          <w:szCs w:val="20"/>
          <w:lang w:val="en-US" w:eastAsia="zh-CN" w:bidi="ar"/>
          <w:woUserID w:val="5"/>
        </w:rPr>
        <w:t xml:space="preserve">This work is free of embellished or fabricated data. </w:t>
      </w:r>
    </w:p>
    <w:p w14:paraId="42304309">
      <w:pPr>
        <w:keepNext w:val="0"/>
        <w:keepLines w:val="0"/>
        <w:widowControl/>
        <w:numPr>
          <w:ilvl w:val="0"/>
          <w:numId w:val="0"/>
        </w:numPr>
        <w:suppressLineNumbers w:val="0"/>
        <w:spacing w:before="0" w:beforeAutospacing="0" w:after="0" w:afterAutospacing="0" w:line="240" w:lineRule="auto"/>
        <w:ind w:leftChars="0" w:right="574" w:rightChars="0"/>
        <w:jc w:val="left"/>
        <w:rPr>
          <w:sz w:val="21"/>
          <w:szCs w:val="24"/>
          <w:lang w:val="en-US"/>
          <w:woUserID w:val="5"/>
        </w:rPr>
      </w:pPr>
    </w:p>
    <w:p w14:paraId="6B301A70">
      <w:pPr>
        <w:keepNext w:val="0"/>
        <w:keepLines w:val="0"/>
        <w:widowControl/>
        <w:suppressLineNumbers w:val="0"/>
        <w:spacing w:before="0" w:beforeAutospacing="0" w:after="34" w:afterAutospacing="0" w:line="240" w:lineRule="auto"/>
        <w:ind w:left="338" w:right="104" w:firstLine="0"/>
        <w:jc w:val="left"/>
        <w:rPr>
          <w:rFonts w:hint="default" w:ascii="Verdana" w:hAnsi="Verdana" w:eastAsia="Verdana" w:cs="Verdana"/>
          <w:color w:val="000000"/>
          <w:kern w:val="0"/>
          <w:sz w:val="20"/>
          <w:szCs w:val="22"/>
          <w:lang w:val="en-US" w:eastAsia="zh-CN" w:bidi="ar"/>
          <w:woUserID w:val="5"/>
        </w:rPr>
      </w:pPr>
      <w:r>
        <w:rPr>
          <w:rFonts w:hint="default" w:ascii="Verdana" w:hAnsi="Verdana" w:eastAsia="Verdana" w:cs="Verdana"/>
          <w:color w:val="000000"/>
          <w:kern w:val="0"/>
          <w:sz w:val="20"/>
          <w:szCs w:val="22"/>
          <w:lang w:val="en-US" w:eastAsia="zh-CN" w:bidi="ar"/>
          <w:woUserID w:val="5"/>
        </w:rPr>
        <w:t>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committed such acts.</w:t>
      </w:r>
    </w:p>
    <w:p w14:paraId="1D8145F5">
      <w:pPr>
        <w:keepNext w:val="0"/>
        <w:keepLines w:val="0"/>
        <w:widowControl/>
        <w:suppressLineNumbers w:val="0"/>
        <w:spacing w:before="0" w:beforeAutospacing="0" w:after="34" w:afterAutospacing="0" w:line="240" w:lineRule="auto"/>
        <w:ind w:left="338" w:right="104" w:firstLine="0"/>
        <w:jc w:val="left"/>
        <w:rPr>
          <w:rFonts w:hint="default" w:ascii="Verdana" w:hAnsi="Verdana" w:eastAsia="Verdana" w:cs="Verdana"/>
          <w:color w:val="000000"/>
          <w:kern w:val="0"/>
          <w:sz w:val="18"/>
          <w:szCs w:val="21"/>
          <w:lang w:val="en-US" w:eastAsia="zh-CN" w:bidi="ar"/>
          <w:woUserID w:val="5"/>
        </w:rPr>
      </w:pPr>
    </w:p>
    <w:p w14:paraId="41EC4C9A">
      <w:pPr>
        <w:keepNext w:val="0"/>
        <w:keepLines w:val="0"/>
        <w:widowControl/>
        <w:suppressLineNumbers w:val="0"/>
        <w:tabs>
          <w:tab w:val="center" w:pos="2001"/>
          <w:tab w:val="center" w:pos="7201"/>
        </w:tabs>
        <w:spacing w:before="0" w:beforeAutospacing="0" w:after="0" w:afterAutospacing="0" w:line="256" w:lineRule="auto"/>
        <w:ind w:left="0" w:right="0" w:firstLine="0"/>
        <w:jc w:val="left"/>
        <w:rPr>
          <w:rFonts w:hint="default" w:ascii="Verdana" w:hAnsi="Verdana" w:eastAsia="Verdana" w:cs="Verdana"/>
          <w:i w:val="0"/>
          <w:iCs w:val="0"/>
          <w:color w:val="000000"/>
          <w:kern w:val="0"/>
          <w:sz w:val="22"/>
          <w:szCs w:val="22"/>
          <w:lang w:val="en-US" w:eastAsia="zh-CN" w:bidi="ar"/>
          <w:woUserID w:val="5"/>
        </w:rPr>
      </w:pPr>
      <w:r>
        <w:rPr>
          <w:rFonts w:hint="default" w:ascii="Verdana" w:hAnsi="Verdana" w:eastAsia="Verdana" w:cs="Verdana"/>
          <w:color w:val="000000"/>
          <w:kern w:val="0"/>
          <w:sz w:val="22"/>
          <w:szCs w:val="22"/>
          <w:lang w:val="en-US" w:eastAsia="zh-CN" w:bidi="ar"/>
          <w:woUserID w:val="5"/>
        </w:rPr>
        <w:t xml:space="preserve">Signature ………Ying Huang………… </w:t>
      </w:r>
      <w:r>
        <w:rPr>
          <w:rFonts w:hint="default" w:ascii="Verdana" w:hAnsi="Verdana" w:eastAsia="Verdana" w:cs="Verdana"/>
          <w:color w:val="000000"/>
          <w:kern w:val="0"/>
          <w:sz w:val="22"/>
          <w:szCs w:val="22"/>
          <w:lang w:val="en-US" w:eastAsia="zh-CN" w:bidi="ar"/>
          <w:woUserID w:val="5"/>
        </w:rPr>
        <w:tab/>
      </w:r>
      <w:r>
        <w:rPr>
          <w:rFonts w:hint="default" w:ascii="Verdana" w:hAnsi="Verdana" w:eastAsia="Verdana" w:cs="Verdana"/>
          <w:color w:val="000000"/>
          <w:kern w:val="0"/>
          <w:sz w:val="22"/>
          <w:szCs w:val="22"/>
          <w:lang w:val="en-US" w:eastAsia="zh-CN" w:bidi="ar"/>
          <w:woUserID w:val="5"/>
        </w:rPr>
        <w:t>Date ……</w:t>
      </w:r>
      <w:r>
        <w:rPr>
          <w:rFonts w:hint="default" w:ascii="Verdana" w:hAnsi="Verdana" w:eastAsia="Verdana" w:cs="Verdana"/>
          <w:i/>
          <w:iCs w:val="0"/>
          <w:color w:val="000000"/>
          <w:kern w:val="0"/>
          <w:sz w:val="22"/>
          <w:szCs w:val="22"/>
          <w:lang w:val="en-US" w:eastAsia="zh-CN" w:bidi="ar"/>
          <w:woUserID w:val="5"/>
        </w:rPr>
        <w:t>…</w:t>
      </w:r>
      <w:r>
        <w:rPr>
          <w:rFonts w:hint="default" w:ascii="Verdana" w:hAnsi="Verdana" w:eastAsia="Verdana" w:cs="Verdana"/>
          <w:i w:val="0"/>
          <w:iCs w:val="0"/>
          <w:color w:val="000000"/>
          <w:kern w:val="0"/>
          <w:sz w:val="22"/>
          <w:szCs w:val="22"/>
          <w:lang w:val="en-US" w:eastAsia="zh-CN" w:bidi="ar"/>
          <w:woUserID w:val="5"/>
        </w:rPr>
        <w:t>…</w:t>
      </w:r>
      <w:r>
        <w:rPr>
          <w:rFonts w:hint="eastAsia" w:ascii="Verdana" w:hAnsi="Verdana" w:eastAsia="Verdana" w:cs="Verdana"/>
          <w:i w:val="0"/>
          <w:iCs w:val="0"/>
          <w:color w:val="000000"/>
          <w:kern w:val="0"/>
          <w:sz w:val="22"/>
          <w:szCs w:val="22"/>
          <w:lang w:val="en-US" w:eastAsia="zh" w:bidi="ar"/>
          <w:woUserID w:val="5"/>
        </w:rPr>
        <w:t>2026/5/3</w:t>
      </w:r>
      <w:r>
        <w:rPr>
          <w:rFonts w:hint="default" w:ascii="Verdana" w:hAnsi="Verdana" w:eastAsia="Verdana" w:cs="Verdana"/>
          <w:i w:val="0"/>
          <w:iCs w:val="0"/>
          <w:color w:val="000000"/>
          <w:kern w:val="0"/>
          <w:sz w:val="22"/>
          <w:szCs w:val="22"/>
          <w:lang w:val="en-US" w:eastAsia="zh-CN" w:bidi="ar"/>
          <w:woUserID w:val="5"/>
        </w:rPr>
        <w:t xml:space="preserve">……………………… </w:t>
      </w:r>
    </w:p>
    <w:p w14:paraId="69DF3A77">
      <w:pPr>
        <w:keepNext w:val="0"/>
        <w:keepLines w:val="0"/>
        <w:widowControl/>
        <w:suppressLineNumbers w:val="0"/>
        <w:tabs>
          <w:tab w:val="center" w:pos="2001"/>
          <w:tab w:val="center" w:pos="7201"/>
        </w:tabs>
        <w:spacing w:before="0" w:beforeAutospacing="0" w:after="0" w:afterAutospacing="0" w:line="256" w:lineRule="auto"/>
        <w:ind w:left="0" w:right="0" w:firstLine="0"/>
        <w:jc w:val="left"/>
        <w:rPr>
          <w:rFonts w:hint="default" w:ascii="Calibri" w:hAnsi="Calibri" w:eastAsia="Calibri" w:cs="Calibri"/>
          <w:i w:val="0"/>
          <w:iCs w:val="0"/>
          <w:color w:val="000000"/>
          <w:kern w:val="0"/>
          <w:sz w:val="22"/>
          <w:szCs w:val="22"/>
          <w:lang w:val="en-US" w:eastAsia="zh-CN" w:bidi="ar"/>
          <w:woUserID w:val="5"/>
        </w:rPr>
      </w:pPr>
      <w:r>
        <w:rPr>
          <w:rFonts w:hint="default" w:ascii="Calibri" w:hAnsi="Calibri" w:eastAsia="Calibri" w:cs="Calibri"/>
          <w:i w:val="0"/>
          <w:iCs w:val="0"/>
          <w:color w:val="000000"/>
          <w:kern w:val="0"/>
          <w:sz w:val="22"/>
          <w:szCs w:val="22"/>
          <w:lang w:val="en-US" w:eastAsia="zh-CN" w:bidi="ar"/>
          <w:woUserID w:val="5"/>
        </w:rPr>
        <w:tab/>
      </w:r>
    </w:p>
    <w:p w14:paraId="682B2153">
      <w:pPr>
        <w:keepNext w:val="0"/>
        <w:keepLines w:val="0"/>
        <w:widowControl/>
        <w:suppressLineNumbers w:val="0"/>
        <w:tabs>
          <w:tab w:val="center" w:pos="2001"/>
          <w:tab w:val="center" w:pos="7201"/>
        </w:tabs>
        <w:spacing w:before="0" w:beforeAutospacing="0" w:after="0" w:afterAutospacing="0" w:line="256" w:lineRule="auto"/>
        <w:ind w:left="0" w:right="0" w:firstLine="0"/>
        <w:jc w:val="left"/>
        <w:rPr>
          <w:rFonts w:hint="default" w:ascii="Verdana" w:hAnsi="Verdana" w:eastAsia="Verdana" w:cs="Verdana"/>
          <w:i w:val="0"/>
          <w:iCs w:val="0"/>
          <w:color w:val="000000"/>
          <w:kern w:val="0"/>
          <w:sz w:val="22"/>
          <w:szCs w:val="22"/>
          <w:lang w:val="en-US" w:eastAsia="zh-CN" w:bidi="ar"/>
          <w:woUserID w:val="5"/>
        </w:rPr>
      </w:pPr>
      <w:r>
        <w:rPr>
          <w:rFonts w:hint="default" w:ascii="Verdana" w:hAnsi="Verdana" w:eastAsia="Verdana" w:cs="Verdana"/>
          <w:i w:val="0"/>
          <w:iCs w:val="0"/>
          <w:color w:val="000000"/>
          <w:kern w:val="0"/>
          <w:sz w:val="22"/>
          <w:szCs w:val="22"/>
          <w:lang w:val="en-US" w:eastAsia="zh-CN" w:bidi="ar"/>
          <w:woUserID w:val="5"/>
        </w:rPr>
        <w:t>Signature ………</w:t>
      </w:r>
      <w:r>
        <w:rPr>
          <w:rFonts w:hint="eastAsia" w:ascii="Verdana" w:hAnsi="Verdana" w:eastAsia="Verdana" w:cs="Verdana"/>
          <w:i w:val="0"/>
          <w:iCs w:val="0"/>
          <w:color w:val="000000"/>
          <w:kern w:val="0"/>
          <w:sz w:val="22"/>
          <w:szCs w:val="22"/>
          <w:lang w:val="en-US" w:eastAsia="zh" w:bidi="ar"/>
          <w:woUserID w:val="5"/>
        </w:rPr>
        <w:t>Xingjian Lu</w:t>
      </w:r>
      <w:r>
        <w:rPr>
          <w:rFonts w:hint="default" w:ascii="Verdana" w:hAnsi="Verdana" w:eastAsia="Verdana" w:cs="Verdana"/>
          <w:i w:val="0"/>
          <w:iCs w:val="0"/>
          <w:color w:val="000000"/>
          <w:kern w:val="0"/>
          <w:sz w:val="22"/>
          <w:szCs w:val="22"/>
          <w:lang w:val="en-US" w:eastAsia="zh-CN" w:bidi="ar"/>
          <w:woUserID w:val="5"/>
        </w:rPr>
        <w:t xml:space="preserve">………… </w:t>
      </w:r>
      <w:r>
        <w:rPr>
          <w:rFonts w:hint="default" w:ascii="Verdana" w:hAnsi="Verdana" w:eastAsia="Verdana" w:cs="Verdana"/>
          <w:i w:val="0"/>
          <w:iCs w:val="0"/>
          <w:color w:val="000000"/>
          <w:kern w:val="0"/>
          <w:sz w:val="22"/>
          <w:szCs w:val="22"/>
          <w:lang w:val="en-US" w:eastAsia="zh-CN" w:bidi="ar"/>
          <w:woUserID w:val="5"/>
        </w:rPr>
        <w:tab/>
      </w:r>
      <w:r>
        <w:rPr>
          <w:rFonts w:hint="default" w:ascii="Verdana" w:hAnsi="Verdana" w:eastAsia="Verdana" w:cs="Verdana"/>
          <w:i w:val="0"/>
          <w:iCs w:val="0"/>
          <w:color w:val="000000"/>
          <w:kern w:val="0"/>
          <w:sz w:val="22"/>
          <w:szCs w:val="22"/>
          <w:lang w:val="en-US" w:eastAsia="zh-CN" w:bidi="ar"/>
          <w:woUserID w:val="5"/>
        </w:rPr>
        <w:t>Date …………</w:t>
      </w:r>
      <w:r>
        <w:rPr>
          <w:rFonts w:hint="eastAsia" w:ascii="Verdana" w:hAnsi="Verdana" w:eastAsia="Verdana" w:cs="Verdana"/>
          <w:i w:val="0"/>
          <w:iCs w:val="0"/>
          <w:color w:val="000000"/>
          <w:kern w:val="0"/>
          <w:sz w:val="22"/>
          <w:szCs w:val="22"/>
          <w:lang w:val="en-US" w:eastAsia="zh" w:bidi="ar"/>
          <w:woUserID w:val="5"/>
        </w:rPr>
        <w:t>2026/5/3</w:t>
      </w:r>
      <w:r>
        <w:rPr>
          <w:rFonts w:hint="default" w:ascii="Verdana" w:hAnsi="Verdana" w:eastAsia="Verdana" w:cs="Verdana"/>
          <w:i w:val="0"/>
          <w:iCs w:val="0"/>
          <w:color w:val="000000"/>
          <w:kern w:val="0"/>
          <w:sz w:val="22"/>
          <w:szCs w:val="22"/>
          <w:lang w:val="en-US" w:eastAsia="zh-CN" w:bidi="ar"/>
          <w:woUserID w:val="5"/>
        </w:rPr>
        <w:t xml:space="preserve">……………………… </w:t>
      </w:r>
    </w:p>
    <w:p w14:paraId="1FFEB573">
      <w:pPr>
        <w:keepNext w:val="0"/>
        <w:keepLines w:val="0"/>
        <w:widowControl/>
        <w:suppressLineNumbers w:val="0"/>
        <w:tabs>
          <w:tab w:val="center" w:pos="2001"/>
          <w:tab w:val="center" w:pos="7201"/>
        </w:tabs>
        <w:spacing w:before="0" w:beforeAutospacing="0" w:after="0" w:afterAutospacing="0" w:line="256" w:lineRule="auto"/>
        <w:ind w:left="0" w:right="0" w:firstLine="0"/>
        <w:jc w:val="left"/>
        <w:rPr>
          <w:rFonts w:hint="default" w:ascii="Calibri" w:hAnsi="Calibri" w:eastAsia="Calibri" w:cs="Calibri"/>
          <w:i w:val="0"/>
          <w:iCs w:val="0"/>
          <w:color w:val="000000"/>
          <w:kern w:val="0"/>
          <w:sz w:val="22"/>
          <w:szCs w:val="22"/>
          <w:lang w:val="en-US" w:eastAsia="zh-CN" w:bidi="ar"/>
          <w:woUserID w:val="5"/>
        </w:rPr>
      </w:pPr>
      <w:r>
        <w:rPr>
          <w:rFonts w:hint="default" w:ascii="Calibri" w:hAnsi="Calibri" w:eastAsia="Calibri" w:cs="Calibri"/>
          <w:i w:val="0"/>
          <w:iCs w:val="0"/>
          <w:color w:val="000000"/>
          <w:kern w:val="0"/>
          <w:sz w:val="22"/>
          <w:szCs w:val="22"/>
          <w:lang w:val="en-US" w:eastAsia="zh-CN" w:bidi="ar"/>
          <w:woUserID w:val="5"/>
        </w:rPr>
        <w:tab/>
      </w:r>
    </w:p>
    <w:p w14:paraId="64D523AD">
      <w:pPr>
        <w:keepNext w:val="0"/>
        <w:keepLines w:val="0"/>
        <w:widowControl/>
        <w:suppressLineNumbers w:val="0"/>
        <w:tabs>
          <w:tab w:val="center" w:pos="2001"/>
          <w:tab w:val="center" w:pos="7201"/>
        </w:tabs>
        <w:spacing w:before="0" w:beforeAutospacing="0" w:after="0" w:afterAutospacing="0" w:line="256" w:lineRule="auto"/>
        <w:ind w:left="0" w:right="0" w:firstLine="0"/>
        <w:jc w:val="left"/>
        <w:rPr>
          <w:rFonts w:hint="default" w:ascii="Verdana" w:hAnsi="Verdana" w:eastAsia="Verdana" w:cs="Verdana"/>
          <w:i w:val="0"/>
          <w:iCs w:val="0"/>
          <w:color w:val="000000"/>
          <w:kern w:val="0"/>
          <w:sz w:val="22"/>
          <w:szCs w:val="22"/>
          <w:lang w:val="en-US" w:eastAsia="zh-CN" w:bidi="ar"/>
          <w:woUserID w:val="5"/>
        </w:rPr>
      </w:pPr>
      <w:r>
        <w:rPr>
          <w:rFonts w:hint="default" w:ascii="Verdana" w:hAnsi="Verdana" w:eastAsia="Verdana" w:cs="Verdana"/>
          <w:i w:val="0"/>
          <w:iCs w:val="0"/>
          <w:color w:val="000000"/>
          <w:kern w:val="0"/>
          <w:sz w:val="22"/>
          <w:szCs w:val="22"/>
          <w:lang w:val="en-US" w:eastAsia="zh-CN" w:bidi="ar"/>
          <w:woUserID w:val="5"/>
        </w:rPr>
        <w:t>Signature ………</w:t>
      </w:r>
      <w:r>
        <w:rPr>
          <w:rFonts w:hint="eastAsia" w:ascii="Verdana" w:hAnsi="Verdana" w:eastAsia="Verdana" w:cs="Verdana"/>
          <w:i w:val="0"/>
          <w:iCs w:val="0"/>
          <w:color w:val="000000"/>
          <w:kern w:val="0"/>
          <w:sz w:val="22"/>
          <w:szCs w:val="22"/>
          <w:lang w:val="en-US" w:eastAsia="zh" w:bidi="ar"/>
          <w:woUserID w:val="5"/>
        </w:rPr>
        <w:t>Wangyu Li</w:t>
      </w:r>
      <w:r>
        <w:rPr>
          <w:rFonts w:hint="default" w:ascii="Verdana" w:hAnsi="Verdana" w:eastAsia="Verdana" w:cs="Verdana"/>
          <w:i w:val="0"/>
          <w:iCs w:val="0"/>
          <w:color w:val="000000"/>
          <w:kern w:val="0"/>
          <w:sz w:val="22"/>
          <w:szCs w:val="22"/>
          <w:lang w:val="en-US" w:eastAsia="zh-CN" w:bidi="ar"/>
          <w:woUserID w:val="5"/>
        </w:rPr>
        <w:t xml:space="preserve">………… </w:t>
      </w:r>
      <w:r>
        <w:rPr>
          <w:rFonts w:hint="default" w:ascii="Verdana" w:hAnsi="Verdana" w:eastAsia="Verdana" w:cs="Verdana"/>
          <w:i w:val="0"/>
          <w:iCs w:val="0"/>
          <w:color w:val="000000"/>
          <w:kern w:val="0"/>
          <w:sz w:val="22"/>
          <w:szCs w:val="22"/>
          <w:lang w:val="en-US" w:eastAsia="zh-CN" w:bidi="ar"/>
          <w:woUserID w:val="5"/>
        </w:rPr>
        <w:tab/>
      </w:r>
      <w:r>
        <w:rPr>
          <w:rFonts w:hint="default" w:ascii="Verdana" w:hAnsi="Verdana" w:eastAsia="Verdana" w:cs="Verdana"/>
          <w:i w:val="0"/>
          <w:iCs w:val="0"/>
          <w:color w:val="000000"/>
          <w:kern w:val="0"/>
          <w:sz w:val="22"/>
          <w:szCs w:val="22"/>
          <w:lang w:val="en-US" w:eastAsia="zh-CN" w:bidi="ar"/>
          <w:woUserID w:val="5"/>
        </w:rPr>
        <w:t>Date …………</w:t>
      </w:r>
      <w:r>
        <w:rPr>
          <w:rFonts w:hint="eastAsia" w:ascii="Verdana" w:hAnsi="Verdana" w:eastAsia="Verdana" w:cs="Verdana"/>
          <w:i w:val="0"/>
          <w:iCs w:val="0"/>
          <w:color w:val="000000"/>
          <w:kern w:val="0"/>
          <w:sz w:val="22"/>
          <w:szCs w:val="22"/>
          <w:lang w:val="en-US" w:eastAsia="zh" w:bidi="ar"/>
          <w:woUserID w:val="5"/>
        </w:rPr>
        <w:t>2026/5/3</w:t>
      </w:r>
      <w:r>
        <w:rPr>
          <w:rFonts w:hint="default" w:ascii="Verdana" w:hAnsi="Verdana" w:eastAsia="Verdana" w:cs="Verdana"/>
          <w:i w:val="0"/>
          <w:iCs w:val="0"/>
          <w:color w:val="000000"/>
          <w:kern w:val="0"/>
          <w:sz w:val="22"/>
          <w:szCs w:val="22"/>
          <w:lang w:val="en-US" w:eastAsia="zh-CN" w:bidi="ar"/>
          <w:woUserID w:val="5"/>
        </w:rPr>
        <w:t xml:space="preserve">……………………… </w:t>
      </w:r>
    </w:p>
    <w:p w14:paraId="0795334E">
      <w:pPr>
        <w:keepNext w:val="0"/>
        <w:keepLines w:val="0"/>
        <w:widowControl/>
        <w:suppressLineNumbers w:val="0"/>
        <w:tabs>
          <w:tab w:val="center" w:pos="2001"/>
          <w:tab w:val="center" w:pos="7201"/>
        </w:tabs>
        <w:spacing w:before="0" w:beforeAutospacing="0" w:after="0" w:afterAutospacing="0" w:line="256" w:lineRule="auto"/>
        <w:ind w:left="0" w:right="0" w:firstLine="0"/>
        <w:jc w:val="left"/>
        <w:rPr>
          <w:rFonts w:hint="default" w:ascii="Calibri" w:hAnsi="Calibri" w:eastAsia="Calibri" w:cs="Calibri"/>
          <w:i w:val="0"/>
          <w:iCs w:val="0"/>
          <w:color w:val="000000"/>
          <w:kern w:val="0"/>
          <w:sz w:val="22"/>
          <w:szCs w:val="22"/>
          <w:lang w:val="en-US" w:eastAsia="zh-CN" w:bidi="ar"/>
          <w:woUserID w:val="5"/>
        </w:rPr>
      </w:pPr>
      <w:r>
        <w:rPr>
          <w:rFonts w:hint="default" w:ascii="Calibri" w:hAnsi="Calibri" w:eastAsia="Calibri" w:cs="Calibri"/>
          <w:i w:val="0"/>
          <w:iCs w:val="0"/>
          <w:color w:val="000000"/>
          <w:kern w:val="0"/>
          <w:sz w:val="22"/>
          <w:szCs w:val="22"/>
          <w:lang w:val="en-US" w:eastAsia="zh-CN" w:bidi="ar"/>
          <w:woUserID w:val="5"/>
        </w:rPr>
        <w:tab/>
      </w:r>
    </w:p>
    <w:p w14:paraId="678A6FB7">
      <w:pPr>
        <w:keepNext w:val="0"/>
        <w:keepLines w:val="0"/>
        <w:widowControl/>
        <w:suppressLineNumbers w:val="0"/>
        <w:tabs>
          <w:tab w:val="center" w:pos="2001"/>
          <w:tab w:val="center" w:pos="7201"/>
        </w:tabs>
        <w:spacing w:before="0" w:beforeAutospacing="0" w:after="0" w:afterAutospacing="0" w:line="256" w:lineRule="auto"/>
        <w:ind w:left="0" w:right="0" w:firstLine="0"/>
        <w:jc w:val="left"/>
        <w:rPr>
          <w:rFonts w:hint="default" w:ascii="Verdana" w:hAnsi="Verdana" w:eastAsia="Verdana" w:cs="Verdana"/>
          <w:i w:val="0"/>
          <w:iCs w:val="0"/>
          <w:color w:val="000000"/>
          <w:kern w:val="0"/>
          <w:sz w:val="22"/>
          <w:szCs w:val="22"/>
          <w:lang w:val="en-US" w:eastAsia="zh-CN" w:bidi="ar"/>
          <w:woUserID w:val="5"/>
        </w:rPr>
      </w:pPr>
      <w:r>
        <w:rPr>
          <w:rFonts w:hint="default" w:ascii="Verdana" w:hAnsi="Verdana" w:eastAsia="Verdana" w:cs="Verdana"/>
          <w:i w:val="0"/>
          <w:iCs w:val="0"/>
          <w:color w:val="000000"/>
          <w:kern w:val="0"/>
          <w:sz w:val="22"/>
          <w:szCs w:val="22"/>
          <w:lang w:val="en-US" w:eastAsia="zh-CN" w:bidi="ar"/>
          <w:woUserID w:val="5"/>
        </w:rPr>
        <w:t>Signature ………</w:t>
      </w:r>
      <w:r>
        <w:rPr>
          <w:rFonts w:hint="eastAsia" w:ascii="Verdana" w:hAnsi="Verdana" w:eastAsia="Verdana" w:cs="Verdana"/>
          <w:i w:val="0"/>
          <w:iCs w:val="0"/>
          <w:color w:val="000000"/>
          <w:kern w:val="0"/>
          <w:sz w:val="22"/>
          <w:szCs w:val="22"/>
          <w:lang w:val="en-US" w:eastAsia="zh" w:bidi="ar"/>
          <w:woUserID w:val="5"/>
        </w:rPr>
        <w:t>Yidi Tang</w:t>
      </w:r>
      <w:r>
        <w:rPr>
          <w:rFonts w:hint="default" w:ascii="Verdana" w:hAnsi="Verdana" w:eastAsia="Verdana" w:cs="Verdana"/>
          <w:i w:val="0"/>
          <w:iCs w:val="0"/>
          <w:color w:val="000000"/>
          <w:kern w:val="0"/>
          <w:sz w:val="22"/>
          <w:szCs w:val="22"/>
          <w:lang w:val="en-US" w:eastAsia="zh-CN" w:bidi="ar"/>
          <w:woUserID w:val="5"/>
        </w:rPr>
        <w:t xml:space="preserve">…………… </w:t>
      </w:r>
      <w:r>
        <w:rPr>
          <w:rFonts w:hint="default" w:ascii="Verdana" w:hAnsi="Verdana" w:eastAsia="Verdana" w:cs="Verdana"/>
          <w:i w:val="0"/>
          <w:iCs w:val="0"/>
          <w:color w:val="000000"/>
          <w:kern w:val="0"/>
          <w:sz w:val="22"/>
          <w:szCs w:val="22"/>
          <w:lang w:val="en-US" w:eastAsia="zh-CN" w:bidi="ar"/>
          <w:woUserID w:val="5"/>
        </w:rPr>
        <w:tab/>
      </w:r>
      <w:r>
        <w:rPr>
          <w:rFonts w:hint="default" w:ascii="Verdana" w:hAnsi="Verdana" w:eastAsia="Verdana" w:cs="Verdana"/>
          <w:i w:val="0"/>
          <w:iCs w:val="0"/>
          <w:color w:val="000000"/>
          <w:kern w:val="0"/>
          <w:sz w:val="22"/>
          <w:szCs w:val="22"/>
          <w:lang w:val="en-US" w:eastAsia="zh-CN" w:bidi="ar"/>
          <w:woUserID w:val="5"/>
        </w:rPr>
        <w:t>Date …………</w:t>
      </w:r>
      <w:r>
        <w:rPr>
          <w:rFonts w:hint="eastAsia" w:ascii="Verdana" w:hAnsi="Verdana" w:eastAsia="Verdana" w:cs="Verdana"/>
          <w:i w:val="0"/>
          <w:iCs w:val="0"/>
          <w:color w:val="000000"/>
          <w:kern w:val="0"/>
          <w:sz w:val="22"/>
          <w:szCs w:val="22"/>
          <w:lang w:val="en-US" w:eastAsia="zh" w:bidi="ar"/>
          <w:woUserID w:val="5"/>
        </w:rPr>
        <w:t>2026/5/3</w:t>
      </w:r>
      <w:r>
        <w:rPr>
          <w:rFonts w:hint="default" w:ascii="Verdana" w:hAnsi="Verdana" w:eastAsia="Verdana" w:cs="Verdana"/>
          <w:i w:val="0"/>
          <w:iCs w:val="0"/>
          <w:color w:val="000000"/>
          <w:kern w:val="0"/>
          <w:sz w:val="22"/>
          <w:szCs w:val="22"/>
          <w:lang w:val="en-US" w:eastAsia="zh-CN" w:bidi="ar"/>
          <w:woUserID w:val="5"/>
        </w:rPr>
        <w:t xml:space="preserve">……………………… </w:t>
      </w:r>
    </w:p>
    <w:p w14:paraId="159886E8">
      <w:pPr>
        <w:keepNext w:val="0"/>
        <w:keepLines w:val="0"/>
        <w:widowControl/>
        <w:suppressLineNumbers w:val="0"/>
        <w:tabs>
          <w:tab w:val="center" w:pos="2001"/>
          <w:tab w:val="center" w:pos="7201"/>
        </w:tabs>
        <w:spacing w:before="0" w:beforeAutospacing="0" w:after="0" w:afterAutospacing="0" w:line="256" w:lineRule="auto"/>
        <w:ind w:left="0" w:right="0" w:firstLine="0"/>
        <w:jc w:val="left"/>
        <w:rPr>
          <w:rFonts w:hint="default" w:ascii="Calibri" w:hAnsi="Calibri" w:eastAsia="Calibri" w:cs="Calibri"/>
          <w:i w:val="0"/>
          <w:iCs w:val="0"/>
          <w:color w:val="000000"/>
          <w:kern w:val="0"/>
          <w:sz w:val="22"/>
          <w:szCs w:val="22"/>
          <w:lang w:val="en-US" w:eastAsia="zh-CN" w:bidi="ar"/>
          <w:woUserID w:val="5"/>
        </w:rPr>
      </w:pPr>
      <w:r>
        <w:rPr>
          <w:rFonts w:hint="default" w:ascii="Calibri" w:hAnsi="Calibri" w:eastAsia="Calibri" w:cs="Calibri"/>
          <w:i w:val="0"/>
          <w:iCs w:val="0"/>
          <w:color w:val="000000"/>
          <w:kern w:val="0"/>
          <w:sz w:val="22"/>
          <w:szCs w:val="22"/>
          <w:lang w:val="en-US" w:eastAsia="zh-CN" w:bidi="ar"/>
          <w:woUserID w:val="5"/>
        </w:rPr>
        <w:tab/>
      </w:r>
    </w:p>
    <w:p w14:paraId="5A592F54">
      <w:pPr>
        <w:keepNext w:val="0"/>
        <w:keepLines w:val="0"/>
        <w:widowControl/>
        <w:suppressLineNumbers w:val="0"/>
        <w:tabs>
          <w:tab w:val="center" w:pos="2001"/>
          <w:tab w:val="center" w:pos="7201"/>
        </w:tabs>
        <w:spacing w:before="0" w:beforeAutospacing="0" w:after="0" w:afterAutospacing="0" w:line="256" w:lineRule="auto"/>
        <w:ind w:left="0" w:right="0" w:firstLine="0"/>
        <w:jc w:val="left"/>
        <w:rPr>
          <w:rFonts w:hint="default" w:ascii="Verdana" w:hAnsi="Verdana" w:eastAsia="Verdana" w:cs="Verdana"/>
          <w:i w:val="0"/>
          <w:iCs w:val="0"/>
          <w:color w:val="000000"/>
          <w:kern w:val="0"/>
          <w:sz w:val="22"/>
          <w:szCs w:val="22"/>
          <w:lang w:val="en-US" w:eastAsia="zh-CN" w:bidi="ar"/>
          <w:woUserID w:val="5"/>
        </w:rPr>
      </w:pPr>
      <w:r>
        <w:rPr>
          <w:rFonts w:hint="default" w:ascii="Verdana" w:hAnsi="Verdana" w:eastAsia="Verdana" w:cs="Verdana"/>
          <w:i w:val="0"/>
          <w:iCs w:val="0"/>
          <w:color w:val="000000"/>
          <w:kern w:val="0"/>
          <w:sz w:val="22"/>
          <w:szCs w:val="22"/>
          <w:lang w:val="en-US" w:eastAsia="zh-CN" w:bidi="ar"/>
          <w:woUserID w:val="5"/>
        </w:rPr>
        <w:t>Signature ………</w:t>
      </w:r>
      <w:r>
        <w:rPr>
          <w:rFonts w:hint="eastAsia" w:ascii="Verdana" w:hAnsi="Verdana" w:eastAsia="Verdana" w:cs="Verdana"/>
          <w:i w:val="0"/>
          <w:iCs w:val="0"/>
          <w:color w:val="000000"/>
          <w:kern w:val="0"/>
          <w:sz w:val="22"/>
          <w:szCs w:val="22"/>
          <w:lang w:val="en-US" w:eastAsia="zh" w:bidi="ar"/>
          <w:woUserID w:val="5"/>
        </w:rPr>
        <w:t>Jingwei Liu</w:t>
      </w:r>
      <w:r>
        <w:rPr>
          <w:rFonts w:hint="default" w:ascii="Verdana" w:hAnsi="Verdana" w:eastAsia="Verdana" w:cs="Verdana"/>
          <w:i w:val="0"/>
          <w:iCs w:val="0"/>
          <w:color w:val="000000"/>
          <w:kern w:val="0"/>
          <w:sz w:val="22"/>
          <w:szCs w:val="22"/>
          <w:lang w:val="en-US" w:eastAsia="zh-CN" w:bidi="ar"/>
          <w:woUserID w:val="5"/>
        </w:rPr>
        <w:t xml:space="preserve">………… </w:t>
      </w:r>
      <w:r>
        <w:rPr>
          <w:rFonts w:hint="default" w:ascii="Verdana" w:hAnsi="Verdana" w:eastAsia="Verdana" w:cs="Verdana"/>
          <w:i w:val="0"/>
          <w:iCs w:val="0"/>
          <w:color w:val="000000"/>
          <w:kern w:val="0"/>
          <w:sz w:val="22"/>
          <w:szCs w:val="22"/>
          <w:lang w:val="en-US" w:eastAsia="zh-CN" w:bidi="ar"/>
          <w:woUserID w:val="5"/>
        </w:rPr>
        <w:tab/>
      </w:r>
      <w:r>
        <w:rPr>
          <w:rFonts w:hint="default" w:ascii="Verdana" w:hAnsi="Verdana" w:eastAsia="Verdana" w:cs="Verdana"/>
          <w:i w:val="0"/>
          <w:iCs w:val="0"/>
          <w:color w:val="000000"/>
          <w:kern w:val="0"/>
          <w:sz w:val="22"/>
          <w:szCs w:val="22"/>
          <w:lang w:val="en-US" w:eastAsia="zh-CN" w:bidi="ar"/>
          <w:woUserID w:val="5"/>
        </w:rPr>
        <w:t>Date …………</w:t>
      </w:r>
      <w:r>
        <w:rPr>
          <w:rFonts w:hint="eastAsia" w:ascii="Verdana" w:hAnsi="Verdana" w:eastAsia="Verdana" w:cs="Verdana"/>
          <w:i w:val="0"/>
          <w:iCs w:val="0"/>
          <w:color w:val="000000"/>
          <w:kern w:val="0"/>
          <w:sz w:val="22"/>
          <w:szCs w:val="22"/>
          <w:lang w:val="en-US" w:eastAsia="zh" w:bidi="ar"/>
          <w:woUserID w:val="5"/>
        </w:rPr>
        <w:t>2026/5/3</w:t>
      </w:r>
      <w:r>
        <w:rPr>
          <w:rFonts w:hint="default" w:ascii="Verdana" w:hAnsi="Verdana" w:eastAsia="Verdana" w:cs="Verdana"/>
          <w:i w:val="0"/>
          <w:iCs w:val="0"/>
          <w:color w:val="000000"/>
          <w:kern w:val="0"/>
          <w:sz w:val="22"/>
          <w:szCs w:val="22"/>
          <w:lang w:val="en-US" w:eastAsia="zh-CN" w:bidi="ar"/>
          <w:woUserID w:val="5"/>
        </w:rPr>
        <w:t xml:space="preserve">……………………… </w:t>
      </w:r>
    </w:p>
    <w:p w14:paraId="11260B7C">
      <w:pPr>
        <w:keepNext w:val="0"/>
        <w:keepLines w:val="0"/>
        <w:widowControl/>
        <w:suppressLineNumbers w:val="0"/>
        <w:tabs>
          <w:tab w:val="center" w:pos="2001"/>
          <w:tab w:val="center" w:pos="7201"/>
        </w:tabs>
        <w:spacing w:before="0" w:beforeAutospacing="0" w:after="0" w:afterAutospacing="0" w:line="256" w:lineRule="auto"/>
        <w:ind w:left="0" w:right="0" w:firstLine="0"/>
        <w:jc w:val="left"/>
        <w:rPr>
          <w:rFonts w:hint="default" w:ascii="Calibri" w:hAnsi="Calibri" w:eastAsia="Calibri" w:cs="Calibri"/>
          <w:i w:val="0"/>
          <w:iCs w:val="0"/>
          <w:color w:val="000000"/>
          <w:kern w:val="0"/>
          <w:sz w:val="22"/>
          <w:szCs w:val="22"/>
          <w:lang w:val="en-US" w:eastAsia="zh-CN" w:bidi="ar"/>
          <w:woUserID w:val="5"/>
        </w:rPr>
      </w:pPr>
      <w:r>
        <w:rPr>
          <w:rFonts w:hint="default" w:ascii="Calibri" w:hAnsi="Calibri" w:eastAsia="Calibri" w:cs="Calibri"/>
          <w:i w:val="0"/>
          <w:iCs w:val="0"/>
          <w:color w:val="000000"/>
          <w:kern w:val="0"/>
          <w:sz w:val="22"/>
          <w:szCs w:val="22"/>
          <w:lang w:val="en-US" w:eastAsia="zh-CN" w:bidi="ar"/>
          <w:woUserID w:val="5"/>
        </w:rPr>
        <w:tab/>
      </w:r>
    </w:p>
    <w:p w14:paraId="1F69D042">
      <w:pPr>
        <w:keepNext w:val="0"/>
        <w:keepLines w:val="0"/>
        <w:widowControl/>
        <w:suppressLineNumbers w:val="0"/>
        <w:tabs>
          <w:tab w:val="center" w:pos="2001"/>
          <w:tab w:val="center" w:pos="7201"/>
        </w:tabs>
        <w:spacing w:before="0" w:beforeAutospacing="0" w:after="0" w:afterAutospacing="0" w:line="256" w:lineRule="auto"/>
        <w:ind w:left="0" w:right="0" w:firstLine="0"/>
        <w:jc w:val="left"/>
        <w:rPr>
          <w:rFonts w:hint="default" w:ascii="Verdana" w:hAnsi="Verdana" w:eastAsia="Verdana" w:cs="Verdana"/>
          <w:color w:val="000000"/>
          <w:kern w:val="0"/>
          <w:sz w:val="22"/>
          <w:szCs w:val="22"/>
          <w:lang w:val="en-US" w:eastAsia="zh-CN" w:bidi="ar"/>
          <w:woUserID w:val="5"/>
        </w:rPr>
      </w:pPr>
      <w:r>
        <w:rPr>
          <w:rFonts w:hint="default" w:ascii="Verdana" w:hAnsi="Verdana" w:eastAsia="Verdana" w:cs="Verdana"/>
          <w:i w:val="0"/>
          <w:iCs w:val="0"/>
          <w:color w:val="000000"/>
          <w:kern w:val="0"/>
          <w:sz w:val="22"/>
          <w:szCs w:val="22"/>
          <w:lang w:val="en-US" w:eastAsia="zh-CN" w:bidi="ar"/>
          <w:woUserID w:val="5"/>
        </w:rPr>
        <w:t>Signature ………</w:t>
      </w:r>
      <w:r>
        <w:rPr>
          <w:rFonts w:hint="eastAsia" w:ascii="Verdana" w:hAnsi="Verdana" w:eastAsia="Verdana" w:cs="Verdana"/>
          <w:i w:val="0"/>
          <w:iCs w:val="0"/>
          <w:color w:val="000000"/>
          <w:kern w:val="0"/>
          <w:sz w:val="22"/>
          <w:szCs w:val="22"/>
          <w:lang w:val="en-US" w:eastAsia="zh" w:bidi="ar"/>
          <w:woUserID w:val="5"/>
        </w:rPr>
        <w:t>Tianyu Zhou</w:t>
      </w:r>
      <w:r>
        <w:rPr>
          <w:rFonts w:hint="default" w:ascii="Verdana" w:hAnsi="Verdana" w:eastAsia="Verdana" w:cs="Verdana"/>
          <w:i w:val="0"/>
          <w:iCs w:val="0"/>
          <w:color w:val="000000"/>
          <w:kern w:val="0"/>
          <w:sz w:val="22"/>
          <w:szCs w:val="22"/>
          <w:lang w:val="en-US" w:eastAsia="zh-CN" w:bidi="ar"/>
          <w:woUserID w:val="5"/>
        </w:rPr>
        <w:t xml:space="preserve">……… </w:t>
      </w:r>
      <w:r>
        <w:rPr>
          <w:rFonts w:hint="default" w:ascii="Verdana" w:hAnsi="Verdana" w:eastAsia="Verdana" w:cs="Verdana"/>
          <w:i w:val="0"/>
          <w:iCs w:val="0"/>
          <w:color w:val="000000"/>
          <w:kern w:val="0"/>
          <w:sz w:val="22"/>
          <w:szCs w:val="22"/>
          <w:lang w:val="en-US" w:eastAsia="zh-CN" w:bidi="ar"/>
          <w:woUserID w:val="5"/>
        </w:rPr>
        <w:tab/>
      </w:r>
      <w:r>
        <w:rPr>
          <w:rFonts w:hint="default" w:ascii="Verdana" w:hAnsi="Verdana" w:eastAsia="Verdana" w:cs="Verdana"/>
          <w:i w:val="0"/>
          <w:iCs w:val="0"/>
          <w:color w:val="000000"/>
          <w:kern w:val="0"/>
          <w:sz w:val="22"/>
          <w:szCs w:val="22"/>
          <w:lang w:val="en-US" w:eastAsia="zh-CN" w:bidi="ar"/>
          <w:woUserID w:val="5"/>
        </w:rPr>
        <w:t>Date …………</w:t>
      </w:r>
      <w:r>
        <w:rPr>
          <w:rFonts w:hint="eastAsia" w:ascii="Verdana" w:hAnsi="Verdana" w:eastAsia="Verdana" w:cs="Verdana"/>
          <w:i w:val="0"/>
          <w:iCs w:val="0"/>
          <w:color w:val="000000"/>
          <w:kern w:val="0"/>
          <w:sz w:val="22"/>
          <w:szCs w:val="22"/>
          <w:lang w:val="en-US" w:eastAsia="zh" w:bidi="ar"/>
          <w:woUserID w:val="5"/>
        </w:rPr>
        <w:t>2026/5/3</w:t>
      </w:r>
      <w:r>
        <w:rPr>
          <w:rFonts w:hint="default" w:ascii="Verdana" w:hAnsi="Verdana" w:eastAsia="Verdana" w:cs="Verdana"/>
          <w:i w:val="0"/>
          <w:iCs w:val="0"/>
          <w:color w:val="000000"/>
          <w:kern w:val="0"/>
          <w:sz w:val="22"/>
          <w:szCs w:val="22"/>
          <w:lang w:val="en-US" w:eastAsia="zh-CN" w:bidi="ar"/>
          <w:woUserID w:val="5"/>
        </w:rPr>
        <w:t>……</w:t>
      </w:r>
      <w:r>
        <w:rPr>
          <w:rFonts w:hint="default" w:ascii="Verdana" w:hAnsi="Verdana" w:eastAsia="Verdana" w:cs="Verdana"/>
          <w:i/>
          <w:iCs w:val="0"/>
          <w:color w:val="000000"/>
          <w:kern w:val="0"/>
          <w:sz w:val="22"/>
          <w:szCs w:val="22"/>
          <w:lang w:val="en-US" w:eastAsia="zh-CN" w:bidi="ar"/>
          <w:woUserID w:val="5"/>
        </w:rPr>
        <w:t>……</w:t>
      </w:r>
      <w:r>
        <w:rPr>
          <w:rFonts w:hint="default" w:ascii="Verdana" w:hAnsi="Verdana" w:eastAsia="Verdana" w:cs="Verdana"/>
          <w:color w:val="000000"/>
          <w:kern w:val="0"/>
          <w:sz w:val="22"/>
          <w:szCs w:val="22"/>
          <w:lang w:val="en-US" w:eastAsia="zh-CN" w:bidi="ar"/>
          <w:woUserID w:val="5"/>
        </w:rPr>
        <w:t xml:space="preserve">…………… </w:t>
      </w:r>
    </w:p>
    <w:p w14:paraId="7893EDFB">
      <w:pPr>
        <w:rPr>
          <w:rFonts w:hint="default" w:ascii="Verdana" w:hAnsi="Verdana" w:eastAsia="Verdana" w:cs="Verdana"/>
          <w:color w:val="000000"/>
          <w:kern w:val="0"/>
          <w:sz w:val="18"/>
          <w:szCs w:val="21"/>
          <w:lang w:val="en-US" w:eastAsia="zh-CN" w:bidi="ar"/>
          <w:woUserID w:val="5"/>
        </w:rPr>
      </w:pPr>
    </w:p>
    <w:p w14:paraId="09A6C054">
      <w:pPr>
        <w:keepNext w:val="0"/>
        <w:keepLines w:val="0"/>
        <w:widowControl/>
        <w:suppressLineNumbers w:val="0"/>
        <w:tabs>
          <w:tab w:val="center" w:pos="2001"/>
          <w:tab w:val="center" w:pos="7201"/>
        </w:tabs>
        <w:spacing w:before="0" w:beforeAutospacing="0" w:after="0" w:afterAutospacing="0" w:line="256" w:lineRule="auto"/>
        <w:ind w:left="0" w:right="0" w:firstLine="0"/>
        <w:jc w:val="left"/>
        <w:rPr>
          <w:rFonts w:hint="default" w:ascii="Verdana" w:hAnsi="Verdana" w:eastAsia="Verdana" w:cs="Verdana"/>
          <w:color w:val="000000"/>
          <w:kern w:val="0"/>
          <w:sz w:val="18"/>
          <w:szCs w:val="21"/>
          <w:lang w:val="en-US" w:eastAsia="zh-CN" w:bidi="ar"/>
          <w:woUserID w:val="5"/>
        </w:rPr>
      </w:pPr>
    </w:p>
    <w:tbl>
      <w:tblPr>
        <w:tblStyle w:val="23"/>
        <w:tblpPr w:leftFromText="180" w:rightFromText="180" w:vertAnchor="text" w:horzAnchor="margin" w:tblpXSpec="left" w:tblpY="45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5" w:type="dxa"/>
          <w:bottom w:w="0" w:type="dxa"/>
          <w:right w:w="115" w:type="dxa"/>
        </w:tblCellMar>
      </w:tblPr>
      <w:tblGrid>
        <w:gridCol w:w="1607"/>
        <w:gridCol w:w="2486"/>
        <w:gridCol w:w="2484"/>
        <w:gridCol w:w="2613"/>
      </w:tblGrid>
      <w:tr w14:paraId="638DC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 w:type="dxa"/>
            <w:bottom w:w="0" w:type="dxa"/>
            <w:right w:w="115" w:type="dxa"/>
          </w:tblCellMar>
        </w:tblPrEx>
        <w:trPr>
          <w:trHeight w:val="494" w:hRule="atLeast"/>
        </w:trPr>
        <w:tc>
          <w:tcPr>
            <w:tcW w:w="874" w:type="pct"/>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2D10F882">
            <w:pPr>
              <w:keepNext w:val="0"/>
              <w:keepLines w:val="0"/>
              <w:widowControl/>
              <w:suppressLineNumbers w:val="0"/>
              <w:spacing w:before="0" w:beforeAutospacing="0" w:after="0" w:afterAutospacing="0" w:line="256" w:lineRule="auto"/>
              <w:ind w:left="209" w:right="0" w:firstLine="0"/>
              <w:jc w:val="left"/>
              <w:rPr>
                <w:rFonts w:hint="default"/>
                <w:sz w:val="20"/>
                <w:szCs w:val="22"/>
                <w:lang w:val="en-US"/>
                <w:woUserID w:val="5"/>
              </w:rPr>
            </w:pPr>
            <w:r>
              <w:rPr>
                <w:rFonts w:hint="default" w:ascii="Verdana" w:hAnsi="Verdana" w:eastAsia="Verdana" w:cs="Verdana"/>
                <w:color w:val="000000"/>
                <w:kern w:val="0"/>
                <w:sz w:val="18"/>
                <w:szCs w:val="21"/>
                <w:lang w:val="en-US" w:eastAsia="zh-CN" w:bidi="ar"/>
                <w:woUserID w:val="5"/>
              </w:rPr>
              <w:t xml:space="preserve">For </w:t>
            </w:r>
          </w:p>
          <w:p w14:paraId="08089516">
            <w:pPr>
              <w:keepNext w:val="0"/>
              <w:keepLines w:val="0"/>
              <w:widowControl/>
              <w:suppressLineNumbers w:val="0"/>
              <w:spacing w:before="0" w:beforeAutospacing="0" w:after="0" w:afterAutospacing="0" w:line="256" w:lineRule="auto"/>
              <w:ind w:left="209" w:right="0" w:firstLine="0"/>
              <w:jc w:val="left"/>
              <w:rPr>
                <w:rFonts w:hint="default"/>
                <w:sz w:val="20"/>
                <w:szCs w:val="22"/>
                <w:lang w:val="en-US"/>
                <w:woUserID w:val="5"/>
              </w:rPr>
            </w:pPr>
            <w:r>
              <w:rPr>
                <w:rFonts w:hint="default" w:ascii="Verdana" w:hAnsi="Verdana" w:eastAsia="Verdana" w:cs="Verdana"/>
                <w:color w:val="000000"/>
                <w:kern w:val="0"/>
                <w:sz w:val="18"/>
                <w:szCs w:val="21"/>
                <w:lang w:val="en-US" w:eastAsia="zh-CN" w:bidi="ar"/>
                <w:woUserID w:val="5"/>
              </w:rPr>
              <w:t xml:space="preserve">Academic </w:t>
            </w:r>
          </w:p>
          <w:p w14:paraId="7FA8FE20">
            <w:pPr>
              <w:keepNext w:val="0"/>
              <w:keepLines w:val="0"/>
              <w:widowControl/>
              <w:suppressLineNumbers w:val="0"/>
              <w:spacing w:before="0" w:beforeAutospacing="0" w:after="0" w:afterAutospacing="0" w:line="256" w:lineRule="auto"/>
              <w:ind w:left="209" w:right="0" w:firstLine="0"/>
              <w:jc w:val="left"/>
              <w:rPr>
                <w:rFonts w:hint="default"/>
                <w:sz w:val="20"/>
                <w:szCs w:val="22"/>
                <w:lang w:val="en-US"/>
                <w:woUserID w:val="5"/>
              </w:rPr>
            </w:pPr>
            <w:r>
              <w:rPr>
                <w:rFonts w:hint="default" w:ascii="Verdana" w:hAnsi="Verdana" w:eastAsia="Verdana" w:cs="Verdana"/>
                <w:color w:val="000000"/>
                <w:kern w:val="0"/>
                <w:sz w:val="18"/>
                <w:szCs w:val="21"/>
                <w:lang w:val="en-US" w:eastAsia="zh-CN" w:bidi="ar"/>
                <w:woUserID w:val="5"/>
              </w:rPr>
              <w:t xml:space="preserve">Office use: </w:t>
            </w:r>
          </w:p>
        </w:tc>
        <w:tc>
          <w:tcPr>
            <w:tcW w:w="1352"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6EC81E62">
            <w:pPr>
              <w:keepNext w:val="0"/>
              <w:keepLines w:val="0"/>
              <w:widowControl/>
              <w:suppressLineNumbers w:val="0"/>
              <w:spacing w:before="0" w:beforeAutospacing="0" w:after="0" w:afterAutospacing="0" w:line="256" w:lineRule="auto"/>
              <w:ind w:left="27" w:right="0" w:firstLine="0"/>
              <w:jc w:val="center"/>
              <w:rPr>
                <w:rFonts w:hint="default"/>
                <w:sz w:val="20"/>
                <w:szCs w:val="22"/>
                <w:lang w:val="en-US"/>
                <w:woUserID w:val="5"/>
              </w:rPr>
            </w:pPr>
            <w:r>
              <w:rPr>
                <w:rFonts w:hint="default" w:ascii="Verdana" w:hAnsi="Verdana" w:eastAsia="Verdana" w:cs="Verdana"/>
                <w:color w:val="000000"/>
                <w:kern w:val="0"/>
                <w:sz w:val="18"/>
                <w:szCs w:val="21"/>
                <w:lang w:val="en-US" w:eastAsia="zh-CN" w:bidi="ar"/>
                <w:woUserID w:val="5"/>
              </w:rPr>
              <w:t xml:space="preserve">Date Received </w:t>
            </w:r>
          </w:p>
        </w:tc>
        <w:tc>
          <w:tcPr>
            <w:tcW w:w="1351"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1CAFC091">
            <w:pPr>
              <w:keepNext w:val="0"/>
              <w:keepLines w:val="0"/>
              <w:widowControl/>
              <w:suppressLineNumbers w:val="0"/>
              <w:spacing w:before="0" w:beforeAutospacing="0" w:after="0" w:afterAutospacing="0" w:line="256" w:lineRule="auto"/>
              <w:ind w:left="108" w:right="0" w:firstLine="0"/>
              <w:jc w:val="left"/>
              <w:rPr>
                <w:rFonts w:hint="default"/>
                <w:sz w:val="20"/>
                <w:szCs w:val="22"/>
                <w:lang w:val="en-US"/>
                <w:woUserID w:val="5"/>
              </w:rPr>
            </w:pPr>
            <w:r>
              <w:rPr>
                <w:rFonts w:hint="default" w:ascii="Verdana" w:hAnsi="Verdana" w:eastAsia="Verdana" w:cs="Verdana"/>
                <w:color w:val="000000"/>
                <w:kern w:val="0"/>
                <w:sz w:val="18"/>
                <w:szCs w:val="21"/>
                <w:lang w:val="en-US" w:eastAsia="zh-CN" w:bidi="ar"/>
                <w:woUserID w:val="5"/>
              </w:rPr>
              <w:t xml:space="preserve">Working Days Late </w:t>
            </w:r>
          </w:p>
        </w:tc>
        <w:tc>
          <w:tcPr>
            <w:tcW w:w="1421"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5B72AD81">
            <w:pPr>
              <w:keepNext w:val="0"/>
              <w:keepLines w:val="0"/>
              <w:widowControl/>
              <w:suppressLineNumbers w:val="0"/>
              <w:spacing w:before="0" w:beforeAutospacing="0" w:after="0" w:afterAutospacing="0" w:line="256" w:lineRule="auto"/>
              <w:ind w:left="123" w:right="0" w:firstLine="0"/>
              <w:jc w:val="center"/>
              <w:rPr>
                <w:rFonts w:hint="default"/>
                <w:sz w:val="20"/>
                <w:szCs w:val="22"/>
                <w:lang w:val="en-US"/>
                <w:woUserID w:val="5"/>
              </w:rPr>
            </w:pPr>
            <w:r>
              <w:rPr>
                <w:rFonts w:hint="default" w:ascii="Verdana" w:hAnsi="Verdana" w:eastAsia="Verdana" w:cs="Verdana"/>
                <w:color w:val="000000"/>
                <w:kern w:val="0"/>
                <w:sz w:val="18"/>
                <w:szCs w:val="21"/>
                <w:lang w:val="en-US" w:eastAsia="zh-CN" w:bidi="ar"/>
                <w:woUserID w:val="5"/>
              </w:rPr>
              <w:t>Penalty</w:t>
            </w:r>
            <w:r>
              <w:rPr>
                <w:rFonts w:hint="default" w:ascii="Verdana" w:hAnsi="Verdana" w:eastAsia="Verdana" w:cs="Verdana"/>
                <w:color w:val="000000"/>
                <w:kern w:val="0"/>
                <w:sz w:val="18"/>
                <w:szCs w:val="21"/>
                <w:vertAlign w:val="superscript"/>
                <w:lang w:val="en-US" w:eastAsia="zh-CN" w:bidi="ar"/>
                <w:woUserID w:val="5"/>
              </w:rPr>
              <w:footnoteReference w:id="0"/>
            </w:r>
          </w:p>
        </w:tc>
      </w:tr>
      <w:tr w14:paraId="1A4E3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5" w:type="dxa"/>
            <w:bottom w:w="0" w:type="dxa"/>
            <w:right w:w="115" w:type="dxa"/>
          </w:tblCellMar>
        </w:tblPrEx>
        <w:trPr>
          <w:trHeight w:val="443" w:hRule="atLeast"/>
        </w:trPr>
        <w:tc>
          <w:tcPr>
            <w:tcW w:w="874" w:type="pct"/>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tcMar>
            <w:vAlign w:val="center"/>
          </w:tcPr>
          <w:p w14:paraId="3D9BBDC3">
            <w:pPr>
              <w:keepNext w:val="0"/>
              <w:keepLines w:val="0"/>
              <w:suppressLineNumbers w:val="0"/>
              <w:spacing w:before="0" w:beforeAutospacing="0" w:after="0" w:afterAutospacing="0" w:line="276" w:lineRule="auto"/>
              <w:ind w:left="0" w:right="0"/>
              <w:rPr>
                <w:rFonts w:hint="default" w:ascii="Calibri" w:hAnsi="Calibri" w:cs="Times New Roman"/>
                <w:sz w:val="21"/>
                <w:szCs w:val="21"/>
                <w:woUserID w:val="5"/>
              </w:rPr>
            </w:pPr>
          </w:p>
        </w:tc>
        <w:tc>
          <w:tcPr>
            <w:tcW w:w="1352"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top"/>
          </w:tcPr>
          <w:p w14:paraId="4B1FB196">
            <w:pPr>
              <w:keepNext w:val="0"/>
              <w:keepLines w:val="0"/>
              <w:widowControl/>
              <w:suppressLineNumbers w:val="0"/>
              <w:spacing w:before="0" w:beforeAutospacing="0" w:after="0" w:afterAutospacing="0" w:line="256" w:lineRule="auto"/>
              <w:ind w:left="0" w:right="0" w:firstLine="0"/>
              <w:jc w:val="left"/>
              <w:rPr>
                <w:rFonts w:hint="default"/>
                <w:sz w:val="20"/>
                <w:szCs w:val="22"/>
                <w:lang w:val="en-US"/>
                <w:woUserID w:val="5"/>
              </w:rPr>
            </w:pPr>
            <w:r>
              <w:rPr>
                <w:rFonts w:hint="default" w:ascii="Times New Roman" w:hAnsi="Times New Roman" w:eastAsia="Times New Roman" w:cs="Times New Roman"/>
                <w:color w:val="000000"/>
                <w:kern w:val="0"/>
                <w:sz w:val="18"/>
                <w:szCs w:val="21"/>
                <w:lang w:val="en-US" w:eastAsia="zh-CN" w:bidi="ar"/>
                <w:woUserID w:val="5"/>
              </w:rPr>
              <w:t xml:space="preserve"> </w:t>
            </w:r>
          </w:p>
        </w:tc>
        <w:tc>
          <w:tcPr>
            <w:tcW w:w="1351"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top"/>
          </w:tcPr>
          <w:p w14:paraId="402411D5">
            <w:pPr>
              <w:keepNext w:val="0"/>
              <w:keepLines w:val="0"/>
              <w:widowControl/>
              <w:suppressLineNumbers w:val="0"/>
              <w:spacing w:before="0" w:beforeAutospacing="0" w:after="0" w:afterAutospacing="0" w:line="256" w:lineRule="auto"/>
              <w:ind w:left="0" w:right="0" w:firstLine="0"/>
              <w:jc w:val="left"/>
              <w:rPr>
                <w:rFonts w:hint="default"/>
                <w:sz w:val="20"/>
                <w:szCs w:val="22"/>
                <w:lang w:val="en-US"/>
                <w:woUserID w:val="5"/>
              </w:rPr>
            </w:pPr>
            <w:r>
              <w:rPr>
                <w:rFonts w:hint="default" w:ascii="Times New Roman" w:hAnsi="Times New Roman" w:eastAsia="Times New Roman" w:cs="Times New Roman"/>
                <w:color w:val="000000"/>
                <w:kern w:val="0"/>
                <w:sz w:val="18"/>
                <w:szCs w:val="21"/>
                <w:lang w:val="en-US" w:eastAsia="zh-CN" w:bidi="ar"/>
                <w:woUserID w:val="5"/>
              </w:rPr>
              <w:t xml:space="preserve"> </w:t>
            </w:r>
          </w:p>
        </w:tc>
        <w:tc>
          <w:tcPr>
            <w:tcW w:w="1421" w:type="pct"/>
            <w:tcBorders>
              <w:top w:val="single" w:color="000000" w:sz="4" w:space="0"/>
              <w:left w:val="single" w:color="000000" w:sz="4" w:space="0"/>
              <w:bottom w:val="single" w:color="000000" w:sz="4" w:space="0"/>
              <w:right w:val="single" w:color="000000" w:sz="4" w:space="0"/>
            </w:tcBorders>
            <w:shd w:val="clear" w:color="auto" w:fill="auto"/>
            <w:tcMar>
              <w:top w:w="15" w:type="dxa"/>
            </w:tcMar>
            <w:vAlign w:val="top"/>
          </w:tcPr>
          <w:p w14:paraId="09116BBD">
            <w:pPr>
              <w:keepNext w:val="0"/>
              <w:keepLines w:val="0"/>
              <w:widowControl/>
              <w:suppressLineNumbers w:val="0"/>
              <w:spacing w:before="0" w:beforeAutospacing="0" w:after="0" w:afterAutospacing="0" w:line="256" w:lineRule="auto"/>
              <w:ind w:left="2" w:right="0" w:firstLine="0"/>
              <w:jc w:val="left"/>
              <w:rPr>
                <w:rFonts w:hint="default"/>
                <w:sz w:val="20"/>
                <w:szCs w:val="22"/>
                <w:lang w:val="en-US"/>
                <w:woUserID w:val="5"/>
              </w:rPr>
            </w:pPr>
            <w:r>
              <w:rPr>
                <w:rFonts w:hint="default" w:ascii="Times New Roman" w:hAnsi="Times New Roman" w:eastAsia="Times New Roman" w:cs="Times New Roman"/>
                <w:color w:val="000000"/>
                <w:kern w:val="0"/>
                <w:sz w:val="18"/>
                <w:szCs w:val="21"/>
                <w:lang w:val="en-US" w:eastAsia="zh-CN" w:bidi="ar"/>
                <w:woUserID w:val="5"/>
              </w:rPr>
              <w:t xml:space="preserve"> </w:t>
            </w:r>
          </w:p>
        </w:tc>
      </w:tr>
    </w:tbl>
    <w:p w14:paraId="5698969E">
      <w:pPr>
        <w:rPr>
          <w:rFonts w:hint="eastAsia" w:ascii="Times New Roman" w:hAnsi="Times New Roman" w:eastAsia="Tahoma" w:cs="Times New Roman"/>
          <w:b/>
          <w:bCs/>
          <w:kern w:val="2"/>
          <w:sz w:val="24"/>
          <w:szCs w:val="24"/>
          <w:lang w:val="en-US" w:eastAsia="zh" w:bidi="ar"/>
          <w:woUserID w:val="1"/>
        </w:rPr>
      </w:pPr>
    </w:p>
    <w:p w14:paraId="21EA6EE2">
      <w:pPr>
        <w:keepNext w:val="0"/>
        <w:keepLines w:val="0"/>
        <w:widowControl/>
        <w:suppressLineNumbers w:val="0"/>
        <w:spacing w:before="0" w:beforeAutospacing="0" w:after="160" w:afterAutospacing="0" w:line="256" w:lineRule="auto"/>
        <w:ind w:left="0" w:right="0"/>
        <w:jc w:val="center"/>
        <w:rPr>
          <w:rFonts w:hint="default" w:ascii="Calibri" w:hAnsi="Calibri" w:eastAsia="宋体" w:cs="Times New Roman"/>
          <w:b/>
          <w:bCs w:val="0"/>
          <w:kern w:val="0"/>
          <w:sz w:val="40"/>
          <w:szCs w:val="40"/>
          <w:lang w:val="en-US" w:eastAsia="zh-CN" w:bidi="ar"/>
          <w:woUserID w:val="5"/>
        </w:rPr>
      </w:pPr>
    </w:p>
    <w:p w14:paraId="570AFB62">
      <w:pPr>
        <w:keepNext w:val="0"/>
        <w:keepLines w:val="0"/>
        <w:widowControl/>
        <w:suppressLineNumbers w:val="0"/>
        <w:spacing w:before="0" w:beforeAutospacing="0" w:after="160" w:afterAutospacing="0" w:line="256" w:lineRule="auto"/>
        <w:ind w:left="0" w:right="0"/>
        <w:jc w:val="center"/>
        <w:rPr>
          <w:rFonts w:hint="default" w:ascii="Calibri" w:hAnsi="Calibri" w:eastAsia="宋体" w:cs="Times New Roman"/>
          <w:b/>
          <w:bCs w:val="0"/>
          <w:kern w:val="0"/>
          <w:sz w:val="40"/>
          <w:szCs w:val="40"/>
          <w:lang w:val="en-US" w:eastAsia="zh-CN" w:bidi="ar"/>
          <w:woUserID w:val="5"/>
        </w:rPr>
      </w:pPr>
    </w:p>
    <w:p w14:paraId="5B0B014E">
      <w:pPr>
        <w:keepNext w:val="0"/>
        <w:keepLines w:val="0"/>
        <w:widowControl/>
        <w:suppressLineNumbers w:val="0"/>
        <w:spacing w:before="0" w:beforeAutospacing="0" w:after="160" w:afterAutospacing="0" w:line="256" w:lineRule="auto"/>
        <w:ind w:left="0" w:right="0"/>
        <w:jc w:val="center"/>
        <w:rPr>
          <w:rFonts w:hint="default" w:ascii="Calibri" w:hAnsi="Calibri" w:eastAsia="宋体" w:cs="Times New Roman"/>
          <w:b/>
          <w:bCs w:val="0"/>
          <w:kern w:val="0"/>
          <w:sz w:val="40"/>
          <w:szCs w:val="40"/>
          <w:lang w:val="en-US" w:eastAsia="zh-CN" w:bidi="ar"/>
          <w:woUserID w:val="5"/>
        </w:rPr>
      </w:pPr>
    </w:p>
    <w:p w14:paraId="2B944D9D">
      <w:pPr>
        <w:keepNext w:val="0"/>
        <w:keepLines w:val="0"/>
        <w:widowControl/>
        <w:suppressLineNumbers w:val="0"/>
        <w:spacing w:before="0" w:beforeAutospacing="0" w:after="160" w:afterAutospacing="0" w:line="256" w:lineRule="auto"/>
        <w:ind w:left="0" w:right="0"/>
        <w:jc w:val="center"/>
        <w:rPr>
          <w:rFonts w:hint="default" w:ascii="Calibri" w:hAnsi="Calibri" w:eastAsia="宋体" w:cs="Times New Roman"/>
          <w:b/>
          <w:bCs w:val="0"/>
          <w:kern w:val="0"/>
          <w:sz w:val="40"/>
          <w:szCs w:val="40"/>
          <w:lang w:val="en-US" w:eastAsia="zh-CN" w:bidi="ar"/>
          <w:woUserID w:val="5"/>
        </w:rPr>
      </w:pPr>
    </w:p>
    <w:p w14:paraId="7873A89A">
      <w:pPr>
        <w:keepNext w:val="0"/>
        <w:keepLines w:val="0"/>
        <w:widowControl/>
        <w:suppressLineNumbers w:val="0"/>
        <w:spacing w:before="0" w:beforeAutospacing="0" w:after="160" w:afterAutospacing="0" w:line="256" w:lineRule="auto"/>
        <w:ind w:left="0" w:right="0"/>
        <w:jc w:val="center"/>
        <w:rPr>
          <w:rFonts w:hint="default" w:ascii="Calibri" w:hAnsi="Calibri" w:eastAsia="宋体" w:cs="Times New Roman"/>
          <w:b/>
          <w:bCs w:val="0"/>
          <w:kern w:val="0"/>
          <w:sz w:val="40"/>
          <w:szCs w:val="40"/>
          <w:lang w:val="en-US" w:eastAsia="zh-CN" w:bidi="ar"/>
          <w:woUserID w:val="5"/>
        </w:rPr>
      </w:pPr>
    </w:p>
    <w:p w14:paraId="0A993609">
      <w:pPr>
        <w:keepNext w:val="0"/>
        <w:keepLines w:val="0"/>
        <w:widowControl/>
        <w:suppressLineNumbers w:val="0"/>
        <w:spacing w:before="0" w:beforeAutospacing="0" w:after="160" w:afterAutospacing="0" w:line="256" w:lineRule="auto"/>
        <w:ind w:left="0" w:right="0"/>
        <w:jc w:val="center"/>
        <w:rPr>
          <w:rFonts w:hint="default" w:ascii="Calibri" w:hAnsi="Calibri" w:eastAsia="宋体" w:cs="Times New Roman"/>
          <w:b/>
          <w:bCs w:val="0"/>
          <w:kern w:val="0"/>
          <w:sz w:val="40"/>
          <w:szCs w:val="40"/>
          <w:lang w:val="en-US" w:eastAsia="zh-CN" w:bidi="ar"/>
          <w:woUserID w:val="5"/>
        </w:rPr>
      </w:pPr>
    </w:p>
    <w:p w14:paraId="737B5C91">
      <w:pPr>
        <w:keepNext w:val="0"/>
        <w:keepLines w:val="0"/>
        <w:widowControl/>
        <w:suppressLineNumbers w:val="0"/>
        <w:spacing w:before="0" w:beforeAutospacing="0" w:after="160" w:afterAutospacing="0" w:line="256" w:lineRule="auto"/>
        <w:ind w:left="0" w:right="0"/>
        <w:jc w:val="center"/>
        <w:rPr>
          <w:rFonts w:hint="default" w:ascii="Calibri" w:hAnsi="Calibri" w:eastAsia="宋体" w:cs="Times New Roman"/>
          <w:b/>
          <w:bCs w:val="0"/>
          <w:kern w:val="0"/>
          <w:sz w:val="40"/>
          <w:szCs w:val="40"/>
          <w:lang w:val="en-US" w:eastAsia="zh-CN" w:bidi="ar"/>
          <w:woUserID w:val="5"/>
        </w:rPr>
      </w:pPr>
    </w:p>
    <w:p w14:paraId="4B30D756">
      <w:pPr>
        <w:keepNext w:val="0"/>
        <w:keepLines w:val="0"/>
        <w:widowControl/>
        <w:suppressLineNumbers w:val="0"/>
        <w:spacing w:before="0" w:beforeAutospacing="0" w:after="160" w:afterAutospacing="0" w:line="256" w:lineRule="auto"/>
        <w:ind w:left="0" w:right="0"/>
        <w:jc w:val="center"/>
        <w:rPr>
          <w:rFonts w:hint="default" w:ascii="Calibri" w:hAnsi="Calibri" w:eastAsia="宋体" w:cs="Times New Roman"/>
          <w:b/>
          <w:bCs w:val="0"/>
          <w:kern w:val="0"/>
          <w:sz w:val="40"/>
          <w:szCs w:val="40"/>
          <w:lang w:val="en-US" w:eastAsia="zh-CN" w:bidi="ar"/>
          <w:woUserID w:val="5"/>
        </w:rPr>
      </w:pPr>
    </w:p>
    <w:p w14:paraId="56BF300A">
      <w:pPr>
        <w:keepNext w:val="0"/>
        <w:keepLines w:val="0"/>
        <w:widowControl/>
        <w:suppressLineNumbers w:val="0"/>
        <w:spacing w:before="0" w:beforeAutospacing="0" w:after="160" w:afterAutospacing="0" w:line="256" w:lineRule="auto"/>
        <w:ind w:left="0" w:right="0"/>
        <w:jc w:val="center"/>
        <w:rPr>
          <w:rFonts w:hint="default" w:ascii="Calibri" w:hAnsi="Calibri" w:eastAsia="宋体" w:cs="Times New Roman"/>
          <w:b/>
          <w:bCs w:val="0"/>
          <w:kern w:val="0"/>
          <w:sz w:val="40"/>
          <w:szCs w:val="40"/>
          <w:lang w:val="en-US" w:eastAsia="zh-CN" w:bidi="ar"/>
          <w:woUserID w:val="5"/>
        </w:rPr>
      </w:pPr>
    </w:p>
    <w:p w14:paraId="03D76C12">
      <w:pPr>
        <w:keepNext w:val="0"/>
        <w:keepLines w:val="0"/>
        <w:widowControl/>
        <w:suppressLineNumbers w:val="0"/>
        <w:spacing w:before="0" w:beforeAutospacing="0" w:after="160" w:afterAutospacing="0" w:line="256" w:lineRule="auto"/>
        <w:ind w:left="0" w:right="0"/>
        <w:jc w:val="center"/>
        <w:rPr>
          <w:rFonts w:hint="default" w:ascii="Calibri" w:hAnsi="Calibri" w:cs="Times New Roman"/>
          <w:b/>
          <w:bCs w:val="0"/>
          <w:sz w:val="40"/>
          <w:szCs w:val="40"/>
          <w:lang w:val="en-US" w:eastAsia="zh-CN"/>
          <w:woUserID w:val="5"/>
        </w:rPr>
      </w:pPr>
      <w:r>
        <w:rPr>
          <w:rFonts w:hint="default" w:ascii="Calibri" w:hAnsi="Calibri" w:eastAsia="宋体" w:cs="Times New Roman"/>
          <w:b/>
          <w:bCs w:val="0"/>
          <w:kern w:val="0"/>
          <w:sz w:val="40"/>
          <w:szCs w:val="40"/>
          <w:lang w:val="en-US" w:eastAsia="zh-CN" w:bidi="ar"/>
          <w:woUserID w:val="5"/>
        </w:rPr>
        <w:t xml:space="preserve">ACC302 </w:t>
      </w:r>
      <w:r>
        <w:rPr>
          <w:rFonts w:hint="eastAsia" w:ascii="Calibri" w:hAnsi="Calibri" w:eastAsia="宋体" w:cs="Times New Roman"/>
          <w:b/>
          <w:bCs w:val="0"/>
          <w:kern w:val="0"/>
          <w:sz w:val="40"/>
          <w:szCs w:val="40"/>
          <w:lang w:val="en-US" w:eastAsia="zh" w:bidi="ar"/>
          <w:woUserID w:val="5"/>
        </w:rPr>
        <w:t>-</w:t>
      </w:r>
      <w:r>
        <w:rPr>
          <w:rFonts w:hint="default" w:ascii="Calibri" w:hAnsi="Calibri" w:eastAsia="宋体" w:cs="Times New Roman"/>
          <w:b/>
          <w:bCs w:val="0"/>
          <w:kern w:val="0"/>
          <w:sz w:val="40"/>
          <w:szCs w:val="40"/>
          <w:lang w:val="en-US" w:eastAsia="zh-CN" w:bidi="ar"/>
          <w:woUserID w:val="5"/>
        </w:rPr>
        <w:t xml:space="preserve"> Group Report </w:t>
      </w:r>
    </w:p>
    <w:p w14:paraId="130E4B57">
      <w:pPr>
        <w:keepNext w:val="0"/>
        <w:keepLines w:val="0"/>
        <w:widowControl/>
        <w:suppressLineNumbers w:val="0"/>
        <w:spacing w:before="0" w:beforeAutospacing="0" w:after="160" w:afterAutospacing="0" w:line="256" w:lineRule="auto"/>
        <w:ind w:left="0" w:right="0"/>
        <w:jc w:val="center"/>
        <w:rPr>
          <w:rFonts w:hint="default" w:ascii="Calibri" w:hAnsi="Calibri" w:cs="Times New Roman"/>
          <w:b/>
          <w:bCs w:val="0"/>
          <w:sz w:val="40"/>
          <w:szCs w:val="40"/>
          <w:lang w:val="en-US"/>
          <w:woUserID w:val="5"/>
        </w:rPr>
      </w:pPr>
      <w:r>
        <w:rPr>
          <w:rFonts w:hint="default" w:ascii="Calibri" w:hAnsi="Calibri" w:eastAsia="宋体" w:cs="Times New Roman"/>
          <w:b/>
          <w:bCs w:val="0"/>
          <w:kern w:val="0"/>
          <w:sz w:val="40"/>
          <w:szCs w:val="40"/>
          <w:lang w:val="en-US" w:eastAsia="zh-CN" w:bidi="ar"/>
          <w:woUserID w:val="5"/>
        </w:rPr>
        <w:t>Peer Review of Individual Contribution</w:t>
      </w:r>
    </w:p>
    <w:p w14:paraId="18A5E403">
      <w:pPr>
        <w:keepNext w:val="0"/>
        <w:keepLines w:val="0"/>
        <w:widowControl/>
        <w:suppressLineNumbers w:val="0"/>
        <w:spacing w:before="0" w:beforeAutospacing="0" w:after="160" w:afterAutospacing="0" w:line="256" w:lineRule="auto"/>
        <w:ind w:left="0" w:right="0"/>
        <w:jc w:val="left"/>
        <w:rPr>
          <w:rFonts w:hint="default" w:ascii="Calibri" w:hAnsi="Calibri" w:cs="Times New Roman"/>
          <w:lang w:val="en-US"/>
          <w:woUserID w:val="5"/>
        </w:rPr>
      </w:pPr>
    </w:p>
    <w:p w14:paraId="0DAEDB49">
      <w:pPr>
        <w:keepNext w:val="0"/>
        <w:keepLines w:val="0"/>
        <w:widowControl/>
        <w:suppressLineNumbers w:val="0"/>
        <w:spacing w:before="0" w:beforeAutospacing="0" w:after="100" w:afterAutospacing="0" w:line="256" w:lineRule="auto"/>
        <w:ind w:left="0" w:right="0"/>
        <w:jc w:val="both"/>
        <w:rPr>
          <w:rFonts w:hint="default" w:ascii="Calibri" w:hAnsi="Calibri" w:cs="Times New Roman"/>
          <w:lang w:val="en-US" w:eastAsia="zh-CN"/>
          <w:woUserID w:val="5"/>
        </w:rPr>
      </w:pPr>
      <w:r>
        <w:rPr>
          <w:rFonts w:hint="default" w:ascii="Calibri" w:hAnsi="Calibri" w:eastAsia="宋体" w:cs="Times New Roman"/>
          <w:kern w:val="0"/>
          <w:sz w:val="24"/>
          <w:szCs w:val="24"/>
          <w:lang w:val="en-US" w:eastAsia="zh-CN" w:bidi="ar"/>
          <w:woUserID w:val="5"/>
        </w:rPr>
        <w:t>You are required to evaluate the effort that was put into the group report by all the group members.This form should be completed in consultation with all group members and should add up to 100%.</w:t>
      </w:r>
    </w:p>
    <w:tbl>
      <w:tblPr>
        <w:tblStyle w:val="9"/>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27"/>
        <w:gridCol w:w="3905"/>
        <w:gridCol w:w="1542"/>
        <w:gridCol w:w="2998"/>
      </w:tblGrid>
      <w:tr w14:paraId="14EC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622" w:type="dxa"/>
            <w:tcBorders>
              <w:top w:val="single" w:color="auto" w:sz="4" w:space="0"/>
              <w:left w:val="single" w:color="auto" w:sz="4" w:space="0"/>
              <w:bottom w:val="single" w:color="auto" w:sz="4" w:space="0"/>
              <w:right w:val="single" w:color="auto" w:sz="4" w:space="0"/>
            </w:tcBorders>
            <w:shd w:val="clear" w:color="auto" w:fill="auto"/>
            <w:vAlign w:val="center"/>
          </w:tcPr>
          <w:p w14:paraId="5E1178BB">
            <w:pPr>
              <w:keepNext w:val="0"/>
              <w:keepLines w:val="0"/>
              <w:widowControl/>
              <w:suppressLineNumbers w:val="0"/>
              <w:spacing w:before="0" w:beforeAutospacing="0" w:after="160" w:afterAutospacing="0" w:line="256" w:lineRule="auto"/>
              <w:ind w:left="0" w:right="0"/>
              <w:jc w:val="center"/>
              <w:rPr>
                <w:rFonts w:hint="default" w:ascii="Calibri" w:hAnsi="Calibri" w:cs="Times New Roman"/>
                <w:b/>
                <w:bCs w:val="0"/>
                <w:lang w:val="nl-BE" w:eastAsia="zh-CN"/>
                <w:woUserID w:val="5"/>
              </w:rPr>
            </w:pPr>
          </w:p>
        </w:tc>
        <w:tc>
          <w:tcPr>
            <w:tcW w:w="3874" w:type="dxa"/>
            <w:tcBorders>
              <w:top w:val="single" w:color="auto" w:sz="4" w:space="0"/>
              <w:left w:val="single" w:color="auto" w:sz="4" w:space="0"/>
              <w:bottom w:val="single" w:color="auto" w:sz="4" w:space="0"/>
              <w:right w:val="single" w:color="auto" w:sz="4" w:space="0"/>
            </w:tcBorders>
            <w:shd w:val="clear" w:color="auto" w:fill="auto"/>
            <w:vAlign w:val="center"/>
          </w:tcPr>
          <w:p w14:paraId="26FA6E17">
            <w:pPr>
              <w:keepNext w:val="0"/>
              <w:keepLines w:val="0"/>
              <w:widowControl/>
              <w:suppressLineNumbers w:val="0"/>
              <w:spacing w:before="0" w:beforeAutospacing="0" w:after="160" w:afterAutospacing="0" w:line="256" w:lineRule="auto"/>
              <w:ind w:left="0" w:right="0"/>
              <w:jc w:val="center"/>
              <w:rPr>
                <w:rFonts w:hint="default" w:ascii="Calibri" w:hAnsi="Calibri" w:cs="Times New Roman"/>
                <w:b/>
                <w:bCs w:val="0"/>
                <w:lang w:val="nl-BE" w:eastAsia="zh-CN"/>
                <w:woUserID w:val="5"/>
              </w:rPr>
            </w:pPr>
            <w:r>
              <w:rPr>
                <w:rFonts w:hint="default" w:ascii="Calibri" w:hAnsi="Calibri" w:eastAsia="宋体" w:cs="Times New Roman"/>
                <w:b/>
                <w:bCs w:val="0"/>
                <w:kern w:val="0"/>
                <w:sz w:val="24"/>
                <w:szCs w:val="24"/>
                <w:lang w:val="nl-BE" w:eastAsia="zh-CN" w:bidi="ar"/>
                <w:woUserID w:val="5"/>
              </w:rPr>
              <w:t>Student Name</w:t>
            </w: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tcPr>
          <w:p w14:paraId="1E1D7ED5">
            <w:pPr>
              <w:keepNext w:val="0"/>
              <w:keepLines w:val="0"/>
              <w:widowControl/>
              <w:suppressLineNumbers w:val="0"/>
              <w:spacing w:before="0" w:beforeAutospacing="0" w:after="160" w:afterAutospacing="0" w:line="256" w:lineRule="auto"/>
              <w:ind w:left="0" w:right="0"/>
              <w:jc w:val="center"/>
              <w:rPr>
                <w:rFonts w:hint="default" w:ascii="Calibri" w:hAnsi="Calibri" w:cs="Times New Roman"/>
                <w:b/>
                <w:bCs w:val="0"/>
                <w:lang w:val="nl-BE" w:eastAsia="zh-CN"/>
                <w:woUserID w:val="5"/>
              </w:rPr>
            </w:pPr>
            <w:r>
              <w:rPr>
                <w:rFonts w:hint="default" w:ascii="Calibri" w:hAnsi="Calibri" w:eastAsia="宋体" w:cs="Times New Roman"/>
                <w:b/>
                <w:bCs w:val="0"/>
                <w:kern w:val="0"/>
                <w:sz w:val="24"/>
                <w:szCs w:val="24"/>
                <w:lang w:val="nl-BE" w:eastAsia="zh-CN" w:bidi="ar"/>
                <w:woUserID w:val="5"/>
              </w:rPr>
              <w:t>% of Contribution</w:t>
            </w:r>
          </w:p>
        </w:tc>
        <w:tc>
          <w:tcPr>
            <w:tcW w:w="2973" w:type="dxa"/>
            <w:tcBorders>
              <w:top w:val="single" w:color="auto" w:sz="4" w:space="0"/>
              <w:left w:val="single" w:color="auto" w:sz="4" w:space="0"/>
              <w:bottom w:val="single" w:color="auto" w:sz="4" w:space="0"/>
              <w:right w:val="single" w:color="auto" w:sz="4" w:space="0"/>
            </w:tcBorders>
            <w:shd w:val="clear" w:color="auto" w:fill="auto"/>
            <w:vAlign w:val="center"/>
          </w:tcPr>
          <w:p w14:paraId="2BAA39AD">
            <w:pPr>
              <w:keepNext w:val="0"/>
              <w:keepLines w:val="0"/>
              <w:widowControl/>
              <w:suppressLineNumbers w:val="0"/>
              <w:spacing w:before="0" w:beforeAutospacing="0" w:after="160" w:afterAutospacing="0" w:line="256" w:lineRule="auto"/>
              <w:ind w:left="0" w:right="0"/>
              <w:jc w:val="center"/>
              <w:rPr>
                <w:rFonts w:hint="default" w:ascii="Calibri" w:hAnsi="Calibri" w:cs="Times New Roman"/>
                <w:b/>
                <w:bCs w:val="0"/>
                <w:lang w:val="nl-BE" w:eastAsia="zh-CN"/>
                <w:woUserID w:val="5"/>
              </w:rPr>
            </w:pPr>
            <w:r>
              <w:rPr>
                <w:rFonts w:hint="default" w:ascii="Calibri" w:hAnsi="Calibri" w:eastAsia="宋体" w:cs="Times New Roman"/>
                <w:b/>
                <w:bCs w:val="0"/>
                <w:kern w:val="0"/>
                <w:sz w:val="24"/>
                <w:szCs w:val="24"/>
                <w:lang w:val="nl-BE" w:eastAsia="zh-CN" w:bidi="ar"/>
                <w:woUserID w:val="5"/>
              </w:rPr>
              <w:t>Remarks (if any)</w:t>
            </w:r>
          </w:p>
        </w:tc>
      </w:tr>
      <w:tr w14:paraId="12A3B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jc w:val="center"/>
        </w:trPr>
        <w:tc>
          <w:tcPr>
            <w:tcW w:w="622" w:type="dxa"/>
            <w:tcBorders>
              <w:top w:val="single" w:color="auto" w:sz="4" w:space="0"/>
              <w:left w:val="single" w:color="auto" w:sz="4" w:space="0"/>
              <w:bottom w:val="single" w:color="auto" w:sz="4" w:space="0"/>
              <w:right w:val="single" w:color="auto" w:sz="4" w:space="0"/>
            </w:tcBorders>
            <w:shd w:val="clear" w:color="auto" w:fill="auto"/>
            <w:vAlign w:val="center"/>
          </w:tcPr>
          <w:p w14:paraId="6B7E442A">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nl-BE" w:eastAsia="zh-CN"/>
                <w:woUserID w:val="5"/>
              </w:rPr>
            </w:pPr>
            <w:r>
              <w:rPr>
                <w:rFonts w:hint="default" w:ascii="Calibri" w:hAnsi="Calibri" w:eastAsia="宋体" w:cs="Times New Roman"/>
                <w:kern w:val="0"/>
                <w:sz w:val="24"/>
                <w:szCs w:val="24"/>
                <w:lang w:val="nl-BE" w:eastAsia="zh-CN" w:bidi="ar"/>
                <w:woUserID w:val="5"/>
              </w:rPr>
              <w:t>1.</w:t>
            </w:r>
          </w:p>
        </w:tc>
        <w:tc>
          <w:tcPr>
            <w:tcW w:w="3874" w:type="dxa"/>
            <w:tcBorders>
              <w:top w:val="single" w:color="auto" w:sz="4" w:space="0"/>
              <w:left w:val="single" w:color="auto" w:sz="4" w:space="0"/>
              <w:bottom w:val="single" w:color="auto" w:sz="4" w:space="0"/>
              <w:right w:val="single" w:color="auto" w:sz="4" w:space="0"/>
            </w:tcBorders>
            <w:shd w:val="clear" w:color="auto" w:fill="auto"/>
            <w:vAlign w:val="center"/>
          </w:tcPr>
          <w:p w14:paraId="09502B38">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eastAsiaTheme="minorEastAsia"/>
                <w:b w:val="0"/>
                <w:bCs w:val="0"/>
                <w:sz w:val="24"/>
                <w:szCs w:val="32"/>
                <w:lang w:val="en-US" w:eastAsia="zh"/>
                <w:woUserID w:val="5"/>
              </w:rPr>
            </w:pPr>
            <w:r>
              <w:rPr>
                <w:rFonts w:hint="eastAsia" w:ascii="Calibri" w:hAnsi="Calibri" w:cs="Times New Roman"/>
                <w:b w:val="0"/>
                <w:bCs w:val="0"/>
                <w:sz w:val="24"/>
                <w:szCs w:val="32"/>
                <w:lang w:val="en-US" w:eastAsia="zh"/>
                <w:woUserID w:val="5"/>
              </w:rPr>
              <w:t>Ying Huang</w:t>
            </w: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tcPr>
          <w:p w14:paraId="4FB0EAC1">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eastAsiaTheme="minorEastAsia"/>
                <w:b/>
                <w:bCs w:val="0"/>
                <w:lang w:val="en-US" w:eastAsia="zh"/>
                <w:woUserID w:val="5"/>
              </w:rPr>
            </w:pPr>
            <w:r>
              <w:rPr>
                <w:rFonts w:hint="eastAsia" w:ascii="Calibri" w:hAnsi="Calibri" w:cs="Times New Roman"/>
                <w:b w:val="0"/>
                <w:bCs w:val="0"/>
                <w:lang w:val="en-US" w:eastAsia="zh"/>
                <w:woUserID w:val="5"/>
              </w:rPr>
              <w:t>16.67</w:t>
            </w:r>
          </w:p>
        </w:tc>
        <w:tc>
          <w:tcPr>
            <w:tcW w:w="2973" w:type="dxa"/>
            <w:tcBorders>
              <w:top w:val="single" w:color="auto" w:sz="4" w:space="0"/>
              <w:left w:val="single" w:color="auto" w:sz="4" w:space="0"/>
              <w:bottom w:val="single" w:color="auto" w:sz="4" w:space="0"/>
              <w:right w:val="single" w:color="auto" w:sz="4" w:space="0"/>
            </w:tcBorders>
            <w:shd w:val="clear" w:color="auto" w:fill="auto"/>
            <w:vAlign w:val="center"/>
          </w:tcPr>
          <w:p w14:paraId="74D76147">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sz w:val="24"/>
                <w:szCs w:val="32"/>
                <w:lang w:val="nl-BE" w:eastAsia="zh"/>
                <w:woUserID w:val="5"/>
              </w:rPr>
            </w:pPr>
            <w:r>
              <w:rPr>
                <w:rFonts w:hint="eastAsia" w:ascii="Calibri" w:hAnsi="Calibri" w:cs="Times New Roman"/>
                <w:sz w:val="24"/>
                <w:szCs w:val="32"/>
                <w:lang w:val="nl-BE" w:eastAsia="zh"/>
                <w:woUserID w:val="5"/>
              </w:rPr>
              <w:t>Q1+Q3+Q6</w:t>
            </w:r>
          </w:p>
        </w:tc>
      </w:tr>
      <w:tr w14:paraId="4B5D3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jc w:val="center"/>
        </w:trPr>
        <w:tc>
          <w:tcPr>
            <w:tcW w:w="622" w:type="dxa"/>
            <w:tcBorders>
              <w:top w:val="single" w:color="auto" w:sz="4" w:space="0"/>
              <w:left w:val="single" w:color="auto" w:sz="4" w:space="0"/>
              <w:bottom w:val="single" w:color="auto" w:sz="4" w:space="0"/>
              <w:right w:val="single" w:color="auto" w:sz="4" w:space="0"/>
            </w:tcBorders>
            <w:shd w:val="clear" w:color="auto" w:fill="auto"/>
            <w:vAlign w:val="center"/>
          </w:tcPr>
          <w:p w14:paraId="2A6B5C99">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nl-BE" w:eastAsia="zh-CN"/>
                <w:woUserID w:val="5"/>
              </w:rPr>
            </w:pPr>
            <w:r>
              <w:rPr>
                <w:rFonts w:hint="default" w:ascii="Calibri" w:hAnsi="Calibri" w:eastAsia="宋体" w:cs="Times New Roman"/>
                <w:kern w:val="0"/>
                <w:sz w:val="24"/>
                <w:szCs w:val="24"/>
                <w:lang w:val="nl-BE" w:eastAsia="zh-CN" w:bidi="ar"/>
                <w:woUserID w:val="5"/>
              </w:rPr>
              <w:t>2.</w:t>
            </w:r>
          </w:p>
        </w:tc>
        <w:tc>
          <w:tcPr>
            <w:tcW w:w="3874" w:type="dxa"/>
            <w:tcBorders>
              <w:top w:val="single" w:color="auto" w:sz="4" w:space="0"/>
              <w:left w:val="single" w:color="auto" w:sz="4" w:space="0"/>
              <w:bottom w:val="single" w:color="auto" w:sz="4" w:space="0"/>
              <w:right w:val="single" w:color="auto" w:sz="4" w:space="0"/>
            </w:tcBorders>
            <w:shd w:val="clear" w:color="auto" w:fill="auto"/>
            <w:vAlign w:val="center"/>
          </w:tcPr>
          <w:p w14:paraId="2BED23FD">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eastAsiaTheme="minorEastAsia"/>
                <w:sz w:val="24"/>
                <w:szCs w:val="32"/>
                <w:lang w:val="en-US" w:eastAsia="zh"/>
                <w:woUserID w:val="5"/>
              </w:rPr>
            </w:pPr>
            <w:r>
              <w:rPr>
                <w:rFonts w:hint="eastAsia" w:ascii="Calibri" w:hAnsi="Calibri" w:cs="Times New Roman"/>
                <w:sz w:val="24"/>
                <w:szCs w:val="32"/>
                <w:lang w:val="en-US" w:eastAsia="zh"/>
                <w:woUserID w:val="5"/>
              </w:rPr>
              <w:t>Xingjian Lu</w:t>
            </w: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tcPr>
          <w:p w14:paraId="09AAF406">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en-US" w:eastAsia="zh-CN"/>
                <w:woUserID w:val="5"/>
              </w:rPr>
            </w:pPr>
            <w:r>
              <w:rPr>
                <w:rFonts w:hint="eastAsia" w:ascii="Calibri" w:hAnsi="Calibri" w:cs="Times New Roman"/>
                <w:b w:val="0"/>
                <w:bCs w:val="0"/>
                <w:lang w:val="en-US" w:eastAsia="zh"/>
                <w:woUserID w:val="5"/>
              </w:rPr>
              <w:t>16.67</w:t>
            </w:r>
          </w:p>
        </w:tc>
        <w:tc>
          <w:tcPr>
            <w:tcW w:w="2973" w:type="dxa"/>
            <w:tcBorders>
              <w:top w:val="single" w:color="auto" w:sz="4" w:space="0"/>
              <w:left w:val="single" w:color="auto" w:sz="4" w:space="0"/>
              <w:bottom w:val="single" w:color="auto" w:sz="4" w:space="0"/>
              <w:right w:val="single" w:color="auto" w:sz="4" w:space="0"/>
            </w:tcBorders>
            <w:shd w:val="clear" w:color="auto" w:fill="auto"/>
            <w:vAlign w:val="center"/>
          </w:tcPr>
          <w:p w14:paraId="71621B03">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sz w:val="24"/>
                <w:szCs w:val="32"/>
                <w:lang w:val="nl-BE" w:eastAsia="zh"/>
                <w:woUserID w:val="5"/>
              </w:rPr>
            </w:pPr>
            <w:r>
              <w:rPr>
                <w:rFonts w:hint="eastAsia" w:ascii="Calibri" w:hAnsi="Calibri" w:cs="Times New Roman"/>
                <w:sz w:val="24"/>
                <w:szCs w:val="32"/>
                <w:lang w:val="nl-BE" w:eastAsia="zh"/>
                <w:woUserID w:val="5"/>
              </w:rPr>
              <w:t>Q1+Q3+Q5</w:t>
            </w:r>
          </w:p>
        </w:tc>
      </w:tr>
      <w:tr w14:paraId="1A611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jc w:val="center"/>
        </w:trPr>
        <w:tc>
          <w:tcPr>
            <w:tcW w:w="622" w:type="dxa"/>
            <w:tcBorders>
              <w:top w:val="single" w:color="auto" w:sz="4" w:space="0"/>
              <w:left w:val="single" w:color="auto" w:sz="4" w:space="0"/>
              <w:bottom w:val="single" w:color="auto" w:sz="4" w:space="0"/>
              <w:right w:val="single" w:color="auto" w:sz="4" w:space="0"/>
            </w:tcBorders>
            <w:shd w:val="clear" w:color="auto" w:fill="auto"/>
            <w:vAlign w:val="center"/>
          </w:tcPr>
          <w:p w14:paraId="2BE75414">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nl-BE" w:eastAsia="zh-CN"/>
                <w:woUserID w:val="5"/>
              </w:rPr>
            </w:pPr>
            <w:r>
              <w:rPr>
                <w:rFonts w:hint="default" w:ascii="Calibri" w:hAnsi="Calibri" w:eastAsia="宋体" w:cs="Times New Roman"/>
                <w:kern w:val="0"/>
                <w:sz w:val="24"/>
                <w:szCs w:val="24"/>
                <w:lang w:val="nl-BE" w:eastAsia="zh-CN" w:bidi="ar"/>
                <w:woUserID w:val="5"/>
              </w:rPr>
              <w:t>3.</w:t>
            </w:r>
          </w:p>
        </w:tc>
        <w:tc>
          <w:tcPr>
            <w:tcW w:w="3874" w:type="dxa"/>
            <w:tcBorders>
              <w:top w:val="single" w:color="auto" w:sz="4" w:space="0"/>
              <w:left w:val="single" w:color="auto" w:sz="4" w:space="0"/>
              <w:bottom w:val="single" w:color="auto" w:sz="4" w:space="0"/>
              <w:right w:val="single" w:color="auto" w:sz="4" w:space="0"/>
            </w:tcBorders>
            <w:shd w:val="clear" w:color="auto" w:fill="auto"/>
            <w:vAlign w:val="center"/>
          </w:tcPr>
          <w:p w14:paraId="3C939290">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eastAsiaTheme="minorEastAsia"/>
                <w:sz w:val="24"/>
                <w:szCs w:val="32"/>
                <w:lang w:val="en-US" w:eastAsia="zh"/>
                <w:woUserID w:val="5"/>
              </w:rPr>
            </w:pPr>
            <w:r>
              <w:rPr>
                <w:rFonts w:hint="eastAsia" w:ascii="Calibri" w:hAnsi="Calibri" w:cs="Times New Roman"/>
                <w:sz w:val="24"/>
                <w:szCs w:val="32"/>
                <w:lang w:val="en-US" w:eastAsia="zh"/>
                <w:woUserID w:val="5"/>
              </w:rPr>
              <w:t>Wangyu Li</w:t>
            </w: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tcPr>
          <w:p w14:paraId="295CF8B9">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en-US" w:eastAsia="zh-CN"/>
                <w:woUserID w:val="5"/>
              </w:rPr>
            </w:pPr>
            <w:r>
              <w:rPr>
                <w:rFonts w:hint="eastAsia" w:ascii="Calibri" w:hAnsi="Calibri" w:cs="Times New Roman"/>
                <w:b w:val="0"/>
                <w:bCs w:val="0"/>
                <w:lang w:val="en-US" w:eastAsia="zh"/>
                <w:woUserID w:val="5"/>
              </w:rPr>
              <w:t>16.67</w:t>
            </w:r>
          </w:p>
        </w:tc>
        <w:tc>
          <w:tcPr>
            <w:tcW w:w="2973" w:type="dxa"/>
            <w:tcBorders>
              <w:top w:val="single" w:color="auto" w:sz="4" w:space="0"/>
              <w:left w:val="single" w:color="auto" w:sz="4" w:space="0"/>
              <w:bottom w:val="single" w:color="auto" w:sz="4" w:space="0"/>
              <w:right w:val="single" w:color="auto" w:sz="4" w:space="0"/>
            </w:tcBorders>
            <w:shd w:val="clear" w:color="auto" w:fill="auto"/>
            <w:vAlign w:val="center"/>
          </w:tcPr>
          <w:p w14:paraId="3B193A6D">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sz w:val="24"/>
                <w:szCs w:val="32"/>
                <w:lang w:val="nl-BE" w:eastAsia="zh"/>
                <w:woUserID w:val="5"/>
              </w:rPr>
            </w:pPr>
            <w:r>
              <w:rPr>
                <w:rFonts w:hint="eastAsia" w:ascii="Calibri" w:hAnsi="Calibri" w:cs="Times New Roman"/>
                <w:sz w:val="24"/>
                <w:szCs w:val="32"/>
                <w:lang w:val="nl-BE" w:eastAsia="zh"/>
                <w:woUserID w:val="5"/>
              </w:rPr>
              <w:t>Q2+Q3</w:t>
            </w:r>
          </w:p>
        </w:tc>
      </w:tr>
      <w:tr w14:paraId="0341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jc w:val="center"/>
        </w:trPr>
        <w:tc>
          <w:tcPr>
            <w:tcW w:w="622" w:type="dxa"/>
            <w:tcBorders>
              <w:top w:val="single" w:color="auto" w:sz="4" w:space="0"/>
              <w:left w:val="single" w:color="auto" w:sz="4" w:space="0"/>
              <w:bottom w:val="single" w:color="auto" w:sz="4" w:space="0"/>
              <w:right w:val="single" w:color="auto" w:sz="4" w:space="0"/>
            </w:tcBorders>
            <w:shd w:val="clear" w:color="auto" w:fill="auto"/>
            <w:vAlign w:val="center"/>
          </w:tcPr>
          <w:p w14:paraId="631F6830">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nl-BE" w:eastAsia="zh-CN"/>
                <w:woUserID w:val="5"/>
              </w:rPr>
            </w:pPr>
            <w:r>
              <w:rPr>
                <w:rFonts w:hint="default" w:ascii="Calibri" w:hAnsi="Calibri" w:eastAsia="宋体" w:cs="Times New Roman"/>
                <w:kern w:val="0"/>
                <w:sz w:val="24"/>
                <w:szCs w:val="24"/>
                <w:lang w:val="nl-BE" w:eastAsia="zh-CN" w:bidi="ar"/>
                <w:woUserID w:val="5"/>
              </w:rPr>
              <w:t>4.</w:t>
            </w:r>
          </w:p>
        </w:tc>
        <w:tc>
          <w:tcPr>
            <w:tcW w:w="3874" w:type="dxa"/>
            <w:tcBorders>
              <w:top w:val="single" w:color="auto" w:sz="4" w:space="0"/>
              <w:left w:val="single" w:color="auto" w:sz="4" w:space="0"/>
              <w:bottom w:val="single" w:color="auto" w:sz="4" w:space="0"/>
              <w:right w:val="single" w:color="auto" w:sz="4" w:space="0"/>
            </w:tcBorders>
            <w:shd w:val="clear" w:color="auto" w:fill="auto"/>
            <w:vAlign w:val="center"/>
          </w:tcPr>
          <w:p w14:paraId="14AE0F30">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eastAsiaTheme="minorEastAsia"/>
                <w:sz w:val="24"/>
                <w:szCs w:val="32"/>
                <w:lang w:val="en-US" w:eastAsia="zh"/>
                <w:woUserID w:val="5"/>
              </w:rPr>
            </w:pPr>
            <w:r>
              <w:rPr>
                <w:rFonts w:hint="eastAsia" w:ascii="Calibri" w:hAnsi="Calibri" w:cs="Times New Roman"/>
                <w:sz w:val="24"/>
                <w:szCs w:val="32"/>
                <w:lang w:val="en-US" w:eastAsia="zh"/>
                <w:woUserID w:val="5"/>
              </w:rPr>
              <w:t>Yidi Tang</w:t>
            </w: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tcPr>
          <w:p w14:paraId="132B5C2C">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en-US" w:eastAsia="zh-CN"/>
                <w:woUserID w:val="5"/>
              </w:rPr>
            </w:pPr>
            <w:r>
              <w:rPr>
                <w:rFonts w:hint="eastAsia" w:ascii="Calibri" w:hAnsi="Calibri" w:cs="Times New Roman"/>
                <w:b w:val="0"/>
                <w:bCs w:val="0"/>
                <w:lang w:val="en-US" w:eastAsia="zh"/>
                <w:woUserID w:val="5"/>
              </w:rPr>
              <w:t>16.67</w:t>
            </w:r>
          </w:p>
        </w:tc>
        <w:tc>
          <w:tcPr>
            <w:tcW w:w="2973" w:type="dxa"/>
            <w:tcBorders>
              <w:top w:val="single" w:color="auto" w:sz="4" w:space="0"/>
              <w:left w:val="single" w:color="auto" w:sz="4" w:space="0"/>
              <w:bottom w:val="single" w:color="auto" w:sz="4" w:space="0"/>
              <w:right w:val="single" w:color="auto" w:sz="4" w:space="0"/>
            </w:tcBorders>
            <w:shd w:val="clear" w:color="auto" w:fill="auto"/>
            <w:vAlign w:val="center"/>
          </w:tcPr>
          <w:p w14:paraId="41139BC3">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sz w:val="24"/>
                <w:szCs w:val="32"/>
                <w:lang w:val="nl-BE" w:eastAsia="zh"/>
                <w:woUserID w:val="5"/>
              </w:rPr>
            </w:pPr>
            <w:r>
              <w:rPr>
                <w:rFonts w:hint="eastAsia" w:ascii="Calibri" w:hAnsi="Calibri" w:cs="Times New Roman"/>
                <w:sz w:val="24"/>
                <w:szCs w:val="32"/>
                <w:lang w:val="nl-BE" w:eastAsia="zh"/>
                <w:woUserID w:val="5"/>
              </w:rPr>
              <w:t>Q2+Q3</w:t>
            </w:r>
          </w:p>
        </w:tc>
      </w:tr>
      <w:tr w14:paraId="58D2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jc w:val="center"/>
        </w:trPr>
        <w:tc>
          <w:tcPr>
            <w:tcW w:w="622" w:type="dxa"/>
            <w:tcBorders>
              <w:top w:val="single" w:color="auto" w:sz="4" w:space="0"/>
              <w:left w:val="single" w:color="auto" w:sz="4" w:space="0"/>
              <w:bottom w:val="single" w:color="auto" w:sz="4" w:space="0"/>
              <w:right w:val="single" w:color="auto" w:sz="4" w:space="0"/>
            </w:tcBorders>
            <w:shd w:val="clear" w:color="auto" w:fill="auto"/>
            <w:vAlign w:val="center"/>
          </w:tcPr>
          <w:p w14:paraId="358976EF">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en-US" w:eastAsia="zh-CN"/>
                <w:woUserID w:val="5"/>
              </w:rPr>
            </w:pPr>
            <w:r>
              <w:rPr>
                <w:rFonts w:hint="default" w:ascii="Calibri" w:hAnsi="Calibri" w:eastAsia="宋体" w:cs="Times New Roman"/>
                <w:kern w:val="0"/>
                <w:sz w:val="24"/>
                <w:szCs w:val="24"/>
                <w:lang w:val="en-US" w:eastAsia="zh-CN" w:bidi="ar"/>
                <w:woUserID w:val="5"/>
              </w:rPr>
              <w:t>5.</w:t>
            </w:r>
          </w:p>
        </w:tc>
        <w:tc>
          <w:tcPr>
            <w:tcW w:w="3874" w:type="dxa"/>
            <w:tcBorders>
              <w:top w:val="single" w:color="auto" w:sz="4" w:space="0"/>
              <w:left w:val="single" w:color="auto" w:sz="4" w:space="0"/>
              <w:bottom w:val="single" w:color="auto" w:sz="4" w:space="0"/>
              <w:right w:val="single" w:color="auto" w:sz="4" w:space="0"/>
            </w:tcBorders>
            <w:shd w:val="clear" w:color="auto" w:fill="auto"/>
            <w:vAlign w:val="center"/>
          </w:tcPr>
          <w:p w14:paraId="1E5CA413">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eastAsiaTheme="minorEastAsia"/>
                <w:sz w:val="24"/>
                <w:szCs w:val="32"/>
                <w:lang w:val="nl-BE" w:eastAsia="zh"/>
                <w:woUserID w:val="5"/>
              </w:rPr>
            </w:pPr>
            <w:r>
              <w:rPr>
                <w:rFonts w:hint="eastAsia" w:ascii="Calibri" w:hAnsi="Calibri" w:cs="Times New Roman"/>
                <w:sz w:val="24"/>
                <w:szCs w:val="32"/>
                <w:lang w:val="nl-BE" w:eastAsia="zh"/>
                <w:woUserID w:val="5"/>
              </w:rPr>
              <w:t>Jingwei Liu</w:t>
            </w: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tcPr>
          <w:p w14:paraId="33738543">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nl-BE"/>
                <w:woUserID w:val="5"/>
              </w:rPr>
            </w:pPr>
            <w:r>
              <w:rPr>
                <w:rFonts w:hint="eastAsia" w:ascii="Calibri" w:hAnsi="Calibri" w:cs="Times New Roman"/>
                <w:b w:val="0"/>
                <w:bCs w:val="0"/>
                <w:lang w:val="en-US" w:eastAsia="zh"/>
                <w:woUserID w:val="5"/>
              </w:rPr>
              <w:t>16.67</w:t>
            </w:r>
          </w:p>
        </w:tc>
        <w:tc>
          <w:tcPr>
            <w:tcW w:w="2973" w:type="dxa"/>
            <w:tcBorders>
              <w:top w:val="single" w:color="auto" w:sz="4" w:space="0"/>
              <w:left w:val="single" w:color="auto" w:sz="4" w:space="0"/>
              <w:bottom w:val="single" w:color="auto" w:sz="4" w:space="0"/>
              <w:right w:val="single" w:color="auto" w:sz="4" w:space="0"/>
            </w:tcBorders>
            <w:shd w:val="clear" w:color="auto" w:fill="auto"/>
            <w:vAlign w:val="center"/>
          </w:tcPr>
          <w:p w14:paraId="75CB6BD9">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sz w:val="24"/>
                <w:szCs w:val="32"/>
                <w:lang w:val="nl-BE" w:eastAsia="zh"/>
                <w:woUserID w:val="5"/>
              </w:rPr>
            </w:pPr>
            <w:r>
              <w:rPr>
                <w:rFonts w:hint="eastAsia" w:ascii="Calibri" w:hAnsi="Calibri" w:cs="Times New Roman"/>
                <w:sz w:val="24"/>
                <w:szCs w:val="32"/>
                <w:lang w:val="nl-BE" w:eastAsia="zh"/>
                <w:woUserID w:val="5"/>
              </w:rPr>
              <w:t>Q3+Q4+Q6</w:t>
            </w:r>
          </w:p>
        </w:tc>
      </w:tr>
      <w:tr w14:paraId="39102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jc w:val="center"/>
        </w:trPr>
        <w:tc>
          <w:tcPr>
            <w:tcW w:w="622" w:type="dxa"/>
            <w:tcBorders>
              <w:top w:val="single" w:color="auto" w:sz="4" w:space="0"/>
              <w:left w:val="single" w:color="auto" w:sz="4" w:space="0"/>
              <w:bottom w:val="single" w:color="auto" w:sz="4" w:space="0"/>
              <w:right w:val="single" w:color="auto" w:sz="4" w:space="0"/>
            </w:tcBorders>
            <w:shd w:val="clear" w:color="auto" w:fill="auto"/>
            <w:vAlign w:val="center"/>
          </w:tcPr>
          <w:p w14:paraId="4EA58476">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en-US" w:eastAsia="zh-CN"/>
                <w:woUserID w:val="5"/>
              </w:rPr>
            </w:pPr>
            <w:r>
              <w:rPr>
                <w:rFonts w:hint="default" w:ascii="Calibri" w:hAnsi="Calibri" w:eastAsia="宋体" w:cs="Times New Roman"/>
                <w:kern w:val="0"/>
                <w:sz w:val="24"/>
                <w:szCs w:val="24"/>
                <w:lang w:val="en-US" w:eastAsia="zh-CN" w:bidi="ar"/>
                <w:woUserID w:val="5"/>
              </w:rPr>
              <w:t>6.</w:t>
            </w:r>
          </w:p>
        </w:tc>
        <w:tc>
          <w:tcPr>
            <w:tcW w:w="3874" w:type="dxa"/>
            <w:tcBorders>
              <w:top w:val="single" w:color="auto" w:sz="4" w:space="0"/>
              <w:left w:val="single" w:color="auto" w:sz="4" w:space="0"/>
              <w:bottom w:val="single" w:color="auto" w:sz="4" w:space="0"/>
              <w:right w:val="single" w:color="auto" w:sz="4" w:space="0"/>
            </w:tcBorders>
            <w:shd w:val="clear" w:color="auto" w:fill="auto"/>
            <w:vAlign w:val="center"/>
          </w:tcPr>
          <w:p w14:paraId="269A490A">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eastAsiaTheme="minorEastAsia"/>
                <w:sz w:val="24"/>
                <w:szCs w:val="32"/>
                <w:lang w:val="nl-BE" w:eastAsia="zh"/>
                <w:woUserID w:val="5"/>
              </w:rPr>
            </w:pPr>
            <w:r>
              <w:rPr>
                <w:rFonts w:hint="eastAsia" w:ascii="Calibri" w:hAnsi="Calibri" w:cs="Times New Roman"/>
                <w:sz w:val="24"/>
                <w:szCs w:val="32"/>
                <w:lang w:val="nl-BE" w:eastAsia="zh"/>
                <w:woUserID w:val="5"/>
              </w:rPr>
              <w:t>Tianyu Zhou</w:t>
            </w: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tcPr>
          <w:p w14:paraId="514117E3">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nl-BE"/>
                <w:woUserID w:val="5"/>
              </w:rPr>
            </w:pPr>
            <w:r>
              <w:rPr>
                <w:rFonts w:hint="eastAsia" w:ascii="Calibri" w:hAnsi="Calibri" w:cs="Times New Roman"/>
                <w:b w:val="0"/>
                <w:bCs w:val="0"/>
                <w:lang w:val="en-US" w:eastAsia="zh"/>
                <w:woUserID w:val="5"/>
              </w:rPr>
              <w:t>16.67</w:t>
            </w:r>
          </w:p>
        </w:tc>
        <w:tc>
          <w:tcPr>
            <w:tcW w:w="2973" w:type="dxa"/>
            <w:tcBorders>
              <w:top w:val="single" w:color="auto" w:sz="4" w:space="0"/>
              <w:left w:val="single" w:color="auto" w:sz="4" w:space="0"/>
              <w:bottom w:val="single" w:color="auto" w:sz="4" w:space="0"/>
              <w:right w:val="single" w:color="auto" w:sz="4" w:space="0"/>
            </w:tcBorders>
            <w:shd w:val="clear" w:color="auto" w:fill="auto"/>
            <w:vAlign w:val="center"/>
          </w:tcPr>
          <w:p w14:paraId="55E3FFFB">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sz w:val="24"/>
                <w:szCs w:val="32"/>
                <w:lang w:val="nl-BE" w:eastAsia="zh"/>
                <w:woUserID w:val="5"/>
              </w:rPr>
            </w:pPr>
            <w:r>
              <w:rPr>
                <w:rFonts w:hint="eastAsia" w:ascii="Calibri" w:hAnsi="Calibri" w:cs="Times New Roman"/>
                <w:sz w:val="24"/>
                <w:szCs w:val="32"/>
                <w:lang w:val="nl-BE" w:eastAsia="zh"/>
                <w:woUserID w:val="5"/>
              </w:rPr>
              <w:t>Q3+Q4</w:t>
            </w:r>
          </w:p>
        </w:tc>
      </w:tr>
      <w:tr w14:paraId="5EA6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jc w:val="center"/>
        </w:trPr>
        <w:tc>
          <w:tcPr>
            <w:tcW w:w="622" w:type="dxa"/>
            <w:tcBorders>
              <w:top w:val="single" w:color="auto" w:sz="4" w:space="0"/>
              <w:left w:val="single" w:color="auto" w:sz="4" w:space="0"/>
              <w:bottom w:val="single" w:color="auto" w:sz="4" w:space="0"/>
              <w:right w:val="single" w:color="auto" w:sz="4" w:space="0"/>
            </w:tcBorders>
            <w:shd w:val="clear" w:color="auto" w:fill="auto"/>
            <w:vAlign w:val="center"/>
          </w:tcPr>
          <w:p w14:paraId="3FB9B6D0">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nl-BE" w:eastAsia="zh-CN"/>
                <w:woUserID w:val="5"/>
              </w:rPr>
            </w:pPr>
          </w:p>
        </w:tc>
        <w:tc>
          <w:tcPr>
            <w:tcW w:w="3874" w:type="dxa"/>
            <w:tcBorders>
              <w:top w:val="single" w:color="auto" w:sz="4" w:space="0"/>
              <w:left w:val="single" w:color="auto" w:sz="4" w:space="0"/>
              <w:bottom w:val="single" w:color="auto" w:sz="4" w:space="0"/>
              <w:right w:val="single" w:color="auto" w:sz="4" w:space="0"/>
            </w:tcBorders>
            <w:shd w:val="clear" w:color="auto" w:fill="auto"/>
            <w:vAlign w:val="center"/>
          </w:tcPr>
          <w:p w14:paraId="13579161">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nl-BE"/>
                <w:woUserID w:val="5"/>
              </w:rPr>
            </w:pPr>
            <w:r>
              <w:rPr>
                <w:rFonts w:hint="default" w:ascii="Calibri" w:hAnsi="Calibri" w:eastAsia="宋体" w:cs="Times New Roman"/>
                <w:kern w:val="0"/>
                <w:sz w:val="24"/>
                <w:szCs w:val="24"/>
                <w:lang w:val="nl-BE" w:eastAsia="zh-CN" w:bidi="ar"/>
                <w:woUserID w:val="5"/>
              </w:rPr>
              <w:t>Total</w:t>
            </w:r>
          </w:p>
        </w:tc>
        <w:tc>
          <w:tcPr>
            <w:tcW w:w="1530" w:type="dxa"/>
            <w:tcBorders>
              <w:top w:val="single" w:color="auto" w:sz="4" w:space="0"/>
              <w:left w:val="single" w:color="auto" w:sz="4" w:space="0"/>
              <w:bottom w:val="single" w:color="auto" w:sz="4" w:space="0"/>
              <w:right w:val="single" w:color="auto" w:sz="4" w:space="0"/>
            </w:tcBorders>
            <w:shd w:val="clear" w:color="auto" w:fill="auto"/>
            <w:vAlign w:val="center"/>
          </w:tcPr>
          <w:p w14:paraId="78FD59E1">
            <w:pPr>
              <w:keepNext w:val="0"/>
              <w:keepLines w:val="0"/>
              <w:widowControl/>
              <w:suppressLineNumbers w:val="0"/>
              <w:spacing w:before="0" w:beforeAutospacing="0" w:after="160" w:afterAutospacing="0" w:line="256" w:lineRule="auto"/>
              <w:ind w:left="0" w:right="0"/>
              <w:jc w:val="center"/>
              <w:rPr>
                <w:rFonts w:hint="default" w:ascii="Calibri" w:hAnsi="Calibri" w:cs="Times New Roman"/>
                <w:lang w:val="nl-BE"/>
                <w:woUserID w:val="5"/>
              </w:rPr>
            </w:pPr>
            <w:r>
              <w:rPr>
                <w:rFonts w:hint="default" w:ascii="Calibri" w:hAnsi="Calibri" w:eastAsia="宋体" w:cs="Times New Roman"/>
                <w:kern w:val="0"/>
                <w:sz w:val="24"/>
                <w:szCs w:val="24"/>
                <w:lang w:val="nl-BE" w:eastAsia="zh-CN" w:bidi="ar"/>
                <w:woUserID w:val="5"/>
              </w:rPr>
              <w:t>100</w:t>
            </w:r>
          </w:p>
        </w:tc>
        <w:tc>
          <w:tcPr>
            <w:tcW w:w="2973" w:type="dxa"/>
            <w:tcBorders>
              <w:top w:val="single" w:color="auto" w:sz="4" w:space="0"/>
              <w:left w:val="single" w:color="auto" w:sz="4" w:space="0"/>
              <w:bottom w:val="single" w:color="auto" w:sz="4" w:space="0"/>
              <w:right w:val="single" w:color="auto" w:sz="4" w:space="0"/>
            </w:tcBorders>
            <w:shd w:val="clear" w:color="auto" w:fill="auto"/>
            <w:vAlign w:val="center"/>
          </w:tcPr>
          <w:p w14:paraId="16208D0C">
            <w:pPr>
              <w:keepNext w:val="0"/>
              <w:keepLines w:val="0"/>
              <w:widowControl/>
              <w:suppressLineNumbers w:val="0"/>
              <w:spacing w:before="0" w:beforeAutospacing="0" w:after="160" w:afterAutospacing="0" w:line="256" w:lineRule="auto"/>
              <w:ind w:left="0" w:right="0"/>
              <w:jc w:val="center"/>
              <w:rPr>
                <w:rFonts w:hint="eastAsia" w:ascii="Calibri" w:hAnsi="Calibri" w:cs="Times New Roman"/>
                <w:sz w:val="24"/>
                <w:szCs w:val="32"/>
                <w:lang w:val="nl-BE" w:eastAsia="zh"/>
                <w:woUserID w:val="5"/>
              </w:rPr>
            </w:pPr>
            <w:r>
              <w:rPr>
                <w:rFonts w:hint="eastAsia" w:ascii="Calibri" w:hAnsi="Calibri" w:cs="Times New Roman"/>
                <w:sz w:val="24"/>
                <w:szCs w:val="32"/>
                <w:lang w:val="nl-BE" w:eastAsia="zh"/>
                <w:woUserID w:val="5"/>
              </w:rPr>
              <w:t>Total</w:t>
            </w:r>
          </w:p>
        </w:tc>
      </w:tr>
    </w:tbl>
    <w:p w14:paraId="0CDB7C0D">
      <w:pPr>
        <w:keepNext w:val="0"/>
        <w:keepLines w:val="0"/>
        <w:widowControl/>
        <w:suppressLineNumbers w:val="0"/>
        <w:spacing w:before="0" w:beforeAutospacing="0" w:after="160" w:afterAutospacing="0" w:line="240" w:lineRule="auto"/>
        <w:ind w:left="0" w:right="0"/>
        <w:jc w:val="both"/>
        <w:rPr>
          <w:rFonts w:hint="default" w:ascii="Calibri" w:hAnsi="Calibri" w:cs="Times New Roman"/>
          <w:sz w:val="22"/>
          <w:szCs w:val="28"/>
          <w:lang w:val="en-US" w:eastAsia="zh-CN"/>
          <w:woUserID w:val="5"/>
        </w:rPr>
      </w:pPr>
      <w:r>
        <w:rPr>
          <w:rFonts w:hint="default" w:ascii="Calibri" w:hAnsi="Calibri" w:eastAsia="宋体" w:cs="Times New Roman"/>
          <w:kern w:val="0"/>
          <w:sz w:val="28"/>
          <w:szCs w:val="28"/>
          <w:u w:val="single"/>
          <w:lang w:val="en-US" w:eastAsia="zh-CN" w:bidi="ar"/>
          <w:woUserID w:val="5"/>
        </w:rPr>
        <w:t>Notes</w:t>
      </w:r>
      <w:r>
        <w:rPr>
          <w:rFonts w:hint="default" w:ascii="Calibri" w:hAnsi="Calibri" w:eastAsia="宋体" w:cs="Times New Roman"/>
          <w:kern w:val="0"/>
          <w:sz w:val="28"/>
          <w:szCs w:val="28"/>
          <w:lang w:val="en-US" w:eastAsia="zh-CN" w:bidi="ar"/>
          <w:woUserID w:val="5"/>
        </w:rPr>
        <w:t xml:space="preserve">: </w:t>
      </w:r>
    </w:p>
    <w:p w14:paraId="108268E3">
      <w:pPr>
        <w:widowControl/>
        <w:numPr>
          <w:ilvl w:val="0"/>
          <w:numId w:val="2"/>
        </w:numPr>
        <w:bidi w:val="0"/>
        <w:spacing w:line="240" w:lineRule="auto"/>
        <w:ind w:left="0" w:leftChars="0" w:right="0" w:rightChars="0" w:hanging="360" w:firstLineChars="0"/>
        <w:contextualSpacing/>
        <w:jc w:val="both"/>
        <w:rPr>
          <w:rFonts w:hint="default" w:ascii="Calibri" w:hAnsi="Calibri" w:cs="Times New Roman"/>
          <w:sz w:val="24"/>
          <w:szCs w:val="32"/>
          <w:lang w:val="en-US" w:eastAsia="zh-CN"/>
          <w:woUserID w:val="5"/>
        </w:rPr>
      </w:pPr>
      <w:r>
        <w:rPr>
          <w:rFonts w:hint="default" w:ascii="Calibri" w:hAnsi="Calibri" w:cs="Times New Roman"/>
          <w:sz w:val="24"/>
          <w:szCs w:val="32"/>
          <w:lang w:val="en-US" w:eastAsia="zh-CN"/>
          <w:woUserID w:val="5"/>
        </w:rPr>
        <w:t>Each group should only submit one (1) form.</w:t>
      </w:r>
    </w:p>
    <w:p w14:paraId="3C6D25A7">
      <w:pPr>
        <w:widowControl/>
        <w:numPr>
          <w:ilvl w:val="0"/>
          <w:numId w:val="2"/>
        </w:numPr>
        <w:bidi w:val="0"/>
        <w:spacing w:line="240" w:lineRule="auto"/>
        <w:ind w:left="0" w:leftChars="0" w:right="0" w:rightChars="0" w:hanging="360" w:firstLineChars="0"/>
        <w:contextualSpacing/>
        <w:jc w:val="both"/>
        <w:rPr>
          <w:rFonts w:hint="default" w:ascii="Calibri" w:hAnsi="Calibri" w:cs="Times New Roman"/>
          <w:sz w:val="24"/>
          <w:szCs w:val="32"/>
          <w:lang w:val="en-US" w:eastAsia="zh-CN"/>
          <w:woUserID w:val="5"/>
        </w:rPr>
      </w:pPr>
      <w:r>
        <w:rPr>
          <w:rFonts w:hint="default" w:ascii="Calibri" w:hAnsi="Calibri" w:cs="Times New Roman"/>
          <w:sz w:val="24"/>
          <w:szCs w:val="32"/>
          <w:lang w:val="en-US" w:eastAsia="zh-CN"/>
          <w:woUserID w:val="5"/>
        </w:rPr>
        <w:t>There are 5-6 people in your group. Obviously you may split the % equally if you all feel that everyone contributed equally to the group report.</w:t>
      </w:r>
    </w:p>
    <w:p w14:paraId="52F5B0D5">
      <w:pPr>
        <w:widowControl/>
        <w:numPr>
          <w:ilvl w:val="0"/>
          <w:numId w:val="2"/>
        </w:numPr>
        <w:bidi w:val="0"/>
        <w:spacing w:line="240" w:lineRule="auto"/>
        <w:ind w:left="0" w:leftChars="0" w:right="0" w:rightChars="0" w:hanging="360" w:firstLineChars="0"/>
        <w:contextualSpacing/>
        <w:jc w:val="both"/>
        <w:rPr>
          <w:rFonts w:hint="default" w:ascii="Calibri" w:hAnsi="Calibri" w:cs="Times New Roman"/>
          <w:sz w:val="24"/>
          <w:szCs w:val="32"/>
          <w:lang w:val="en-US" w:eastAsia="zh-CN"/>
          <w:woUserID w:val="5"/>
        </w:rPr>
      </w:pPr>
      <w:r>
        <w:rPr>
          <w:rFonts w:hint="default" w:ascii="Calibri" w:hAnsi="Calibri" w:cs="Times New Roman"/>
          <w:sz w:val="24"/>
          <w:szCs w:val="32"/>
          <w:lang w:val="en-US" w:eastAsia="zh-CN"/>
          <w:woUserID w:val="5"/>
        </w:rPr>
        <w:t>Please copy and paste the form and incorporate it in your group report and submit the report, together with this form and a cover page (copy also on ICE), as one single file.</w:t>
      </w:r>
    </w:p>
    <w:p w14:paraId="512BD3A0">
      <w:pPr>
        <w:widowControl/>
        <w:numPr>
          <w:ilvl w:val="0"/>
          <w:numId w:val="2"/>
        </w:numPr>
        <w:bidi w:val="0"/>
        <w:spacing w:line="240" w:lineRule="auto"/>
        <w:ind w:left="0" w:leftChars="0" w:right="0" w:rightChars="0" w:hanging="360" w:firstLineChars="0"/>
        <w:contextualSpacing/>
        <w:jc w:val="both"/>
        <w:rPr>
          <w:rFonts w:hint="default" w:ascii="Calibri" w:hAnsi="Calibri" w:cs="Times New Roman"/>
          <w:sz w:val="24"/>
          <w:szCs w:val="32"/>
          <w:lang w:val="en-US" w:eastAsia="zh-CN"/>
          <w:woUserID w:val="5"/>
        </w:rPr>
      </w:pPr>
      <w:r>
        <w:rPr>
          <w:rFonts w:hint="default" w:ascii="Calibri" w:hAnsi="Calibri" w:cs="Times New Roman"/>
          <w:sz w:val="24"/>
          <w:szCs w:val="32"/>
          <w:lang w:val="en-US" w:eastAsia="zh-CN"/>
          <w:woUserID w:val="5"/>
        </w:rPr>
        <w:t>I</w:t>
      </w:r>
      <w:r>
        <w:rPr>
          <w:rFonts w:hint="eastAsia" w:ascii="Calibri" w:hAnsi="Calibri" w:cs="Times New Roman"/>
          <w:sz w:val="24"/>
          <w:szCs w:val="32"/>
          <w:lang w:val="en-US" w:eastAsia="zh"/>
          <w:woUserID w:val="5"/>
        </w:rPr>
        <w:t xml:space="preserve"> </w:t>
      </w:r>
      <w:r>
        <w:rPr>
          <w:rFonts w:hint="default" w:ascii="Calibri" w:hAnsi="Calibri" w:cs="Times New Roman"/>
          <w:sz w:val="24"/>
          <w:szCs w:val="32"/>
          <w:lang w:val="en-US" w:eastAsia="zh-CN"/>
          <w:woUserID w:val="5"/>
        </w:rPr>
        <w:t>would expect students to come to me in confidence if there were any issues of engagement and participation of any group members in the very first instance when a problem arose.  The earlier you came to me the better it would be as I could try to help, advise and intervene if necessary as early as possible.</w:t>
      </w:r>
    </w:p>
    <w:p w14:paraId="2F99A62B">
      <w:pPr>
        <w:pStyle w:val="8"/>
        <w:widowControl/>
        <w:numPr>
          <w:ilvl w:val="0"/>
          <w:numId w:val="0"/>
        </w:numPr>
        <w:spacing w:after="100" w:afterAutospacing="0" w:line="240" w:lineRule="auto"/>
        <w:ind w:left="0" w:leftChars="0" w:right="0" w:rightChars="0" w:firstLine="0" w:firstLineChars="0"/>
        <w:contextualSpacing/>
        <w:jc w:val="both"/>
        <w:rPr>
          <w:rFonts w:hint="default" w:ascii="Calibri" w:hAnsi="Calibri" w:cs="Times New Roman"/>
          <w:lang w:val="en-US" w:eastAsia="zh-CN"/>
          <w:woUserID w:val="5"/>
        </w:rPr>
      </w:pPr>
    </w:p>
    <w:p w14:paraId="2FF55258">
      <w:pPr>
        <w:keepNext w:val="0"/>
        <w:keepLines w:val="0"/>
        <w:widowControl/>
        <w:suppressLineNumbers w:val="0"/>
        <w:spacing w:before="0" w:beforeAutospacing="0" w:after="160" w:afterAutospacing="0" w:line="256" w:lineRule="auto"/>
        <w:ind w:left="0" w:right="0"/>
        <w:jc w:val="both"/>
        <w:rPr>
          <w:rFonts w:hint="default" w:ascii="Calibri" w:hAnsi="Calibri" w:eastAsia="宋体" w:cs="Arial"/>
          <w:kern w:val="0"/>
          <w:sz w:val="24"/>
          <w:szCs w:val="24"/>
          <w:lang w:val="nl" w:eastAsia="zh-CN" w:bidi="ar"/>
          <w:woUserID w:val="5"/>
        </w:rPr>
      </w:pPr>
      <w:r>
        <w:rPr>
          <w:rFonts w:hint="default" w:ascii="Calibri" w:hAnsi="Calibri" w:eastAsia="宋体" w:cs="Arial"/>
          <w:kern w:val="0"/>
          <w:sz w:val="24"/>
          <w:szCs w:val="24"/>
          <w:lang w:val="nl" w:eastAsia="zh-CN" w:bidi="ar"/>
          <w:woUserID w:val="5"/>
        </w:rPr>
        <w:t>Signed: ___</w:t>
      </w:r>
      <w:r>
        <w:rPr>
          <w:rFonts w:hint="eastAsia" w:ascii="Calibri" w:hAnsi="Calibri" w:eastAsia="宋体" w:cs="Arial"/>
          <w:kern w:val="0"/>
          <w:sz w:val="24"/>
          <w:szCs w:val="24"/>
          <w:lang w:val="nl" w:eastAsia="zh" w:bidi="ar"/>
          <w:woUserID w:val="5"/>
        </w:rPr>
        <w:t>Ying Huang</w:t>
      </w:r>
      <w:r>
        <w:rPr>
          <w:rFonts w:hint="default" w:ascii="Calibri" w:hAnsi="Calibri" w:eastAsia="宋体" w:cs="Arial"/>
          <w:kern w:val="0"/>
          <w:sz w:val="24"/>
          <w:szCs w:val="24"/>
          <w:lang w:val="nl" w:eastAsia="zh-CN" w:bidi="ar"/>
          <w:woUserID w:val="5"/>
        </w:rPr>
        <w:t xml:space="preserve">_____ </w:t>
      </w:r>
      <w:r>
        <w:rPr>
          <w:rFonts w:hint="eastAsia" w:ascii="Calibri" w:hAnsi="Calibri" w:eastAsia="宋体" w:cs="Arial"/>
          <w:kern w:val="0"/>
          <w:sz w:val="24"/>
          <w:szCs w:val="24"/>
          <w:lang w:val="nl" w:eastAsia="zh" w:bidi="ar"/>
          <w:woUserID w:val="5"/>
        </w:rPr>
        <w:t xml:space="preserve"> </w:t>
      </w:r>
      <w:r>
        <w:rPr>
          <w:rFonts w:hint="default" w:ascii="Calibri" w:hAnsi="Calibri" w:eastAsia="宋体" w:cs="Arial"/>
          <w:kern w:val="0"/>
          <w:sz w:val="24"/>
          <w:szCs w:val="24"/>
          <w:lang w:val="nl" w:eastAsia="zh-CN" w:bidi="ar"/>
          <w:woUserID w:val="5"/>
        </w:rPr>
        <w:t>___</w:t>
      </w:r>
      <w:r>
        <w:rPr>
          <w:rFonts w:hint="eastAsia" w:ascii="Calibri" w:hAnsi="Calibri" w:cs="Times New Roman"/>
          <w:sz w:val="24"/>
          <w:szCs w:val="32"/>
          <w:lang w:val="en-US" w:eastAsia="zh"/>
          <w:woUserID w:val="5"/>
        </w:rPr>
        <w:t>Xingjian Lu</w:t>
      </w:r>
      <w:r>
        <w:rPr>
          <w:rFonts w:hint="default" w:ascii="Calibri" w:hAnsi="Calibri" w:eastAsia="宋体" w:cs="Arial"/>
          <w:kern w:val="0"/>
          <w:sz w:val="24"/>
          <w:szCs w:val="24"/>
          <w:lang w:val="nl" w:eastAsia="zh-CN" w:bidi="ar"/>
          <w:woUserID w:val="5"/>
        </w:rPr>
        <w:t xml:space="preserve">______ </w:t>
      </w:r>
      <w:r>
        <w:rPr>
          <w:rFonts w:hint="eastAsia" w:ascii="Calibri" w:hAnsi="Calibri" w:eastAsia="宋体" w:cs="Arial"/>
          <w:kern w:val="0"/>
          <w:sz w:val="24"/>
          <w:szCs w:val="24"/>
          <w:lang w:val="nl" w:eastAsia="zh" w:bidi="ar"/>
          <w:woUserID w:val="5"/>
        </w:rPr>
        <w:t xml:space="preserve"> </w:t>
      </w:r>
      <w:r>
        <w:rPr>
          <w:rFonts w:hint="default" w:ascii="Calibri" w:hAnsi="Calibri" w:eastAsia="宋体" w:cs="Arial"/>
          <w:kern w:val="0"/>
          <w:sz w:val="24"/>
          <w:szCs w:val="24"/>
          <w:lang w:val="nl" w:eastAsia="zh-CN" w:bidi="ar"/>
          <w:woUserID w:val="5"/>
        </w:rPr>
        <w:t>____</w:t>
      </w:r>
      <w:r>
        <w:rPr>
          <w:rFonts w:hint="eastAsia" w:ascii="Calibri" w:hAnsi="Calibri" w:cs="Times New Roman"/>
          <w:sz w:val="24"/>
          <w:szCs w:val="32"/>
          <w:lang w:val="en-US" w:eastAsia="zh"/>
          <w:woUserID w:val="5"/>
        </w:rPr>
        <w:t>Wangyu Li</w:t>
      </w:r>
      <w:r>
        <w:rPr>
          <w:rFonts w:hint="default" w:ascii="Calibri" w:hAnsi="Calibri" w:eastAsia="宋体" w:cs="Arial"/>
          <w:kern w:val="0"/>
          <w:sz w:val="24"/>
          <w:szCs w:val="24"/>
          <w:lang w:val="nl" w:eastAsia="zh-CN" w:bidi="ar"/>
          <w:woUserID w:val="5"/>
        </w:rPr>
        <w:t>_____</w:t>
      </w:r>
    </w:p>
    <w:p w14:paraId="790D6AA4">
      <w:pPr>
        <w:keepNext w:val="0"/>
        <w:keepLines w:val="0"/>
        <w:widowControl/>
        <w:suppressLineNumbers w:val="0"/>
        <w:spacing w:before="0" w:beforeAutospacing="0" w:after="160" w:afterAutospacing="0" w:line="256" w:lineRule="auto"/>
        <w:ind w:left="0" w:leftChars="0" w:right="0" w:firstLine="720" w:firstLineChars="300"/>
        <w:jc w:val="both"/>
        <w:rPr>
          <w:rFonts w:hint="eastAsia" w:ascii="Calibri" w:hAnsi="Calibri" w:eastAsia="宋体" w:cs="Arial"/>
          <w:kern w:val="0"/>
          <w:sz w:val="24"/>
          <w:szCs w:val="24"/>
          <w:lang w:val="nl" w:eastAsia="zh" w:bidi="ar"/>
          <w:woUserID w:val="1"/>
        </w:rPr>
      </w:pPr>
      <w:r>
        <w:rPr>
          <w:rFonts w:hint="eastAsia" w:ascii="Calibri" w:hAnsi="Calibri" w:eastAsia="宋体" w:cs="Arial"/>
          <w:kern w:val="0"/>
          <w:sz w:val="24"/>
          <w:szCs w:val="24"/>
          <w:lang w:val="nl" w:eastAsia="zh" w:bidi="ar"/>
          <w:woUserID w:val="5"/>
        </w:rPr>
        <w:t xml:space="preserve"> </w:t>
      </w:r>
      <w:r>
        <w:rPr>
          <w:rFonts w:hint="default" w:ascii="Calibri" w:hAnsi="Calibri" w:eastAsia="宋体" w:cs="Arial"/>
          <w:kern w:val="0"/>
          <w:sz w:val="24"/>
          <w:szCs w:val="24"/>
          <w:lang w:val="nl" w:eastAsia="zh-CN" w:bidi="ar"/>
          <w:woUserID w:val="5"/>
        </w:rPr>
        <w:t>____</w:t>
      </w:r>
      <w:r>
        <w:rPr>
          <w:rFonts w:hint="eastAsia" w:ascii="Calibri" w:hAnsi="Calibri" w:cs="Times New Roman"/>
          <w:sz w:val="24"/>
          <w:szCs w:val="32"/>
          <w:lang w:val="en-US" w:eastAsia="zh"/>
          <w:woUserID w:val="5"/>
        </w:rPr>
        <w:t>Yidi Tang</w:t>
      </w:r>
      <w:r>
        <w:rPr>
          <w:rFonts w:hint="default" w:ascii="Calibri" w:hAnsi="Calibri" w:eastAsia="宋体" w:cs="Arial"/>
          <w:kern w:val="0"/>
          <w:sz w:val="24"/>
          <w:szCs w:val="24"/>
          <w:lang w:val="nl" w:eastAsia="zh-CN" w:bidi="ar"/>
          <w:woUserID w:val="5"/>
        </w:rPr>
        <w:t xml:space="preserve">_____ </w:t>
      </w:r>
      <w:r>
        <w:rPr>
          <w:rFonts w:hint="eastAsia" w:ascii="Calibri" w:hAnsi="Calibri" w:eastAsia="宋体" w:cs="Arial"/>
          <w:kern w:val="0"/>
          <w:sz w:val="24"/>
          <w:szCs w:val="24"/>
          <w:lang w:val="nl" w:eastAsia="zh" w:bidi="ar"/>
          <w:woUserID w:val="5"/>
        </w:rPr>
        <w:t xml:space="preserve"> </w:t>
      </w:r>
      <w:r>
        <w:rPr>
          <w:rFonts w:hint="default" w:ascii="Calibri" w:hAnsi="Calibri" w:eastAsia="宋体" w:cs="Arial"/>
          <w:kern w:val="0"/>
          <w:sz w:val="24"/>
          <w:szCs w:val="24"/>
          <w:lang w:val="nl" w:eastAsia="zh-CN" w:bidi="ar"/>
          <w:woUserID w:val="5"/>
        </w:rPr>
        <w:t>___</w:t>
      </w:r>
      <w:r>
        <w:rPr>
          <w:rFonts w:hint="eastAsia" w:ascii="Calibri" w:hAnsi="Calibri" w:cs="Times New Roman"/>
          <w:sz w:val="24"/>
          <w:szCs w:val="32"/>
          <w:lang w:val="nl-BE" w:eastAsia="zh"/>
          <w:woUserID w:val="5"/>
        </w:rPr>
        <w:t>Jingwei Liu</w:t>
      </w:r>
      <w:r>
        <w:rPr>
          <w:rFonts w:hint="default" w:ascii="Calibri" w:hAnsi="Calibri" w:eastAsia="宋体" w:cs="Arial"/>
          <w:kern w:val="0"/>
          <w:sz w:val="24"/>
          <w:szCs w:val="24"/>
          <w:lang w:val="nl" w:eastAsia="zh-CN" w:bidi="ar"/>
          <w:woUserID w:val="5"/>
        </w:rPr>
        <w:t>______  ____</w:t>
      </w:r>
      <w:r>
        <w:rPr>
          <w:rFonts w:hint="eastAsia" w:ascii="Calibri" w:hAnsi="Calibri" w:cs="Times New Roman"/>
          <w:sz w:val="24"/>
          <w:szCs w:val="32"/>
          <w:lang w:val="nl-BE" w:eastAsia="zh"/>
          <w:woUserID w:val="5"/>
        </w:rPr>
        <w:t>Tianyu Zhou</w:t>
      </w:r>
      <w:r>
        <w:rPr>
          <w:rFonts w:hint="default" w:ascii="Calibri" w:hAnsi="Calibri" w:eastAsia="宋体" w:cs="Arial"/>
          <w:kern w:val="0"/>
          <w:sz w:val="24"/>
          <w:szCs w:val="24"/>
          <w:lang w:val="nl" w:eastAsia="zh-CN" w:bidi="ar"/>
          <w:woUserID w:val="5"/>
        </w:rPr>
        <w:t xml:space="preserve">____ </w:t>
      </w:r>
      <w:r>
        <w:rPr>
          <w:rFonts w:hint="eastAsia" w:ascii="Calibri" w:hAnsi="Calibri" w:eastAsia="宋体" w:cs="Arial"/>
          <w:kern w:val="0"/>
          <w:sz w:val="24"/>
          <w:szCs w:val="24"/>
          <w:lang w:val="nl" w:eastAsia="zh" w:bidi="ar"/>
          <w:woUserID w:val="1"/>
        </w:rPr>
        <w:t xml:space="preserve"> </w:t>
      </w:r>
    </w:p>
    <w:p w14:paraId="14EF3D30">
      <w:pPr>
        <w:keepNext w:val="0"/>
        <w:keepLines w:val="0"/>
        <w:widowControl/>
        <w:suppressLineNumbers w:val="0"/>
        <w:spacing w:before="0" w:beforeAutospacing="0" w:after="160" w:afterAutospacing="0" w:line="256" w:lineRule="auto"/>
        <w:ind w:left="0" w:right="0"/>
        <w:jc w:val="both"/>
        <w:rPr>
          <w:rFonts w:hint="default" w:ascii="Calibri" w:hAnsi="Calibri" w:eastAsia="宋体" w:cs="Arial"/>
          <w:kern w:val="0"/>
          <w:sz w:val="24"/>
          <w:szCs w:val="24"/>
          <w:lang w:val="nl" w:eastAsia="zh-CN" w:bidi="ar"/>
          <w:woUserID w:val="5"/>
        </w:rPr>
      </w:pPr>
      <w:r>
        <w:rPr>
          <w:rFonts w:hint="default" w:ascii="Calibri" w:hAnsi="Calibri" w:eastAsia="宋体" w:cs="Arial"/>
          <w:kern w:val="0"/>
          <w:sz w:val="24"/>
          <w:szCs w:val="24"/>
          <w:lang w:val="nl" w:eastAsia="zh-CN" w:bidi="ar"/>
          <w:woUserID w:val="5"/>
        </w:rPr>
        <w:t>Date: ___</w:t>
      </w:r>
      <w:r>
        <w:rPr>
          <w:rFonts w:hint="eastAsia" w:ascii="Calibri" w:hAnsi="Calibri" w:eastAsia="宋体" w:cs="Arial"/>
          <w:kern w:val="0"/>
          <w:sz w:val="24"/>
          <w:szCs w:val="24"/>
          <w:lang w:val="nl" w:eastAsia="zh" w:bidi="ar"/>
          <w:woUserID w:val="5"/>
        </w:rPr>
        <w:t>2026/5/3</w:t>
      </w:r>
      <w:r>
        <w:rPr>
          <w:rFonts w:hint="default" w:ascii="Calibri" w:hAnsi="Calibri" w:eastAsia="宋体" w:cs="Arial"/>
          <w:kern w:val="0"/>
          <w:sz w:val="24"/>
          <w:szCs w:val="24"/>
          <w:lang w:val="nl" w:eastAsia="zh-CN" w:bidi="ar"/>
          <w:woUserID w:val="5"/>
        </w:rPr>
        <w:t>_______</w:t>
      </w:r>
    </w:p>
    <w:sdt>
      <w:sdtPr>
        <w:rPr>
          <w:rFonts w:ascii="宋体" w:hAnsi="宋体" w:eastAsia="宋体" w:cstheme="minorBidi"/>
          <w:kern w:val="2"/>
          <w:sz w:val="21"/>
          <w:szCs w:val="24"/>
          <w:lang w:val="en-US" w:eastAsia="zh-CN" w:bidi="ar-SA"/>
        </w:rPr>
        <w:id w:val="242170540"/>
        <w15:color w:val="DBDBDB"/>
        <w:docPartObj>
          <w:docPartGallery w:val="Table of Contents"/>
          <w:docPartUnique/>
        </w:docPartObj>
      </w:sdtPr>
      <w:sdtEndPr>
        <w:rPr>
          <w:rFonts w:hint="default" w:ascii="Times New Roman" w:hAnsi="Times New Roman" w:eastAsia="宋体" w:cs="Times New Roman"/>
          <w:kern w:val="0"/>
          <w:sz w:val="24"/>
          <w:szCs w:val="24"/>
          <w:lang w:val="nl" w:eastAsia="zh-CN" w:bidi="ar"/>
          <w:woUserID w:val="5"/>
        </w:rPr>
      </w:sdtEndPr>
      <w:sdtContent>
        <w:p w14:paraId="3D8FAAF7">
          <w:pPr>
            <w:spacing w:before="0" w:beforeLines="0" w:after="0" w:afterLines="0" w:line="240" w:lineRule="auto"/>
            <w:ind w:left="0" w:leftChars="0" w:right="0" w:rightChars="0" w:firstLine="0" w:firstLineChars="0"/>
            <w:jc w:val="center"/>
            <w:rPr>
              <w:rFonts w:hint="eastAsia" w:ascii="Times New Roman" w:hAnsi="Times New Roman" w:eastAsia="宋体" w:cs="Times New Roman"/>
              <w:sz w:val="24"/>
              <w:szCs w:val="24"/>
              <w:lang w:eastAsia="zh"/>
              <w:woUserID w:val="5"/>
            </w:rPr>
          </w:pPr>
          <w:r>
            <w:rPr>
              <w:rFonts w:hint="default" w:ascii="Times New Roman" w:hAnsi="Times New Roman" w:eastAsia="宋体" w:cs="Times New Roman"/>
              <w:b/>
              <w:bCs/>
              <w:kern w:val="2"/>
              <w:sz w:val="28"/>
              <w:szCs w:val="36"/>
              <w:lang w:val="en-US" w:eastAsia="zh" w:bidi="ar-SA"/>
              <w:woUserID w:val="5"/>
            </w:rPr>
            <w:t>Table of Contents</w:t>
          </w:r>
        </w:p>
        <w:p w14:paraId="4460071E">
          <w:pPr>
            <w:pStyle w:val="6"/>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TOC \o "1-9" \h \u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_Toc835839946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b/>
              <w:bCs/>
              <w:kern w:val="2"/>
              <w:sz w:val="28"/>
              <w:szCs w:val="28"/>
              <w:lang w:val="en-US" w:eastAsia="zh" w:bidi="ar"/>
              <w:woUserID w:val="7"/>
            </w:rPr>
            <w:t xml:space="preserve">1. </w:t>
          </w:r>
          <w:r>
            <w:rPr>
              <w:rFonts w:hint="default" w:ascii="Times New Roman" w:hAnsi="Times New Roman" w:eastAsia="Tahoma" w:cs="Times New Roman"/>
              <w:b/>
              <w:bCs/>
              <w:kern w:val="2"/>
              <w:sz w:val="28"/>
              <w:szCs w:val="28"/>
              <w:lang w:val="en-US" w:eastAsia="zh-CN" w:bidi="ar"/>
              <w:woUserID w:val="7"/>
            </w:rPr>
            <w:t>Industrial-level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_Toc835839946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797DE388">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_Toc1712178859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等线" w:cs="Times New Roman"/>
              <w:kern w:val="2"/>
              <w:sz w:val="24"/>
              <w:szCs w:val="24"/>
              <w:lang w:val="en-US" w:eastAsia="zh" w:bidi="ar"/>
              <w:woUserID w:val="1"/>
            </w:rPr>
            <w:t xml:space="preserve">1.1 </w:t>
          </w:r>
          <w:r>
            <w:rPr>
              <w:rFonts w:hint="default" w:ascii="Times New Roman" w:hAnsi="Times New Roman" w:eastAsia="Tahoma" w:cs="Times New Roman"/>
              <w:kern w:val="2"/>
              <w:sz w:val="24"/>
              <w:szCs w:val="24"/>
              <w:lang w:val="en-US" w:eastAsia="zh" w:bidi="ar"/>
              <w:woUserID w:val="7"/>
            </w:rPr>
            <w:t>Chall</w:t>
          </w:r>
          <w:r>
            <w:rPr>
              <w:rFonts w:hint="default" w:ascii="Times New Roman" w:hAnsi="Times New Roman" w:eastAsia="Tahoma" w:cs="Times New Roman"/>
              <w:kern w:val="2"/>
              <w:sz w:val="24"/>
              <w:szCs w:val="24"/>
              <w:lang w:val="en-US" w:eastAsia="zh" w:bidi="ar"/>
              <w:woUserID w:val="5"/>
            </w:rPr>
            <w:t>e</w:t>
          </w:r>
          <w:r>
            <w:rPr>
              <w:rFonts w:hint="default" w:ascii="Times New Roman" w:hAnsi="Times New Roman" w:eastAsia="Tahoma" w:cs="Times New Roman"/>
              <w:kern w:val="2"/>
              <w:sz w:val="24"/>
              <w:szCs w:val="24"/>
              <w:lang w:val="en-US" w:eastAsia="zh" w:bidi="ar"/>
              <w:woUserID w:val="7"/>
            </w:rPr>
            <w:t>nge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_Toc1712178859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76835966">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_Toc1396619364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宋体" w:cs="Times New Roman"/>
              <w:i w:val="0"/>
              <w:iCs w:val="0"/>
              <w:caps w:val="0"/>
              <w:spacing w:val="0"/>
              <w:kern w:val="0"/>
              <w:sz w:val="24"/>
              <w:szCs w:val="24"/>
              <w:lang w:eastAsia="zh"/>
              <w:woUserID w:val="1"/>
            </w:rPr>
            <w:t xml:space="preserve">1.2 </w:t>
          </w:r>
          <w:r>
            <w:rPr>
              <w:rFonts w:hint="default" w:ascii="Times New Roman" w:hAnsi="Times New Roman" w:eastAsia="宋体" w:cs="Times New Roman"/>
              <w:i w:val="0"/>
              <w:iCs w:val="0"/>
              <w:caps w:val="0"/>
              <w:spacing w:val="0"/>
              <w:kern w:val="0"/>
              <w:sz w:val="24"/>
              <w:szCs w:val="24"/>
              <w:woUserID w:val="1"/>
            </w:rPr>
            <w:t>Industry Risk Map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_Toc1396619364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35766A50">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_Toc1541020142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宋体" w:cs="Times New Roman"/>
              <w:i w:val="0"/>
              <w:iCs w:val="0"/>
              <w:caps w:val="0"/>
              <w:spacing w:val="0"/>
              <w:kern w:val="0"/>
              <w:sz w:val="24"/>
              <w:szCs w:val="24"/>
              <w:lang w:val="en-US" w:eastAsia="zh" w:bidi="ar"/>
              <w:woUserID w:val="1"/>
            </w:rPr>
            <w:t xml:space="preserve">1.3 </w:t>
          </w:r>
          <w:r>
            <w:rPr>
              <w:rFonts w:hint="default" w:ascii="Times New Roman" w:hAnsi="Times New Roman" w:eastAsia="宋体" w:cs="Times New Roman"/>
              <w:i w:val="0"/>
              <w:iCs w:val="0"/>
              <w:caps w:val="0"/>
              <w:spacing w:val="0"/>
              <w:kern w:val="0"/>
              <w:sz w:val="24"/>
              <w:szCs w:val="24"/>
              <w:lang w:val="en-US" w:eastAsia="zh-CN" w:bidi="ar"/>
              <w:woUserID w:val="1"/>
            </w:rPr>
            <w:t>Automotive-specific IFRS S1/S2 Disclosure Checklist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_Toc1541020142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2C202F63">
          <w:pPr>
            <w:pStyle w:val="6"/>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_Toc1587497991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b/>
              <w:bCs/>
              <w:kern w:val="2"/>
              <w:sz w:val="28"/>
              <w:szCs w:val="28"/>
              <w:lang w:val="en-US" w:eastAsia="zh" w:bidi="ar"/>
              <w:woUserID w:val="7"/>
            </w:rPr>
            <w:t>2. Financial Ratio Diagnosis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_Toc1587497991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646D44AE">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_Toc1346119098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 w:bidi="ar"/>
              <w:woUserID w:val="5"/>
            </w:rPr>
            <w:t xml:space="preserve">2.1 </w:t>
          </w:r>
          <w:r>
            <w:rPr>
              <w:rFonts w:hint="default" w:ascii="Times New Roman" w:hAnsi="Times New Roman" w:eastAsia="Tahoma" w:cs="Times New Roman"/>
              <w:kern w:val="2"/>
              <w:sz w:val="24"/>
              <w:szCs w:val="24"/>
              <w:lang w:val="en-US" w:eastAsia="zh-CN" w:bidi="ar"/>
              <w:woUserID w:val="6"/>
            </w:rPr>
            <w:t>Operating margin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_Toc1346119098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768A478E">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_Toc273467187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 w:bidi="ar"/>
              <w:woUserID w:val="5"/>
            </w:rPr>
            <w:t xml:space="preserve">2.2 </w:t>
          </w:r>
          <w:r>
            <w:rPr>
              <w:rFonts w:hint="default" w:ascii="Times New Roman" w:hAnsi="Times New Roman" w:eastAsia="Tahoma" w:cs="Times New Roman"/>
              <w:kern w:val="2"/>
              <w:sz w:val="24"/>
              <w:szCs w:val="24"/>
              <w:lang w:val="en-US" w:eastAsia="zh-CN" w:bidi="ar"/>
              <w:woUserID w:val="6"/>
            </w:rPr>
            <w:t>ROCE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_Toc273467187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3999F41A">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_Toc1340565851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 w:bidi="ar"/>
              <w:woUserID w:val="5"/>
            </w:rPr>
            <w:t xml:space="preserve">2.3 </w:t>
          </w:r>
          <w:r>
            <w:rPr>
              <w:rFonts w:hint="default" w:ascii="Times New Roman" w:hAnsi="Times New Roman" w:eastAsia="Tahoma" w:cs="Times New Roman"/>
              <w:kern w:val="2"/>
              <w:sz w:val="24"/>
              <w:szCs w:val="24"/>
              <w:lang w:val="en-US" w:eastAsia="zh-CN" w:bidi="ar"/>
              <w:woUserID w:val="6"/>
            </w:rPr>
            <w:t>Debt-to-equity ratio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_Toc1340565851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33B83765">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_Toc775104637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 w:bidi="ar"/>
              <w:woUserID w:val="5"/>
            </w:rPr>
            <w:t xml:space="preserve">2.4 </w:t>
          </w:r>
          <w:r>
            <w:rPr>
              <w:rFonts w:hint="default" w:ascii="Times New Roman" w:hAnsi="Times New Roman" w:eastAsia="Tahoma" w:cs="Times New Roman"/>
              <w:kern w:val="2"/>
              <w:sz w:val="24"/>
              <w:szCs w:val="24"/>
              <w:lang w:val="en-US" w:eastAsia="zh" w:bidi="ar"/>
              <w:woUserID w:val="3"/>
            </w:rPr>
            <w:t>Asset turnover ratio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_Toc775104637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21041342">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_Toc636867056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 w:bidi="ar"/>
              <w:woUserID w:val="5"/>
            </w:rPr>
            <w:t>2.5 Capital Expenditure to Revenue Ratio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_Toc636867056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23A4A9B6">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_Toc535099385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 w:bidi="ar"/>
              <w:woUserID w:val="5"/>
            </w:rPr>
            <w:t xml:space="preserve">2.6 </w:t>
          </w:r>
          <w:r>
            <w:rPr>
              <w:rFonts w:hint="default" w:ascii="Times New Roman" w:hAnsi="Times New Roman" w:eastAsia="Tahoma" w:cs="Times New Roman"/>
              <w:kern w:val="2"/>
              <w:sz w:val="24"/>
              <w:szCs w:val="24"/>
              <w:lang w:val="en-US" w:eastAsia="zh" w:bidi="ar"/>
              <w:woUserID w:val="3"/>
            </w:rPr>
            <w:t xml:space="preserve">Account </w:t>
          </w:r>
          <w:r>
            <w:rPr>
              <w:rFonts w:hint="default" w:ascii="Times New Roman" w:hAnsi="Times New Roman" w:eastAsia="Tahoma" w:cs="Times New Roman"/>
              <w:kern w:val="2"/>
              <w:sz w:val="24"/>
              <w:szCs w:val="24"/>
              <w:lang w:val="en-US" w:eastAsia="zh" w:bidi="ar"/>
              <w:woUserID w:val="5"/>
            </w:rPr>
            <w:t>R</w:t>
          </w:r>
          <w:r>
            <w:rPr>
              <w:rFonts w:hint="default" w:ascii="Times New Roman" w:hAnsi="Times New Roman" w:eastAsia="Tahoma" w:cs="Times New Roman"/>
              <w:kern w:val="2"/>
              <w:sz w:val="24"/>
              <w:szCs w:val="24"/>
              <w:lang w:val="en-US" w:eastAsia="zh" w:bidi="ar"/>
              <w:woUserID w:val="3"/>
            </w:rPr>
            <w:t xml:space="preserve">eceivable </w:t>
          </w:r>
          <w:r>
            <w:rPr>
              <w:rFonts w:hint="default" w:ascii="Times New Roman" w:hAnsi="Times New Roman" w:eastAsia="Tahoma" w:cs="Times New Roman"/>
              <w:kern w:val="2"/>
              <w:sz w:val="24"/>
              <w:szCs w:val="24"/>
              <w:lang w:val="en-US" w:eastAsia="zh" w:bidi="ar"/>
              <w:woUserID w:val="5"/>
            </w:rPr>
            <w:t>C</w:t>
          </w:r>
          <w:r>
            <w:rPr>
              <w:rFonts w:hint="default" w:ascii="Times New Roman" w:hAnsi="Times New Roman" w:eastAsia="Tahoma" w:cs="Times New Roman"/>
              <w:kern w:val="2"/>
              <w:sz w:val="24"/>
              <w:szCs w:val="24"/>
              <w:lang w:val="en-US" w:eastAsia="zh" w:bidi="ar"/>
              <w:woUserID w:val="2"/>
            </w:rPr>
            <w:t>ollection</w:t>
          </w:r>
          <w:r>
            <w:rPr>
              <w:rFonts w:hint="default" w:ascii="Times New Roman" w:hAnsi="Times New Roman" w:eastAsia="Tahoma" w:cs="Times New Roman"/>
              <w:kern w:val="2"/>
              <w:sz w:val="24"/>
              <w:szCs w:val="24"/>
              <w:lang w:val="en-US" w:eastAsia="zh" w:bidi="ar"/>
              <w:woUserID w:val="5"/>
            </w:rPr>
            <w:t xml:space="preserve"> Days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_Toc535099385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30950796">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_Toc2136710249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 w:bidi="ar"/>
              <w:woUserID w:val="5"/>
            </w:rPr>
            <w:t xml:space="preserve">2.7 </w:t>
          </w:r>
          <w:r>
            <w:rPr>
              <w:rFonts w:hint="default" w:ascii="Times New Roman" w:hAnsi="Times New Roman" w:eastAsia="Tahoma" w:cs="Times New Roman"/>
              <w:kern w:val="2"/>
              <w:sz w:val="24"/>
              <w:szCs w:val="24"/>
              <w:lang w:val="en-US" w:eastAsia="zh-CN" w:bidi="ar"/>
              <w:woUserID w:val="5"/>
            </w:rPr>
            <w:t>Overall diagnosis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_Toc2136710249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1BB23980">
          <w:pPr>
            <w:pStyle w:val="6"/>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_Toc1415147359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cs="Times New Roman"/>
              <w:b/>
              <w:bCs/>
              <w:sz w:val="28"/>
              <w:szCs w:val="28"/>
              <w:lang w:val="en-US" w:eastAsia="zh"/>
            </w:rPr>
            <w:t xml:space="preserve">3. </w:t>
          </w:r>
          <w:r>
            <w:rPr>
              <w:rFonts w:hint="default" w:ascii="Times New Roman" w:hAnsi="Times New Roman" w:eastAsia="Tahoma" w:cs="Times New Roman"/>
              <w:b/>
              <w:bCs/>
              <w:kern w:val="2"/>
              <w:sz w:val="28"/>
              <w:szCs w:val="28"/>
              <w:lang w:val="en-US" w:eastAsia="zh" w:bidi="ar"/>
              <w:woUserID w:val="7"/>
            </w:rPr>
            <w:t>Value Chain</w:t>
          </w:r>
          <w:r>
            <w:rPr>
              <w:rFonts w:hint="default" w:ascii="Times New Roman" w:hAnsi="Times New Roman" w:eastAsia="Tahoma" w:cs="Times New Roman"/>
              <w:b/>
              <w:bCs/>
              <w:kern w:val="2"/>
              <w:sz w:val="28"/>
              <w:szCs w:val="28"/>
              <w:lang w:val="en-US" w:eastAsia="zh" w:bidi="ar"/>
              <w:woUserID w:val="5"/>
            </w:rPr>
            <w:t xml:space="preserve"> with a Risk Map, Materiality Assessment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_Toc1415147359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32E94CE6">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_Toc2053810217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 w:bidi="ar"/>
              <w:woUserID w:val="5"/>
            </w:rPr>
            <w:t xml:space="preserve">3.1 </w:t>
          </w:r>
          <w:r>
            <w:rPr>
              <w:rFonts w:hint="default" w:ascii="Times New Roman" w:hAnsi="Times New Roman" w:eastAsia="Tahoma" w:cs="Times New Roman"/>
              <w:kern w:val="2"/>
              <w:sz w:val="24"/>
              <w:szCs w:val="24"/>
              <w:lang w:val="en-US" w:eastAsia="zh" w:bidi="ar"/>
              <w:woUserID w:val="2"/>
            </w:rPr>
            <w:t>Battery/Critical minerals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_Toc2053810217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52D39A79">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_Toc595181020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 w:bidi="ar"/>
              <w:woUserID w:val="5"/>
            </w:rPr>
            <w:t xml:space="preserve">3.2 </w:t>
          </w:r>
          <w:r>
            <w:rPr>
              <w:rFonts w:hint="default" w:ascii="Times New Roman" w:hAnsi="Times New Roman" w:eastAsia="Tahoma" w:cs="Times New Roman"/>
              <w:kern w:val="2"/>
              <w:sz w:val="24"/>
              <w:szCs w:val="24"/>
              <w:lang w:val="en-US" w:eastAsia="zh" w:bidi="ar"/>
              <w:woUserID w:val="2"/>
            </w:rPr>
            <w:t>Steel/Aluminium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_Toc595181020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282A7C5E">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_Toc630847885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 w:bidi="ar"/>
              <w:woUserID w:val="5"/>
            </w:rPr>
            <w:t xml:space="preserve">3.3 </w:t>
          </w:r>
          <w:r>
            <w:rPr>
              <w:rFonts w:hint="default" w:ascii="Times New Roman" w:hAnsi="Times New Roman" w:eastAsia="Tahoma" w:cs="Times New Roman"/>
              <w:kern w:val="2"/>
              <w:sz w:val="24"/>
              <w:szCs w:val="24"/>
              <w:lang w:val="en-US" w:eastAsia="zh" w:bidi="ar"/>
              <w:woUserID w:val="1"/>
            </w:rPr>
            <w:t>Logistics and supply chain resilience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_Toc630847885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602C154A">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_Toc1953563286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 w:bidi="ar"/>
              <w:woUserID w:val="1"/>
            </w:rPr>
            <w:t>3.4 Manufacturing energy use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_Toc1953563286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19A872DB">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_Toc2066734090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 w:bidi="ar"/>
              <w:woUserID w:val="5"/>
            </w:rPr>
            <w:t>3.5 U</w:t>
          </w:r>
          <w:r>
            <w:rPr>
              <w:rFonts w:hint="default" w:ascii="Times New Roman" w:hAnsi="Times New Roman" w:eastAsia="Tahoma" w:cs="Times New Roman"/>
              <w:kern w:val="2"/>
              <w:sz w:val="24"/>
              <w:szCs w:val="24"/>
              <w:lang w:val="en-US" w:eastAsia="zh-CN" w:bidi="ar"/>
              <w:woUserID w:val="5"/>
            </w:rPr>
            <w:t>se-phase emissions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_Toc2066734090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5B425A57">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_Toc2020536143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宋体" w:cs="Times New Roman"/>
              <w:i w:val="0"/>
              <w:iCs w:val="0"/>
              <w:caps w:val="0"/>
              <w:spacing w:val="0"/>
              <w:kern w:val="0"/>
              <w:sz w:val="24"/>
              <w:szCs w:val="24"/>
              <w:lang w:val="en-US" w:eastAsia="zh" w:bidi="ar"/>
              <w:woUserID w:val="5"/>
            </w:rPr>
            <w:t xml:space="preserve">3.6 </w:t>
          </w:r>
          <w:r>
            <w:rPr>
              <w:rFonts w:hint="default" w:ascii="Times New Roman" w:hAnsi="Times New Roman" w:eastAsia="宋体" w:cs="Times New Roman"/>
              <w:i w:val="0"/>
              <w:iCs w:val="0"/>
              <w:caps w:val="0"/>
              <w:spacing w:val="0"/>
              <w:kern w:val="0"/>
              <w:sz w:val="24"/>
              <w:szCs w:val="24"/>
              <w:lang w:val="en-US" w:eastAsia="zh-CN" w:bidi="ar"/>
              <w:woUserID w:val="1"/>
            </w:rPr>
            <w:t>End</w:t>
          </w:r>
          <w:r>
            <w:rPr>
              <w:rFonts w:hint="default" w:ascii="Times New Roman" w:hAnsi="Times New Roman" w:eastAsia="宋体" w:cs="Times New Roman"/>
              <w:i w:val="0"/>
              <w:iCs w:val="0"/>
              <w:caps w:val="0"/>
              <w:spacing w:val="0"/>
              <w:kern w:val="0"/>
              <w:sz w:val="24"/>
              <w:szCs w:val="24"/>
              <w:lang w:val="en-US" w:eastAsia="zh" w:bidi="ar"/>
              <w:woUserID w:val="5"/>
            </w:rPr>
            <w:t>-</w:t>
          </w:r>
          <w:r>
            <w:rPr>
              <w:rFonts w:hint="default" w:ascii="Times New Roman" w:hAnsi="Times New Roman" w:eastAsia="宋体" w:cs="Times New Roman"/>
              <w:i w:val="0"/>
              <w:iCs w:val="0"/>
              <w:caps w:val="0"/>
              <w:spacing w:val="0"/>
              <w:kern w:val="0"/>
              <w:sz w:val="24"/>
              <w:szCs w:val="24"/>
              <w:lang w:val="en-US" w:eastAsia="zh-CN" w:bidi="ar"/>
              <w:woUserID w:val="1"/>
            </w:rPr>
            <w:t>of</w:t>
          </w:r>
          <w:r>
            <w:rPr>
              <w:rFonts w:hint="default" w:ascii="Times New Roman" w:hAnsi="Times New Roman" w:eastAsia="宋体" w:cs="Times New Roman"/>
              <w:i w:val="0"/>
              <w:iCs w:val="0"/>
              <w:caps w:val="0"/>
              <w:spacing w:val="0"/>
              <w:kern w:val="0"/>
              <w:sz w:val="24"/>
              <w:szCs w:val="24"/>
              <w:lang w:val="en-US" w:eastAsia="zh" w:bidi="ar"/>
              <w:woUserID w:val="5"/>
            </w:rPr>
            <w:t>-</w:t>
          </w:r>
          <w:r>
            <w:rPr>
              <w:rFonts w:hint="default" w:ascii="Times New Roman" w:hAnsi="Times New Roman" w:eastAsia="宋体" w:cs="Times New Roman"/>
              <w:i w:val="0"/>
              <w:iCs w:val="0"/>
              <w:caps w:val="0"/>
              <w:spacing w:val="0"/>
              <w:kern w:val="0"/>
              <w:sz w:val="24"/>
              <w:szCs w:val="24"/>
              <w:lang w:val="en-US" w:eastAsia="zh-CN" w:bidi="ar"/>
              <w:woUserID w:val="1"/>
            </w:rPr>
            <w:t>life recycling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_Toc2020536143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4BD7E0AC">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_Toc1330305240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宋体" w:cs="Times New Roman"/>
              <w:i w:val="0"/>
              <w:iCs w:val="0"/>
              <w:caps w:val="0"/>
              <w:spacing w:val="0"/>
              <w:kern w:val="0"/>
              <w:sz w:val="24"/>
              <w:szCs w:val="24"/>
              <w:lang w:val="en-US" w:eastAsia="zh" w:bidi="ar"/>
              <w:woUserID w:val="5"/>
            </w:rPr>
            <w:t xml:space="preserve">3.7 </w:t>
          </w:r>
          <w:r>
            <w:rPr>
              <w:rFonts w:hint="default" w:ascii="Times New Roman" w:hAnsi="Times New Roman" w:eastAsia="宋体" w:cs="Times New Roman"/>
              <w:i w:val="0"/>
              <w:iCs w:val="0"/>
              <w:caps w:val="0"/>
              <w:spacing w:val="0"/>
              <w:kern w:val="0"/>
              <w:sz w:val="24"/>
              <w:szCs w:val="24"/>
              <w:lang w:val="en-US" w:eastAsia="zh-CN" w:bidi="ar"/>
              <w:woUserID w:val="5"/>
            </w:rPr>
            <w:t>Materiality statement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_Toc1330305240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479E8A56">
          <w:pPr>
            <w:pStyle w:val="6"/>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_Toc278350887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b/>
              <w:bCs/>
              <w:kern w:val="2"/>
              <w:sz w:val="28"/>
              <w:szCs w:val="28"/>
              <w:lang w:val="en-US" w:eastAsia="zh" w:bidi="ar"/>
              <w:woUserID w:val="7"/>
            </w:rPr>
            <w:t xml:space="preserve">4. Consistency </w:t>
          </w:r>
          <w:r>
            <w:rPr>
              <w:rFonts w:hint="default" w:ascii="Times New Roman" w:hAnsi="Times New Roman" w:eastAsia="Tahoma" w:cs="Times New Roman"/>
              <w:b/>
              <w:bCs/>
              <w:kern w:val="2"/>
              <w:sz w:val="28"/>
              <w:szCs w:val="28"/>
              <w:lang w:val="en-US" w:eastAsia="zh" w:bidi="ar"/>
              <w:woUserID w:val="5"/>
            </w:rPr>
            <w:t>and</w:t>
          </w:r>
          <w:r>
            <w:rPr>
              <w:rFonts w:hint="default" w:ascii="Times New Roman" w:hAnsi="Times New Roman" w:eastAsia="Tahoma" w:cs="Times New Roman"/>
              <w:b/>
              <w:bCs/>
              <w:kern w:val="2"/>
              <w:sz w:val="28"/>
              <w:szCs w:val="28"/>
              <w:lang w:val="en-US" w:eastAsia="zh" w:bidi="ar"/>
              <w:woUserID w:val="7"/>
            </w:rPr>
            <w:t xml:space="preserve"> Greenwashing Risk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_Toc278350887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78CA0A6D">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_Toc280367906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CN" w:bidi="ar"/>
              <w:woUserID w:val="5"/>
            </w:rPr>
            <w:t>4.1 Volkswagen Group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_Toc280367906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08A0322F">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_Toc1954811633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CN" w:bidi="ar"/>
              <w:woUserID w:val="5"/>
            </w:rPr>
            <w:t>4.2 BMW Group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_Toc1954811633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21AA3A2F">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_Toc1769205228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CN" w:bidi="ar"/>
              <w:woUserID w:val="5"/>
            </w:rPr>
            <w:t>4.3 Toyota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_Toc1769205228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4C5F6AC9">
          <w:pPr>
            <w:pStyle w:val="7"/>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_Toc503996773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kern w:val="2"/>
              <w:sz w:val="24"/>
              <w:szCs w:val="24"/>
              <w:lang w:val="en-US" w:eastAsia="zh-CN" w:bidi="ar"/>
              <w:woUserID w:val="5"/>
            </w:rPr>
            <w:t>4.4 Overall assessment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_Toc503996773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7F7715B1">
          <w:pPr>
            <w:pStyle w:val="6"/>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_Toc1941467300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b/>
              <w:bCs/>
              <w:kern w:val="2"/>
              <w:sz w:val="28"/>
              <w:szCs w:val="28"/>
              <w:lang w:val="en-US" w:eastAsia="zh" w:bidi="ar"/>
              <w:woUserID w:val="7"/>
            </w:rPr>
            <w:t>5. Summary</w:t>
          </w:r>
          <w:r>
            <w:rPr>
              <w:rFonts w:hint="default" w:ascii="Times New Roman" w:hAnsi="Times New Roman" w:eastAsia="Tahoma" w:cs="Times New Roman"/>
              <w:b/>
              <w:bCs/>
              <w:kern w:val="2"/>
              <w:sz w:val="28"/>
              <w:szCs w:val="28"/>
              <w:lang w:val="en-US" w:eastAsia="zh" w:bidi="ar"/>
              <w:woUserID w:val="5"/>
            </w:rPr>
            <w:t xml:space="preserve"> of financial and ESG findings and further implications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_Toc1941467300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1A9900BA">
          <w:pPr>
            <w:pStyle w:val="6"/>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_Toc1186319462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b/>
              <w:bCs/>
              <w:kern w:val="2"/>
              <w:sz w:val="28"/>
              <w:szCs w:val="28"/>
              <w:lang w:val="en-US" w:eastAsia="zh-CN" w:bidi="ar"/>
              <w:woUserID w:val="5"/>
            </w:rPr>
            <w:t>Reference</w:t>
          </w:r>
          <w:r>
            <w:rPr>
              <w:rFonts w:hint="default" w:ascii="Times New Roman" w:hAnsi="Times New Roman" w:eastAsia="Tahoma" w:cs="Times New Roman"/>
              <w:b/>
              <w:bCs/>
              <w:kern w:val="2"/>
              <w:sz w:val="28"/>
              <w:szCs w:val="28"/>
              <w:lang w:val="en-US" w:eastAsia="zh" w:bidi="ar"/>
              <w:woUserID w:val="5"/>
            </w:rPr>
            <w: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_Toc1186319462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64C8D6AA">
          <w:pPr>
            <w:pStyle w:val="6"/>
            <w:tabs>
              <w:tab w:val="right" w:leader="dot" w:pos="9072"/>
            </w:tabs>
            <w:rPr>
              <w:rFonts w:hint="default" w:ascii="Times New Roman" w:hAnsi="Times New Roman" w:cs="Times New Roman"/>
              <w:sz w:val="24"/>
              <w:szCs w:val="24"/>
            </w:rPr>
          </w:pPr>
          <w:r>
            <w:rPr>
              <w:rFonts w:hint="default" w:ascii="Times New Roman" w:hAnsi="Times New Roman" w:eastAsia="宋体" w:cs="Times New Roman"/>
              <w:kern w:val="0"/>
              <w:sz w:val="24"/>
              <w:szCs w:val="24"/>
              <w:lang w:val="nl" w:eastAsia="zh-CN" w:bidi="ar"/>
              <w:woUserID w:val="5"/>
            </w:rPr>
            <w:fldChar w:fldCharType="begin"/>
          </w:r>
          <w:r>
            <w:rPr>
              <w:rFonts w:hint="default" w:ascii="Times New Roman" w:hAnsi="Times New Roman" w:eastAsia="宋体" w:cs="Times New Roman"/>
              <w:kern w:val="0"/>
              <w:sz w:val="24"/>
              <w:szCs w:val="24"/>
              <w:lang w:val="nl" w:eastAsia="zh-CN" w:bidi="ar"/>
              <w:woUserID w:val="5"/>
            </w:rPr>
            <w:instrText xml:space="preserve"> HYPERLINK \l _Toc635951500 </w:instrText>
          </w:r>
          <w:r>
            <w:rPr>
              <w:rFonts w:hint="default" w:ascii="Times New Roman" w:hAnsi="Times New Roman" w:eastAsia="宋体" w:cs="Times New Roman"/>
              <w:kern w:val="0"/>
              <w:sz w:val="24"/>
              <w:szCs w:val="24"/>
              <w:lang w:val="nl" w:eastAsia="zh-CN" w:bidi="ar"/>
              <w:woUserID w:val="5"/>
            </w:rPr>
            <w:fldChar w:fldCharType="separate"/>
          </w:r>
          <w:r>
            <w:rPr>
              <w:rFonts w:hint="default" w:ascii="Times New Roman" w:hAnsi="Times New Roman" w:eastAsia="Tahoma" w:cs="Times New Roman"/>
              <w:b/>
              <w:bCs/>
              <w:kern w:val="2"/>
              <w:sz w:val="28"/>
              <w:szCs w:val="28"/>
              <w:lang w:val="en-US" w:eastAsia="zh" w:bidi="ar"/>
              <w:woUserID w:val="5"/>
            </w:rPr>
            <w:t>Appendix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_Toc635951500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eastAsia="宋体" w:cs="Times New Roman"/>
              <w:kern w:val="0"/>
              <w:sz w:val="24"/>
              <w:szCs w:val="24"/>
              <w:lang w:val="nl" w:eastAsia="zh-CN" w:bidi="ar"/>
              <w:woUserID w:val="5"/>
            </w:rPr>
            <w:fldChar w:fldCharType="end"/>
          </w:r>
        </w:p>
        <w:p w14:paraId="2A436CBE">
          <w:pPr>
            <w:keepNext w:val="0"/>
            <w:keepLines w:val="0"/>
            <w:widowControl/>
            <w:suppressLineNumbers w:val="0"/>
            <w:spacing w:before="0" w:beforeAutospacing="0" w:after="160" w:afterAutospacing="0" w:line="240" w:lineRule="auto"/>
            <w:ind w:left="0" w:right="0"/>
            <w:jc w:val="both"/>
            <w:rPr>
              <w:rFonts w:hint="default" w:ascii="Times New Roman" w:hAnsi="Times New Roman" w:eastAsia="宋体" w:cs="Times New Roman"/>
              <w:kern w:val="0"/>
              <w:sz w:val="21"/>
              <w:szCs w:val="24"/>
              <w:lang w:val="nl" w:eastAsia="zh-CN" w:bidi="ar"/>
              <w:woUserID w:val="5"/>
            </w:rPr>
          </w:pPr>
          <w:r>
            <w:rPr>
              <w:rFonts w:hint="default" w:ascii="Times New Roman" w:hAnsi="Times New Roman" w:eastAsia="宋体" w:cs="Times New Roman"/>
              <w:kern w:val="0"/>
              <w:sz w:val="24"/>
              <w:szCs w:val="24"/>
              <w:lang w:val="nl" w:eastAsia="zh-CN" w:bidi="ar"/>
              <w:woUserID w:val="5"/>
            </w:rPr>
            <w:fldChar w:fldCharType="end"/>
          </w:r>
        </w:p>
      </w:sdtContent>
    </w:sdt>
    <w:p w14:paraId="302DD252">
      <w:pPr>
        <w:keepNext w:val="0"/>
        <w:keepLines w:val="0"/>
        <w:widowControl/>
        <w:suppressLineNumbers w:val="0"/>
        <w:spacing w:before="0" w:beforeAutospacing="0" w:after="160" w:afterAutospacing="0" w:line="256" w:lineRule="auto"/>
        <w:ind w:left="0" w:right="0"/>
        <w:jc w:val="both"/>
        <w:rPr>
          <w:rFonts w:hint="default" w:ascii="Times New Roman" w:hAnsi="Times New Roman" w:eastAsia="宋体" w:cs="Times New Roman"/>
          <w:kern w:val="0"/>
          <w:sz w:val="21"/>
          <w:szCs w:val="24"/>
          <w:lang w:val="nl" w:eastAsia="zh-CN" w:bidi="ar"/>
          <w:woUserID w:val="5"/>
        </w:rPr>
      </w:pPr>
    </w:p>
    <w:p w14:paraId="28CE924B">
      <w:pPr>
        <w:keepNext w:val="0"/>
        <w:keepLines w:val="0"/>
        <w:widowControl/>
        <w:suppressLineNumbers w:val="0"/>
        <w:spacing w:before="0" w:beforeAutospacing="0" w:after="160" w:afterAutospacing="0" w:line="256" w:lineRule="auto"/>
        <w:ind w:left="0" w:right="0"/>
        <w:jc w:val="both"/>
        <w:rPr>
          <w:rFonts w:hint="default" w:ascii="Times New Roman" w:hAnsi="Times New Roman" w:eastAsia="宋体" w:cs="Times New Roman"/>
          <w:kern w:val="0"/>
          <w:sz w:val="24"/>
          <w:szCs w:val="24"/>
          <w:lang w:val="nl" w:eastAsia="zh-CN" w:bidi="ar"/>
          <w:woUserID w:val="5"/>
        </w:rPr>
      </w:pPr>
    </w:p>
    <w:p w14:paraId="7381FD3B">
      <w:pPr>
        <w:keepNext w:val="0"/>
        <w:keepLines w:val="0"/>
        <w:widowControl/>
        <w:suppressLineNumbers w:val="0"/>
        <w:spacing w:before="0" w:beforeAutospacing="0" w:after="160" w:afterAutospacing="0" w:line="256" w:lineRule="auto"/>
        <w:ind w:left="0" w:right="0"/>
        <w:jc w:val="both"/>
        <w:rPr>
          <w:rFonts w:hint="default" w:ascii="Times New Roman" w:hAnsi="Times New Roman" w:eastAsia="宋体" w:cs="Times New Roman"/>
          <w:kern w:val="0"/>
          <w:sz w:val="24"/>
          <w:szCs w:val="24"/>
          <w:lang w:val="nl" w:eastAsia="zh-CN" w:bidi="ar"/>
          <w:woUserID w:val="5"/>
        </w:rPr>
      </w:pPr>
    </w:p>
    <w:p w14:paraId="09E7798A">
      <w:pPr>
        <w:keepNext w:val="0"/>
        <w:keepLines w:val="0"/>
        <w:widowControl/>
        <w:suppressLineNumbers w:val="0"/>
        <w:spacing w:before="0" w:beforeAutospacing="0" w:after="160" w:afterAutospacing="0" w:line="256" w:lineRule="auto"/>
        <w:ind w:left="0" w:right="0"/>
        <w:jc w:val="both"/>
        <w:rPr>
          <w:rFonts w:hint="default" w:ascii="Times New Roman" w:hAnsi="Times New Roman" w:eastAsia="宋体" w:cs="Times New Roman"/>
          <w:kern w:val="0"/>
          <w:sz w:val="24"/>
          <w:szCs w:val="24"/>
          <w:lang w:val="en-US" w:eastAsia="zh" w:bidi="ar"/>
          <w:woUserID w:val="5"/>
        </w:rPr>
      </w:pPr>
    </w:p>
    <w:p w14:paraId="63C0FA97">
      <w:pPr>
        <w:pStyle w:val="2"/>
        <w:keepNext w:val="0"/>
        <w:keepLines w:val="0"/>
        <w:widowControl w:val="0"/>
        <w:numPr>
          <w:ilvl w:val="0"/>
          <w:numId w:val="3"/>
        </w:numPr>
        <w:suppressLineNumbers w:val="0"/>
        <w:bidi w:val="0"/>
        <w:spacing w:line="240" w:lineRule="auto"/>
        <w:ind w:left="0" w:leftChars="0" w:right="0" w:firstLine="0" w:firstLineChars="0"/>
        <w:jc w:val="both"/>
        <w:rPr>
          <w:rFonts w:hint="default" w:ascii="Times New Roman" w:hAnsi="Times New Roman" w:eastAsia="Tahoma" w:cs="Times New Roman"/>
          <w:kern w:val="2"/>
          <w:lang w:val="en-US" w:eastAsia="zh" w:bidi="ar"/>
          <w:woUserID w:val="7"/>
        </w:rPr>
      </w:pPr>
      <w:bookmarkStart w:id="0" w:name="_Toc835839946"/>
      <w:r>
        <w:rPr>
          <w:rFonts w:hint="default" w:ascii="Times New Roman" w:hAnsi="Times New Roman" w:eastAsia="Tahoma" w:cs="Times New Roman"/>
          <w:kern w:val="2"/>
          <w:lang w:val="en-US" w:eastAsia="zh-CN" w:bidi="ar"/>
          <w:woUserID w:val="7"/>
        </w:rPr>
        <w:t>Industrial-level Overview</w:t>
      </w:r>
      <w:bookmarkEnd w:id="0"/>
    </w:p>
    <w:p w14:paraId="2A91D1FD">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等线" w:cs="Times New Roman"/>
          <w:kern w:val="2"/>
          <w:sz w:val="24"/>
          <w:szCs w:val="24"/>
          <w:lang w:val="en-US" w:eastAsia="zh-CN" w:bidi="ar"/>
          <w:woUserID w:val="1"/>
        </w:rPr>
      </w:pPr>
      <w:r>
        <w:rPr>
          <w:rFonts w:hint="default" w:ascii="Times New Roman" w:hAnsi="Times New Roman" w:eastAsia="等线" w:cs="Times New Roman"/>
          <w:kern w:val="2"/>
          <w:sz w:val="24"/>
          <w:szCs w:val="24"/>
          <w:lang w:val="en-US" w:eastAsia="zh-CN" w:bidi="ar"/>
          <w:woUserID w:val="1"/>
        </w:rPr>
        <w:t xml:space="preserve">The auto industry faces three major forces: electrification, carbon neutrality and sustainability disclosure requirements. According to IPCC (2022), transport accounts for approximately 20% of global CO₂ emissions. From 2025, the EU requires new cars to emit ≤95g CO₂/km (European Hydrogen Observatory, 2025). </w:t>
      </w:r>
    </w:p>
    <w:p w14:paraId="6F43B7C8">
      <w:pPr>
        <w:pStyle w:val="3"/>
        <w:keepNext w:val="0"/>
        <w:keepLines w:val="0"/>
        <w:widowControl w:val="0"/>
        <w:numPr>
          <w:ilvl w:val="1"/>
          <w:numId w:val="3"/>
        </w:numPr>
        <w:suppressLineNumbers w:val="0"/>
        <w:bidi w:val="0"/>
        <w:spacing w:line="240" w:lineRule="auto"/>
        <w:ind w:left="0" w:right="0"/>
        <w:jc w:val="both"/>
        <w:rPr>
          <w:rFonts w:hint="default" w:ascii="Times New Roman" w:hAnsi="Times New Roman" w:eastAsia="等线" w:cs="Times New Roman"/>
          <w:kern w:val="2"/>
          <w:sz w:val="24"/>
          <w:szCs w:val="24"/>
          <w:lang w:val="en-US" w:eastAsia="zh" w:bidi="ar"/>
          <w:woUserID w:val="1"/>
        </w:rPr>
      </w:pPr>
      <w:bookmarkStart w:id="1" w:name="_Toc1712178859"/>
      <w:r>
        <w:rPr>
          <w:rFonts w:hint="default" w:ascii="Times New Roman" w:hAnsi="Times New Roman" w:eastAsia="Tahoma" w:cs="Times New Roman"/>
          <w:color w:val="000000"/>
          <w:kern w:val="2"/>
          <w:lang w:val="en-US" w:eastAsia="zh" w:bidi="ar"/>
          <w:woUserID w:val="7"/>
        </w:rPr>
        <w:t>Chall</w:t>
      </w:r>
      <w:r>
        <w:rPr>
          <w:rFonts w:hint="eastAsia" w:eastAsia="Tahoma" w:cs="Times New Roman"/>
          <w:color w:val="000000"/>
          <w:kern w:val="2"/>
          <w:lang w:val="en-US" w:eastAsia="zh" w:bidi="ar"/>
          <w:woUserID w:val="5"/>
        </w:rPr>
        <w:t>e</w:t>
      </w:r>
      <w:r>
        <w:rPr>
          <w:rFonts w:hint="default" w:ascii="Times New Roman" w:hAnsi="Times New Roman" w:eastAsia="Tahoma" w:cs="Times New Roman"/>
          <w:color w:val="000000"/>
          <w:kern w:val="2"/>
          <w:lang w:val="en-US" w:eastAsia="zh" w:bidi="ar"/>
          <w:woUserID w:val="7"/>
        </w:rPr>
        <w:t>nge</w:t>
      </w:r>
      <w:bookmarkEnd w:id="1"/>
    </w:p>
    <w:p w14:paraId="2BAD9D78">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等线" w:cs="Times New Roman"/>
          <w:b w:val="0"/>
          <w:bCs w:val="0"/>
          <w:kern w:val="2"/>
          <w:sz w:val="24"/>
          <w:szCs w:val="24"/>
          <w:lang w:val="en-US" w:eastAsia="zh-CN" w:bidi="ar"/>
          <w:woUserID w:val="1"/>
        </w:rPr>
      </w:pPr>
      <w:r>
        <w:rPr>
          <w:rFonts w:hint="default" w:ascii="Times New Roman" w:hAnsi="Times New Roman" w:eastAsia="等线" w:cs="Times New Roman"/>
          <w:b w:val="0"/>
          <w:bCs w:val="0"/>
          <w:kern w:val="2"/>
          <w:sz w:val="24"/>
          <w:szCs w:val="24"/>
          <w:lang w:val="en-US" w:eastAsia="zh-CN" w:bidi="ar"/>
          <w:woUserID w:val="1"/>
        </w:rPr>
        <w:t>Four core challenges exist:</w:t>
      </w:r>
    </w:p>
    <w:p w14:paraId="197F8570">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等线" w:cs="Times New Roman"/>
          <w:b/>
          <w:bCs/>
          <w:kern w:val="2"/>
          <w:sz w:val="24"/>
          <w:szCs w:val="24"/>
          <w:lang w:val="en-US" w:eastAsia="zh-CN" w:bidi="ar"/>
          <w:woUserID w:val="1"/>
        </w:rPr>
      </w:pPr>
    </w:p>
    <w:p w14:paraId="29F67A11">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等线" w:cs="Times New Roman"/>
          <w:kern w:val="2"/>
          <w:sz w:val="24"/>
          <w:szCs w:val="24"/>
          <w:lang w:val="en-US" w:eastAsia="zh-CN" w:bidi="ar"/>
          <w:woUserID w:val="1"/>
        </w:rPr>
      </w:pPr>
      <w:r>
        <w:rPr>
          <w:rFonts w:hint="default" w:ascii="Times New Roman" w:hAnsi="Times New Roman" w:eastAsia="等线" w:cs="Times New Roman"/>
          <w:kern w:val="2"/>
          <w:sz w:val="24"/>
          <w:szCs w:val="24"/>
          <w:lang w:val="en-US" w:eastAsia="zh-CN" w:bidi="ar"/>
          <w:woUserID w:val="1"/>
        </w:rPr>
        <w:t>1. EV battery production emits 1.5</w:t>
      </w:r>
      <w:r>
        <w:rPr>
          <w:rFonts w:hint="default" w:ascii="Times New Roman" w:hAnsi="Times New Roman" w:eastAsia="等线" w:cs="Times New Roman"/>
          <w:kern w:val="2"/>
          <w:sz w:val="24"/>
          <w:szCs w:val="24"/>
          <w:lang w:val="en-US" w:eastAsia="zh" w:bidi="ar"/>
          <w:woUserID w:val="1"/>
        </w:rPr>
        <w:t>-</w:t>
      </w:r>
      <w:r>
        <w:rPr>
          <w:rFonts w:hint="default" w:ascii="Times New Roman" w:hAnsi="Times New Roman" w:eastAsia="等线" w:cs="Times New Roman"/>
          <w:kern w:val="2"/>
          <w:sz w:val="24"/>
          <w:szCs w:val="24"/>
          <w:lang w:val="en-US" w:eastAsia="zh-CN" w:bidi="ar"/>
          <w:woUserID w:val="1"/>
        </w:rPr>
        <w:t xml:space="preserve">2.0 times more CO₂ than petrol cars, raising manufacturing emissions. </w:t>
      </w:r>
    </w:p>
    <w:p w14:paraId="73831859">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等线" w:cs="Times New Roman"/>
          <w:kern w:val="2"/>
          <w:sz w:val="24"/>
          <w:szCs w:val="24"/>
          <w:lang w:val="en-US" w:eastAsia="zh-CN" w:bidi="ar"/>
          <w:woUserID w:val="1"/>
        </w:rPr>
      </w:pPr>
      <w:r>
        <w:rPr>
          <w:rFonts w:hint="default" w:ascii="Times New Roman" w:hAnsi="Times New Roman" w:eastAsia="等线" w:cs="Times New Roman"/>
          <w:kern w:val="2"/>
          <w:sz w:val="24"/>
          <w:szCs w:val="24"/>
          <w:lang w:val="en-US" w:eastAsia="zh-CN" w:bidi="ar"/>
          <w:woUserID w:val="1"/>
        </w:rPr>
        <w:t xml:space="preserve">2. Scope 3 emissions (use-phase and supply chain) exceed 90% of total emissions for most automakers. </w:t>
      </w:r>
    </w:p>
    <w:p w14:paraId="4EDFC2BE">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等线" w:cs="Times New Roman"/>
          <w:kern w:val="2"/>
          <w:sz w:val="24"/>
          <w:szCs w:val="24"/>
          <w:lang w:val="en-US" w:eastAsia="zh-CN" w:bidi="ar"/>
          <w:woUserID w:val="1"/>
        </w:rPr>
      </w:pPr>
      <w:r>
        <w:rPr>
          <w:rFonts w:hint="default" w:ascii="Times New Roman" w:hAnsi="Times New Roman" w:eastAsia="等线" w:cs="Times New Roman"/>
          <w:kern w:val="2"/>
          <w:sz w:val="24"/>
          <w:szCs w:val="24"/>
          <w:lang w:val="en-US" w:eastAsia="zh-CN" w:bidi="ar"/>
          <w:woUserID w:val="1"/>
        </w:rPr>
        <w:t>3. Green trade barriers like CBAM and the Critical Raw Materials Act impose new compliance costs.</w:t>
      </w:r>
    </w:p>
    <w:p w14:paraId="09F3685F">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等线" w:cs="Times New Roman"/>
          <w:kern w:val="2"/>
          <w:sz w:val="24"/>
          <w:szCs w:val="24"/>
          <w:lang w:val="en-US" w:eastAsia="zh-CN" w:bidi="ar"/>
          <w:woUserID w:val="1"/>
        </w:rPr>
      </w:pPr>
      <w:r>
        <w:rPr>
          <w:rFonts w:hint="default" w:ascii="Times New Roman" w:hAnsi="Times New Roman" w:eastAsia="等线" w:cs="Times New Roman"/>
          <w:kern w:val="2"/>
          <w:sz w:val="24"/>
          <w:szCs w:val="24"/>
          <w:lang w:val="en-US" w:eastAsia="zh-CN" w:bidi="ar"/>
          <w:woUserID w:val="1"/>
        </w:rPr>
        <w:t>4. Physical climate events and product responsibility risks may disrupt production and increase warranty litigation and operational costs.</w:t>
      </w:r>
    </w:p>
    <w:p w14:paraId="3A331B96">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等线" w:cs="Times New Roman"/>
          <w:kern w:val="2"/>
          <w:sz w:val="24"/>
          <w:szCs w:val="24"/>
          <w:lang w:val="en-US" w:eastAsia="zh-CN" w:bidi="ar"/>
          <w:woUserID w:val="1"/>
        </w:rPr>
      </w:pPr>
      <w:r>
        <w:rPr>
          <w:rFonts w:hint="default" w:ascii="Times New Roman" w:hAnsi="Times New Roman" w:eastAsia="等线" w:cs="Times New Roman"/>
          <w:kern w:val="2"/>
          <w:sz w:val="24"/>
          <w:szCs w:val="24"/>
          <w:lang w:val="en-US" w:eastAsia="zh-CN" w:bidi="ar"/>
          <w:woUserID w:val="1"/>
        </w:rPr>
        <w:t xml:space="preserve"> </w:t>
      </w:r>
    </w:p>
    <w:p w14:paraId="7ADD3CC5">
      <w:pPr>
        <w:keepNext w:val="0"/>
        <w:keepLines w:val="0"/>
        <w:widowControl w:val="0"/>
        <w:suppressLineNumbers w:val="0"/>
        <w:spacing w:before="0" w:beforeAutospacing="0" w:after="160" w:afterAutospacing="0" w:line="240" w:lineRule="auto"/>
        <w:ind w:left="0" w:right="0"/>
        <w:jc w:val="left"/>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 xml:space="preserve">The first challenge raises carbon costs under EU ETS and CBAM, adding hundreds of euros per electric car (Voltbahn Editor, 2026). This increases cost of sales, compressing gross margin and operating margin. For investors, this means lower profitability and reduced EPS, directly lowering stock returns. </w:t>
      </w:r>
    </w:p>
    <w:p w14:paraId="095324A4">
      <w:pPr>
        <w:keepNext w:val="0"/>
        <w:keepLines w:val="0"/>
        <w:widowControl w:val="0"/>
        <w:suppressLineNumbers w:val="0"/>
        <w:spacing w:before="0" w:beforeAutospacing="0" w:after="160" w:afterAutospacing="0" w:line="240" w:lineRule="auto"/>
        <w:ind w:left="0" w:right="0"/>
        <w:jc w:val="left"/>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 xml:space="preserve">The second challenge poses a more severe threat to profitability: use-phase emissions may trigger €95/g/km fines (European Commission, n.d.), directly reducing net profit margin and EPS. Supply chain emissions cause CBAM charges on imported parts, meanwhile Scope 3 transparency of automobile industry also lowers ESG ratings (Graf-Vlachy </w:t>
      </w:r>
      <w:r>
        <w:rPr>
          <w:rFonts w:hint="default" w:ascii="Times New Roman" w:hAnsi="Times New Roman" w:eastAsia="-webkit-standard" w:cs="Times New Roman"/>
          <w:i w:val="0"/>
          <w:iCs w:val="0"/>
          <w:caps w:val="0"/>
          <w:color w:val="000000"/>
          <w:spacing w:val="0"/>
          <w:kern w:val="0"/>
          <w:sz w:val="24"/>
          <w:szCs w:val="24"/>
          <w:lang w:val="en-US" w:eastAsia="zh" w:bidi="ar"/>
          <w:woUserID w:val="7"/>
        </w:rPr>
        <w:t>and</w:t>
      </w:r>
      <w:r>
        <w:rPr>
          <w:rFonts w:hint="default" w:ascii="Times New Roman" w:hAnsi="Times New Roman" w:eastAsia="-webkit-standard" w:cs="Times New Roman"/>
          <w:i w:val="0"/>
          <w:iCs w:val="0"/>
          <w:caps w:val="0"/>
          <w:color w:val="000000"/>
          <w:spacing w:val="0"/>
          <w:kern w:val="0"/>
          <w:sz w:val="24"/>
          <w:szCs w:val="24"/>
          <w:lang w:val="en-US" w:eastAsia="zh-CN" w:bidi="ar"/>
          <w:woUserID w:val="1"/>
        </w:rPr>
        <w:t xml:space="preserve"> Hettler, 2024), raising the cost of debt and increasing WACC, which reduces equity valuation. Investors should be aware since higher WACC lowers the PV of future cash flows, affecting share prices. </w:t>
      </w:r>
    </w:p>
    <w:p w14:paraId="3A5B9761">
      <w:pPr>
        <w:keepNext w:val="0"/>
        <w:keepLines w:val="0"/>
        <w:widowControl w:val="0"/>
        <w:suppressLineNumbers w:val="0"/>
        <w:spacing w:before="0" w:beforeAutospacing="0" w:after="160" w:afterAutospacing="0" w:line="240" w:lineRule="auto"/>
        <w:ind w:left="0" w:right="0"/>
        <w:jc w:val="left"/>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The third challenge adds CBAM costs and creates asset impairment risk for overseas plants (Wang, 2026). Non-compliance with local content rules may create liabilities, increasing costs and worsening leverage ratios. These risks may worsen leverage ratios and affect margins, ROE and cost of capital.</w:t>
      </w:r>
    </w:p>
    <w:p w14:paraId="30EE20EB">
      <w:pPr>
        <w:keepNext w:val="0"/>
        <w:keepLines w:val="0"/>
        <w:widowControl w:val="0"/>
        <w:suppressLineNumbers w:val="0"/>
        <w:spacing w:before="0" w:beforeAutospacing="0" w:after="160" w:afterAutospacing="0" w:line="240" w:lineRule="auto"/>
        <w:ind w:left="0" w:right="0"/>
        <w:jc w:val="left"/>
        <w:rPr>
          <w:rFonts w:hint="default" w:ascii="Times New Roman" w:hAnsi="Times New Roman" w:eastAsia="-webkit-standard" w:cs="Times New Roman"/>
          <w:i w:val="0"/>
          <w:iCs w:val="0"/>
          <w:caps w:val="0"/>
          <w:color w:val="000000"/>
          <w:spacing w:val="0"/>
          <w:kern w:val="0"/>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The fourth challenge affects operational resilience and liability exposure. Physical climate events and product responsibility risks may disrupt production, damage assets and increase recall, warranty, litigation and cybersecurity-related costs. These effects may reduce cash flows, increase provisions and damage reputation.</w:t>
      </w:r>
    </w:p>
    <w:p w14:paraId="456FD2FB">
      <w:pPr>
        <w:pStyle w:val="3"/>
        <w:keepNext w:val="0"/>
        <w:keepLines w:val="0"/>
        <w:widowControl/>
        <w:suppressLineNumbers w:val="0"/>
        <w:bidi w:val="0"/>
        <w:spacing w:line="240" w:lineRule="auto"/>
        <w:ind w:left="0" w:firstLine="0"/>
        <w:jc w:val="both"/>
        <w:rPr>
          <w:rFonts w:hint="default" w:ascii="Times New Roman" w:hAnsi="Times New Roman" w:eastAsia="宋体" w:cs="Times New Roman"/>
          <w:b/>
          <w:bCs/>
          <w:i w:val="0"/>
          <w:iCs w:val="0"/>
          <w:caps w:val="0"/>
          <w:color w:val="000000"/>
          <w:spacing w:val="0"/>
          <w:kern w:val="0"/>
          <w:sz w:val="24"/>
          <w:szCs w:val="32"/>
          <w:woUserID w:val="1"/>
        </w:rPr>
      </w:pPr>
      <w:bookmarkStart w:id="2" w:name="_Toc1396619364"/>
      <w:r>
        <w:rPr>
          <w:rFonts w:hint="default" w:ascii="Times New Roman" w:hAnsi="Times New Roman" w:eastAsia="宋体" w:cs="Times New Roman"/>
          <w:i w:val="0"/>
          <w:iCs w:val="0"/>
          <w:caps w:val="0"/>
          <w:color w:val="000000"/>
          <w:spacing w:val="0"/>
          <w:kern w:val="0"/>
          <w:lang w:eastAsia="zh"/>
          <w:woUserID w:val="1"/>
        </w:rPr>
        <w:t xml:space="preserve">1.2 </w:t>
      </w:r>
      <w:r>
        <w:rPr>
          <w:rFonts w:hint="default" w:ascii="Times New Roman" w:hAnsi="Times New Roman" w:eastAsia="宋体" w:cs="Times New Roman"/>
          <w:i w:val="0"/>
          <w:iCs w:val="0"/>
          <w:caps w:val="0"/>
          <w:color w:val="000000"/>
          <w:spacing w:val="0"/>
          <w:kern w:val="0"/>
          <w:woUserID w:val="1"/>
        </w:rPr>
        <w:t>Industry Risk Map</w:t>
      </w:r>
      <w:bookmarkEnd w:id="2"/>
    </w:p>
    <w:p w14:paraId="77CD08CB">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In line with IFRS S1/S2’s focus on financially material sustainability information, Table 1 develops the four core challenges into an industry risk map for Volkswagen, BMW and Toyota.</w:t>
      </w:r>
    </w:p>
    <w:p w14:paraId="4916617B">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 xml:space="preserve"> </w:t>
      </w:r>
    </w:p>
    <w:p w14:paraId="5F906878">
      <w:pPr>
        <w:keepNext w:val="0"/>
        <w:keepLines w:val="0"/>
        <w:widowControl w:val="0"/>
        <w:suppressLineNumbers w:val="0"/>
        <w:spacing w:before="0" w:beforeAutospacing="0" w:after="160" w:afterAutospacing="0" w:line="240" w:lineRule="auto"/>
        <w:ind w:left="0" w:right="0"/>
        <w:jc w:val="left"/>
        <w:rPr>
          <w:rFonts w:hint="default" w:ascii="Times New Roman" w:hAnsi="Times New Roman" w:eastAsia="宋体" w:cs="Times New Roman"/>
          <w:b/>
          <w:bCs/>
          <w:i w:val="0"/>
          <w:iCs w:val="0"/>
          <w:caps w:val="0"/>
          <w:color w:val="000000"/>
          <w:spacing w:val="0"/>
          <w:kern w:val="0"/>
          <w:sz w:val="24"/>
          <w:szCs w:val="24"/>
          <w:lang w:val="en-US" w:eastAsia="zh-CN" w:bidi="ar"/>
          <w:woUserID w:val="1"/>
        </w:rPr>
      </w:pPr>
      <w:r>
        <w:rPr>
          <w:rFonts w:hint="default" w:ascii="Times New Roman" w:hAnsi="Times New Roman" w:eastAsia="宋体" w:cs="Times New Roman"/>
          <w:b/>
          <w:bCs/>
          <w:i w:val="0"/>
          <w:iCs w:val="0"/>
          <w:caps w:val="0"/>
          <w:color w:val="000000"/>
          <w:spacing w:val="0"/>
          <w:kern w:val="0"/>
          <w:sz w:val="24"/>
          <w:szCs w:val="24"/>
          <w:lang w:val="en-US" w:eastAsia="zh-CN" w:bidi="ar"/>
          <w:woUserID w:val="1"/>
        </w:rPr>
        <w:t>Table 1: Risk map</w:t>
      </w:r>
    </w:p>
    <w:tbl>
      <w:tblPr>
        <w:tblStyle w:val="10"/>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355"/>
        <w:gridCol w:w="3137"/>
        <w:gridCol w:w="3580"/>
      </w:tblGrid>
      <w:tr w14:paraId="0027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8" w:hRule="atLeast"/>
        </w:trPr>
        <w:tc>
          <w:tcPr>
            <w:tcW w:w="2355" w:type="dxa"/>
            <w:tcBorders>
              <w:top w:val="single" w:color="auto" w:sz="4" w:space="0"/>
              <w:left w:val="single" w:color="auto" w:sz="4" w:space="0"/>
              <w:bottom w:val="single" w:color="auto" w:sz="4" w:space="0"/>
              <w:right w:val="single" w:color="auto" w:sz="4" w:space="0"/>
            </w:tcBorders>
            <w:shd w:val="clear" w:color="auto" w:fill="auto"/>
            <w:vAlign w:val="center"/>
          </w:tcPr>
          <w:p w14:paraId="2DE3CD3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bCs/>
                <w:i w:val="0"/>
                <w:iCs w:val="0"/>
                <w:caps w:val="0"/>
                <w:color w:val="000000"/>
                <w:spacing w:val="0"/>
                <w:kern w:val="0"/>
                <w:sz w:val="24"/>
                <w:szCs w:val="24"/>
                <w:woUserID w:val="1"/>
              </w:rPr>
            </w:pPr>
            <w:r>
              <w:rPr>
                <w:rFonts w:hint="default" w:ascii="Times New Roman" w:hAnsi="Times New Roman" w:eastAsia="-webkit-standard" w:cs="Times New Roman"/>
                <w:b/>
                <w:bCs/>
                <w:i w:val="0"/>
                <w:iCs w:val="0"/>
                <w:caps w:val="0"/>
                <w:color w:val="000000"/>
                <w:spacing w:val="0"/>
                <w:kern w:val="0"/>
                <w:sz w:val="24"/>
                <w:szCs w:val="24"/>
                <w:woUserID w:val="1"/>
              </w:rPr>
              <w:t>Risk area</w:t>
            </w:r>
          </w:p>
        </w:tc>
        <w:tc>
          <w:tcPr>
            <w:tcW w:w="3137" w:type="dxa"/>
            <w:tcBorders>
              <w:top w:val="single" w:color="auto" w:sz="4" w:space="0"/>
              <w:left w:val="nil"/>
              <w:bottom w:val="single" w:color="auto" w:sz="4" w:space="0"/>
              <w:right w:val="single" w:color="auto" w:sz="4" w:space="0"/>
            </w:tcBorders>
            <w:shd w:val="clear" w:color="auto" w:fill="auto"/>
            <w:vAlign w:val="center"/>
          </w:tcPr>
          <w:p w14:paraId="2B11D959">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bCs/>
                <w:i w:val="0"/>
                <w:iCs w:val="0"/>
                <w:caps w:val="0"/>
                <w:color w:val="000000"/>
                <w:spacing w:val="0"/>
                <w:kern w:val="0"/>
                <w:sz w:val="24"/>
                <w:szCs w:val="24"/>
                <w:woUserID w:val="1"/>
              </w:rPr>
            </w:pPr>
            <w:r>
              <w:rPr>
                <w:rFonts w:hint="default" w:ascii="Times New Roman" w:hAnsi="Times New Roman" w:eastAsia="-webkit-standard" w:cs="Times New Roman"/>
                <w:b/>
                <w:bCs/>
                <w:i w:val="0"/>
                <w:iCs w:val="0"/>
                <w:caps w:val="0"/>
                <w:color w:val="000000"/>
                <w:spacing w:val="0"/>
                <w:kern w:val="0"/>
                <w:sz w:val="24"/>
                <w:szCs w:val="24"/>
                <w:lang w:val="en-US" w:eastAsia="zh-CN" w:bidi="ar"/>
                <w:woUserID w:val="1"/>
              </w:rPr>
              <w:t>Financial impact</w:t>
            </w:r>
          </w:p>
        </w:tc>
        <w:tc>
          <w:tcPr>
            <w:tcW w:w="0" w:type="auto"/>
            <w:tcBorders>
              <w:top w:val="single" w:color="auto" w:sz="4" w:space="0"/>
              <w:left w:val="nil"/>
              <w:bottom w:val="single" w:color="auto" w:sz="4" w:space="0"/>
              <w:right w:val="single" w:color="auto" w:sz="4" w:space="0"/>
            </w:tcBorders>
            <w:shd w:val="clear" w:color="auto" w:fill="auto"/>
            <w:vAlign w:val="center"/>
          </w:tcPr>
          <w:p w14:paraId="74DAADA2">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bCs/>
                <w:i w:val="0"/>
                <w:iCs w:val="0"/>
                <w:caps w:val="0"/>
                <w:color w:val="000000"/>
                <w:spacing w:val="0"/>
                <w:kern w:val="0"/>
                <w:sz w:val="24"/>
                <w:szCs w:val="24"/>
                <w:woUserID w:val="1"/>
              </w:rPr>
            </w:pPr>
            <w:r>
              <w:rPr>
                <w:rFonts w:hint="default" w:ascii="Times New Roman" w:hAnsi="Times New Roman" w:eastAsia="-webkit-standard" w:cs="Times New Roman"/>
                <w:b/>
                <w:bCs/>
                <w:i w:val="0"/>
                <w:iCs w:val="0"/>
                <w:caps w:val="0"/>
                <w:color w:val="000000"/>
                <w:spacing w:val="0"/>
                <w:kern w:val="0"/>
                <w:sz w:val="24"/>
                <w:szCs w:val="24"/>
                <w:lang w:val="en-US" w:eastAsia="zh-CN" w:bidi="ar"/>
                <w:woUserID w:val="1"/>
              </w:rPr>
              <w:t>Disclosure evidence</w:t>
            </w:r>
          </w:p>
        </w:tc>
      </w:tr>
      <w:tr w14:paraId="28A2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355" w:type="dxa"/>
            <w:tcBorders>
              <w:top w:val="single" w:color="auto" w:sz="4" w:space="0"/>
              <w:left w:val="single" w:color="auto" w:sz="4" w:space="0"/>
              <w:bottom w:val="single" w:color="auto" w:sz="4" w:space="0"/>
              <w:right w:val="single" w:color="auto" w:sz="4" w:space="0"/>
            </w:tcBorders>
            <w:shd w:val="clear" w:color="auto" w:fill="auto"/>
            <w:vAlign w:val="center"/>
          </w:tcPr>
          <w:p w14:paraId="2216D84A">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t>EV battery production and manufacturing emissions</w:t>
            </w:r>
          </w:p>
        </w:tc>
        <w:tc>
          <w:tcPr>
            <w:tcW w:w="3137" w:type="dxa"/>
            <w:tcBorders>
              <w:top w:val="single" w:color="auto" w:sz="4" w:space="0"/>
              <w:left w:val="nil"/>
              <w:bottom w:val="single" w:color="auto" w:sz="4" w:space="0"/>
              <w:right w:val="single" w:color="auto" w:sz="4" w:space="0"/>
            </w:tcBorders>
            <w:shd w:val="clear" w:color="auto" w:fill="auto"/>
            <w:vAlign w:val="center"/>
          </w:tcPr>
          <w:p w14:paraId="7B3BFA2D">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t>Higher energy and carbon costs; cleaner production investment.</w:t>
            </w:r>
          </w:p>
        </w:tc>
        <w:tc>
          <w:tcPr>
            <w:tcW w:w="0" w:type="auto"/>
            <w:tcBorders>
              <w:top w:val="single" w:color="auto" w:sz="4" w:space="0"/>
              <w:left w:val="nil"/>
              <w:bottom w:val="single" w:color="auto" w:sz="4" w:space="0"/>
              <w:right w:val="single" w:color="auto" w:sz="4" w:space="0"/>
            </w:tcBorders>
            <w:shd w:val="clear" w:color="auto" w:fill="auto"/>
            <w:vAlign w:val="center"/>
          </w:tcPr>
          <w:p w14:paraId="42C723B3">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t>Scope 1 and 2 emissions, energy intensity, renewable electricity use.</w:t>
            </w:r>
          </w:p>
        </w:tc>
      </w:tr>
      <w:tr w14:paraId="5AB2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355" w:type="dxa"/>
            <w:tcBorders>
              <w:top w:val="single" w:color="auto" w:sz="4" w:space="0"/>
              <w:left w:val="single" w:color="auto" w:sz="4" w:space="0"/>
              <w:bottom w:val="single" w:color="auto" w:sz="4" w:space="0"/>
              <w:right w:val="single" w:color="auto" w:sz="4" w:space="0"/>
            </w:tcBorders>
            <w:shd w:val="clear" w:color="auto" w:fill="auto"/>
            <w:vAlign w:val="center"/>
          </w:tcPr>
          <w:p w14:paraId="14CA3B82">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t>Scope 3 and product-use emissions</w:t>
            </w:r>
          </w:p>
        </w:tc>
        <w:tc>
          <w:tcPr>
            <w:tcW w:w="3137" w:type="dxa"/>
            <w:tcBorders>
              <w:top w:val="single" w:color="auto" w:sz="4" w:space="0"/>
              <w:left w:val="nil"/>
              <w:bottom w:val="single" w:color="auto" w:sz="4" w:space="0"/>
              <w:right w:val="single" w:color="auto" w:sz="4" w:space="0"/>
            </w:tcBorders>
            <w:shd w:val="clear" w:color="auto" w:fill="auto"/>
            <w:vAlign w:val="center"/>
          </w:tcPr>
          <w:p w14:paraId="334A46C1">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t>Higher R&amp;D and Capex, regulatory penalties, revenue mix changes, ICE impairment risk and higher WACC.</w:t>
            </w:r>
          </w:p>
        </w:tc>
        <w:tc>
          <w:tcPr>
            <w:tcW w:w="0" w:type="auto"/>
            <w:tcBorders>
              <w:top w:val="single" w:color="auto" w:sz="4" w:space="0"/>
              <w:left w:val="nil"/>
              <w:bottom w:val="single" w:color="auto" w:sz="4" w:space="0"/>
              <w:right w:val="single" w:color="auto" w:sz="4" w:space="0"/>
            </w:tcBorders>
            <w:shd w:val="clear" w:color="auto" w:fill="auto"/>
            <w:vAlign w:val="center"/>
          </w:tcPr>
          <w:p w14:paraId="0A5C8D4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t>Scope 3 use-phase emissions, fleet CO₂, EV / hybrid / ICE sales mix.</w:t>
            </w:r>
          </w:p>
        </w:tc>
      </w:tr>
      <w:tr w14:paraId="4CED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355" w:type="dxa"/>
            <w:tcBorders>
              <w:top w:val="single" w:color="auto" w:sz="4" w:space="0"/>
              <w:left w:val="single" w:color="auto" w:sz="4" w:space="0"/>
              <w:bottom w:val="single" w:color="auto" w:sz="4" w:space="0"/>
              <w:right w:val="single" w:color="auto" w:sz="4" w:space="0"/>
            </w:tcBorders>
            <w:shd w:val="clear" w:color="auto" w:fill="auto"/>
            <w:vAlign w:val="center"/>
          </w:tcPr>
          <w:p w14:paraId="360F40E4">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t>Green trade barriers and critical material compliance</w:t>
            </w:r>
          </w:p>
        </w:tc>
        <w:tc>
          <w:tcPr>
            <w:tcW w:w="3137" w:type="dxa"/>
            <w:tcBorders>
              <w:top w:val="single" w:color="auto" w:sz="4" w:space="0"/>
              <w:left w:val="nil"/>
              <w:bottom w:val="single" w:color="auto" w:sz="4" w:space="0"/>
              <w:right w:val="single" w:color="auto" w:sz="4" w:space="0"/>
            </w:tcBorders>
            <w:shd w:val="clear" w:color="auto" w:fill="auto"/>
            <w:vAlign w:val="center"/>
          </w:tcPr>
          <w:p w14:paraId="0DAE0F5A">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t>Raw material volatility, supply disruption, procurement costs and reputational risk.</w:t>
            </w:r>
          </w:p>
        </w:tc>
        <w:tc>
          <w:tcPr>
            <w:tcW w:w="0" w:type="auto"/>
            <w:tcBorders>
              <w:top w:val="single" w:color="auto" w:sz="4" w:space="0"/>
              <w:left w:val="nil"/>
              <w:bottom w:val="single" w:color="auto" w:sz="4" w:space="0"/>
              <w:right w:val="single" w:color="auto" w:sz="4" w:space="0"/>
            </w:tcBorders>
            <w:shd w:val="clear" w:color="auto" w:fill="auto"/>
            <w:vAlign w:val="center"/>
          </w:tcPr>
          <w:p w14:paraId="4C4B72D7">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t>Battery sourcing policy, supplier due diligence, mineral traceability.</w:t>
            </w:r>
          </w:p>
        </w:tc>
      </w:tr>
      <w:tr w14:paraId="54ED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355" w:type="dxa"/>
            <w:tcBorders>
              <w:top w:val="single" w:color="auto" w:sz="4" w:space="0"/>
              <w:left w:val="single" w:color="auto" w:sz="4" w:space="0"/>
              <w:bottom w:val="single" w:color="auto" w:sz="4" w:space="0"/>
              <w:right w:val="single" w:color="auto" w:sz="4" w:space="0"/>
            </w:tcBorders>
            <w:shd w:val="clear" w:color="auto" w:fill="auto"/>
            <w:vAlign w:val="center"/>
          </w:tcPr>
          <w:p w14:paraId="7D138FB1">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t>Physical climate and product responsibility risks</w:t>
            </w:r>
          </w:p>
        </w:tc>
        <w:tc>
          <w:tcPr>
            <w:tcW w:w="3137" w:type="dxa"/>
            <w:tcBorders>
              <w:top w:val="single" w:color="auto" w:sz="4" w:space="0"/>
              <w:left w:val="nil"/>
              <w:bottom w:val="single" w:color="auto" w:sz="4" w:space="0"/>
              <w:right w:val="single" w:color="auto" w:sz="4" w:space="0"/>
            </w:tcBorders>
            <w:shd w:val="clear" w:color="auto" w:fill="auto"/>
            <w:vAlign w:val="center"/>
          </w:tcPr>
          <w:p w14:paraId="5FFEB4E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t>Production delays, asset damage, recall costs, warranty provisions, litigation and cybersecurity exposure.</w:t>
            </w:r>
          </w:p>
        </w:tc>
        <w:tc>
          <w:tcPr>
            <w:tcW w:w="0" w:type="auto"/>
            <w:tcBorders>
              <w:top w:val="single" w:color="auto" w:sz="4" w:space="0"/>
              <w:left w:val="nil"/>
              <w:bottom w:val="single" w:color="auto" w:sz="4" w:space="0"/>
              <w:right w:val="single" w:color="auto" w:sz="4" w:space="0"/>
            </w:tcBorders>
            <w:shd w:val="clear" w:color="auto" w:fill="auto"/>
            <w:vAlign w:val="center"/>
          </w:tcPr>
          <w:p w14:paraId="7AA92AEB">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b w:val="0"/>
                <w:bCs w:val="0"/>
                <w:i w:val="0"/>
                <w:iCs w:val="0"/>
                <w:caps w:val="0"/>
                <w:color w:val="000000"/>
                <w:spacing w:val="0"/>
                <w:kern w:val="0"/>
                <w:sz w:val="24"/>
                <w:szCs w:val="24"/>
                <w:lang w:val="en-US" w:eastAsia="zh-CN" w:bidi="ar"/>
                <w:woUserID w:val="1"/>
              </w:rPr>
              <w:t>Scenario analysis, site-level risk assessment, recall data, product safety and cybersecurity controls.</w:t>
            </w:r>
          </w:p>
        </w:tc>
      </w:tr>
    </w:tbl>
    <w:p w14:paraId="2BDCCA43">
      <w:pPr>
        <w:pStyle w:val="3"/>
        <w:keepNext w:val="0"/>
        <w:keepLines w:val="0"/>
        <w:widowControl w:val="0"/>
        <w:suppressLineNumbers w:val="0"/>
        <w:bidi w:val="0"/>
        <w:spacing w:line="240" w:lineRule="auto"/>
        <w:ind w:left="0" w:right="0"/>
        <w:jc w:val="both"/>
        <w:rPr>
          <w:rFonts w:hint="default" w:ascii="Times New Roman" w:hAnsi="Times New Roman" w:eastAsia="宋体" w:cs="Times New Roman"/>
          <w:i w:val="0"/>
          <w:iCs w:val="0"/>
          <w:caps w:val="0"/>
          <w:color w:val="000000"/>
          <w:spacing w:val="0"/>
          <w:kern w:val="0"/>
          <w:woUserID w:val="1"/>
        </w:rPr>
      </w:pPr>
      <w:bookmarkStart w:id="3" w:name="_Toc1541020142"/>
      <w:r>
        <w:rPr>
          <w:rFonts w:hint="default" w:ascii="Times New Roman" w:hAnsi="Times New Roman" w:eastAsia="宋体" w:cs="Times New Roman"/>
          <w:i w:val="0"/>
          <w:iCs w:val="0"/>
          <w:caps w:val="0"/>
          <w:color w:val="000000"/>
          <w:spacing w:val="0"/>
          <w:kern w:val="0"/>
          <w:lang w:val="en-US" w:eastAsia="zh" w:bidi="ar"/>
          <w:woUserID w:val="1"/>
        </w:rPr>
        <w:t xml:space="preserve">1.3 </w:t>
      </w:r>
      <w:r>
        <w:rPr>
          <w:rFonts w:hint="default" w:ascii="Times New Roman" w:hAnsi="Times New Roman" w:eastAsia="宋体" w:cs="Times New Roman"/>
          <w:i w:val="0"/>
          <w:iCs w:val="0"/>
          <w:caps w:val="0"/>
          <w:color w:val="000000"/>
          <w:spacing w:val="0"/>
          <w:kern w:val="0"/>
          <w:lang w:val="en-US" w:eastAsia="zh-CN" w:bidi="ar"/>
          <w:woUserID w:val="1"/>
        </w:rPr>
        <w:t>Automotive-specific IFRS S1/S2 Disclosure Checklist</w:t>
      </w:r>
      <w:bookmarkEnd w:id="3"/>
    </w:p>
    <w:p w14:paraId="00D32CEE">
      <w:pPr>
        <w:keepNext w:val="0"/>
        <w:keepLines w:val="0"/>
        <w:widowControl w:val="0"/>
        <w:suppressLineNumbers w:val="0"/>
        <w:spacing w:before="0" w:beforeAutospacing="0" w:after="160" w:afterAutospacing="0" w:line="240" w:lineRule="auto"/>
        <w:ind w:left="0" w:right="0"/>
        <w:jc w:val="left"/>
        <w:rPr>
          <w:rFonts w:hint="default" w:ascii="Times New Roman" w:hAnsi="Times New Roman" w:eastAsia="-webkit-standard" w:cs="Times New Roman"/>
          <w:i w:val="0"/>
          <w:iCs w:val="0"/>
          <w:caps w:val="0"/>
          <w:color w:val="000000"/>
          <w:spacing w:val="0"/>
          <w:kern w:val="0"/>
          <w:sz w:val="24"/>
          <w:szCs w:val="24"/>
          <w:lang w:val="en-US" w:eastAsia="zh-CN" w:bidi="ar"/>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Based on the industry risk map above, Table 2 adapts the IFRS S1/S2 disclosure logic to the automotive sector. It focuses on governance, strategy, risk management, and metrics and targets, while covering industry-specific issues such as Scope 3 use-phase emissions, EV transition, battery sourcing, manufacturing emissions, recycling and product safety.</w:t>
      </w:r>
    </w:p>
    <w:p w14:paraId="14203FA0">
      <w:pPr>
        <w:keepNext w:val="0"/>
        <w:keepLines w:val="0"/>
        <w:widowControl w:val="0"/>
        <w:suppressLineNumbers w:val="0"/>
        <w:spacing w:before="0" w:beforeAutospacing="0" w:after="160" w:afterAutospacing="0" w:line="240" w:lineRule="auto"/>
        <w:ind w:left="0" w:right="0"/>
        <w:jc w:val="left"/>
        <w:rPr>
          <w:rFonts w:hint="default" w:ascii="Times New Roman" w:hAnsi="Times New Roman" w:eastAsia="-webkit-standard" w:cs="Times New Roman"/>
          <w:i w:val="0"/>
          <w:iCs w:val="0"/>
          <w:caps w:val="0"/>
          <w:color w:val="000000"/>
          <w:spacing w:val="0"/>
          <w:kern w:val="0"/>
          <w:sz w:val="24"/>
          <w:szCs w:val="24"/>
          <w:lang w:val="en-US" w:eastAsia="zh-CN" w:bidi="ar"/>
          <w:woUserID w:val="1"/>
        </w:rPr>
      </w:pPr>
    </w:p>
    <w:p w14:paraId="2B03ED74">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webkit-standard" w:cs="Times New Roman"/>
          <w:b/>
          <w:bCs/>
          <w:i w:val="0"/>
          <w:iCs w:val="0"/>
          <w:caps w:val="0"/>
          <w:color w:val="000000"/>
          <w:spacing w:val="0"/>
          <w:kern w:val="0"/>
          <w:sz w:val="24"/>
          <w:szCs w:val="24"/>
          <w:woUserID w:val="1"/>
        </w:rPr>
      </w:pPr>
      <w:r>
        <w:rPr>
          <w:rFonts w:hint="default" w:ascii="Times New Roman" w:hAnsi="Times New Roman" w:eastAsia="-webkit-standard" w:cs="Times New Roman"/>
          <w:b/>
          <w:bCs/>
          <w:i w:val="0"/>
          <w:iCs w:val="0"/>
          <w:caps w:val="0"/>
          <w:color w:val="000000"/>
          <w:spacing w:val="0"/>
          <w:kern w:val="0"/>
          <w:sz w:val="24"/>
          <w:szCs w:val="24"/>
          <w:lang w:val="en-US" w:eastAsia="zh-CN" w:bidi="ar"/>
          <w:woUserID w:val="1"/>
        </w:rPr>
        <w:t>Table 2 : Automotive-specific IFRS S1/S2 Disclosure Checklist</w:t>
      </w:r>
    </w:p>
    <w:p w14:paraId="3BE7017D">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webkit-standard" w:cs="Times New Roman"/>
          <w:b/>
          <w:bCs/>
          <w:i w:val="0"/>
          <w:iCs w:val="0"/>
          <w:caps w:val="0"/>
          <w:color w:val="000000"/>
          <w:spacing w:val="0"/>
          <w:kern w:val="0"/>
          <w:sz w:val="24"/>
          <w:szCs w:val="24"/>
          <w:woUserID w:val="1"/>
        </w:rPr>
      </w:pPr>
      <w:r>
        <w:rPr>
          <w:rFonts w:hint="default" w:ascii="Times New Roman" w:hAnsi="Times New Roman" w:eastAsia="-webkit-standard" w:cs="Times New Roman"/>
          <w:b/>
          <w:bCs/>
          <w:i w:val="0"/>
          <w:iCs w:val="0"/>
          <w:caps w:val="0"/>
          <w:color w:val="000000"/>
          <w:spacing w:val="0"/>
          <w:kern w:val="0"/>
          <w:sz w:val="24"/>
          <w:szCs w:val="24"/>
          <w:lang w:val="en-US" w:eastAsia="zh-CN" w:bidi="ar"/>
          <w:woUserID w:val="1"/>
        </w:rPr>
        <w:t xml:space="preserve"> </w:t>
      </w:r>
    </w:p>
    <w:tbl>
      <w:tblPr>
        <w:tblStyle w:val="10"/>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981"/>
        <w:gridCol w:w="3785"/>
        <w:gridCol w:w="3306"/>
      </w:tblGrid>
      <w:tr w14:paraId="1B64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14" w:type="dxa"/>
            <w:tcBorders>
              <w:top w:val="single" w:color="auto" w:sz="4" w:space="0"/>
              <w:left w:val="single" w:color="auto" w:sz="4" w:space="0"/>
              <w:bottom w:val="single" w:color="auto" w:sz="4" w:space="0"/>
              <w:right w:val="single" w:color="auto" w:sz="4" w:space="0"/>
            </w:tcBorders>
            <w:shd w:val="clear" w:color="auto" w:fill="auto"/>
            <w:vAlign w:val="center"/>
          </w:tcPr>
          <w:p w14:paraId="2DC0438F">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bCs/>
                <w:i w:val="0"/>
                <w:iCs w:val="0"/>
                <w:caps w:val="0"/>
                <w:color w:val="000000"/>
                <w:spacing w:val="0"/>
                <w:kern w:val="0"/>
                <w:sz w:val="24"/>
                <w:szCs w:val="24"/>
                <w:woUserID w:val="1"/>
              </w:rPr>
            </w:pPr>
            <w:r>
              <w:rPr>
                <w:rFonts w:hint="default" w:ascii="Times New Roman" w:hAnsi="Times New Roman" w:eastAsia="-webkit-standard" w:cs="Times New Roman"/>
                <w:b/>
                <w:bCs/>
                <w:i w:val="0"/>
                <w:iCs w:val="0"/>
                <w:caps w:val="0"/>
                <w:color w:val="000000"/>
                <w:spacing w:val="0"/>
                <w:kern w:val="0"/>
                <w:sz w:val="24"/>
                <w:szCs w:val="24"/>
                <w:woUserID w:val="1"/>
              </w:rPr>
              <w:t>IFRS S1/S2 area</w:t>
            </w:r>
          </w:p>
        </w:tc>
        <w:tc>
          <w:tcPr>
            <w:tcW w:w="3878" w:type="dxa"/>
            <w:tcBorders>
              <w:top w:val="single" w:color="auto" w:sz="4" w:space="0"/>
              <w:left w:val="nil"/>
              <w:bottom w:val="single" w:color="auto" w:sz="4" w:space="0"/>
              <w:right w:val="single" w:color="auto" w:sz="4" w:space="0"/>
            </w:tcBorders>
            <w:shd w:val="clear" w:color="auto" w:fill="auto"/>
            <w:vAlign w:val="center"/>
          </w:tcPr>
          <w:p w14:paraId="74EC052F">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bCs/>
                <w:i w:val="0"/>
                <w:iCs w:val="0"/>
                <w:caps w:val="0"/>
                <w:color w:val="000000"/>
                <w:spacing w:val="0"/>
                <w:kern w:val="0"/>
                <w:sz w:val="24"/>
                <w:szCs w:val="24"/>
                <w:woUserID w:val="1"/>
              </w:rPr>
            </w:pPr>
            <w:r>
              <w:rPr>
                <w:rFonts w:hint="default" w:ascii="Times New Roman" w:hAnsi="Times New Roman" w:eastAsia="-webkit-standard" w:cs="Times New Roman"/>
                <w:b/>
                <w:bCs/>
                <w:i w:val="0"/>
                <w:iCs w:val="0"/>
                <w:caps w:val="0"/>
                <w:color w:val="000000"/>
                <w:spacing w:val="0"/>
                <w:kern w:val="0"/>
                <w:sz w:val="24"/>
                <w:szCs w:val="24"/>
                <w:lang w:val="en-US" w:eastAsia="zh-CN" w:bidi="ar"/>
                <w:woUserID w:val="1"/>
              </w:rPr>
              <w:t>Automotive-specific focus</w:t>
            </w:r>
          </w:p>
        </w:tc>
        <w:tc>
          <w:tcPr>
            <w:tcW w:w="3396" w:type="dxa"/>
            <w:tcBorders>
              <w:top w:val="single" w:color="auto" w:sz="4" w:space="0"/>
              <w:left w:val="nil"/>
              <w:bottom w:val="single" w:color="auto" w:sz="4" w:space="0"/>
              <w:right w:val="single" w:color="auto" w:sz="4" w:space="0"/>
            </w:tcBorders>
            <w:shd w:val="clear" w:color="auto" w:fill="auto"/>
            <w:vAlign w:val="center"/>
          </w:tcPr>
          <w:p w14:paraId="618EBDE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b/>
                <w:bCs/>
                <w:i w:val="0"/>
                <w:iCs w:val="0"/>
                <w:caps w:val="0"/>
                <w:color w:val="000000"/>
                <w:spacing w:val="0"/>
                <w:kern w:val="0"/>
                <w:sz w:val="24"/>
                <w:szCs w:val="24"/>
                <w:woUserID w:val="1"/>
              </w:rPr>
            </w:pPr>
            <w:r>
              <w:rPr>
                <w:rFonts w:hint="default" w:ascii="Times New Roman" w:hAnsi="Times New Roman" w:eastAsia="-webkit-standard" w:cs="Times New Roman"/>
                <w:b/>
                <w:bCs/>
                <w:i w:val="0"/>
                <w:iCs w:val="0"/>
                <w:caps w:val="0"/>
                <w:color w:val="000000"/>
                <w:spacing w:val="0"/>
                <w:kern w:val="0"/>
                <w:sz w:val="24"/>
                <w:szCs w:val="24"/>
                <w:lang w:val="en-US" w:eastAsia="zh-CN" w:bidi="ar"/>
                <w:woUserID w:val="1"/>
              </w:rPr>
              <w:t>Investor relevance</w:t>
            </w:r>
          </w:p>
        </w:tc>
      </w:tr>
      <w:tr w14:paraId="155FD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14" w:type="dxa"/>
            <w:tcBorders>
              <w:top w:val="single" w:color="auto" w:sz="4" w:space="0"/>
              <w:left w:val="single" w:color="auto" w:sz="4" w:space="0"/>
              <w:bottom w:val="single" w:color="auto" w:sz="4" w:space="0"/>
              <w:right w:val="single" w:color="auto" w:sz="4" w:space="0"/>
            </w:tcBorders>
            <w:shd w:val="clear" w:color="auto" w:fill="auto"/>
            <w:vAlign w:val="center"/>
          </w:tcPr>
          <w:p w14:paraId="144DFF2D">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Governance</w:t>
            </w:r>
          </w:p>
        </w:tc>
        <w:tc>
          <w:tcPr>
            <w:tcW w:w="3878" w:type="dxa"/>
            <w:tcBorders>
              <w:top w:val="single" w:color="auto" w:sz="4" w:space="0"/>
              <w:left w:val="nil"/>
              <w:bottom w:val="single" w:color="auto" w:sz="4" w:space="0"/>
              <w:right w:val="single" w:color="auto" w:sz="4" w:space="0"/>
            </w:tcBorders>
            <w:shd w:val="clear" w:color="auto" w:fill="auto"/>
            <w:vAlign w:val="center"/>
          </w:tcPr>
          <w:p w14:paraId="7807905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Board oversight of climate transition, emissions, supply-chain risks, product responsibility and reporting controls.</w:t>
            </w:r>
          </w:p>
        </w:tc>
        <w:tc>
          <w:tcPr>
            <w:tcW w:w="3396" w:type="dxa"/>
            <w:tcBorders>
              <w:top w:val="single" w:color="auto" w:sz="4" w:space="0"/>
              <w:left w:val="nil"/>
              <w:bottom w:val="single" w:color="auto" w:sz="4" w:space="0"/>
              <w:right w:val="single" w:color="auto" w:sz="4" w:space="0"/>
            </w:tcBorders>
            <w:shd w:val="clear" w:color="auto" w:fill="auto"/>
            <w:vAlign w:val="center"/>
          </w:tcPr>
          <w:p w14:paraId="198D6DAA">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Shows whether sustainability risks are controlled at decision-making level.</w:t>
            </w:r>
          </w:p>
        </w:tc>
      </w:tr>
      <w:tr w14:paraId="0407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14" w:type="dxa"/>
            <w:tcBorders>
              <w:top w:val="single" w:color="auto" w:sz="4" w:space="0"/>
              <w:left w:val="single" w:color="auto" w:sz="4" w:space="0"/>
              <w:bottom w:val="single" w:color="auto" w:sz="4" w:space="0"/>
              <w:right w:val="single" w:color="auto" w:sz="4" w:space="0"/>
            </w:tcBorders>
            <w:shd w:val="clear" w:color="auto" w:fill="auto"/>
            <w:vAlign w:val="center"/>
          </w:tcPr>
          <w:p w14:paraId="511F6D7F">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Strategy</w:t>
            </w:r>
          </w:p>
        </w:tc>
        <w:tc>
          <w:tcPr>
            <w:tcW w:w="3878" w:type="dxa"/>
            <w:tcBorders>
              <w:top w:val="single" w:color="auto" w:sz="4" w:space="0"/>
              <w:left w:val="nil"/>
              <w:bottom w:val="single" w:color="auto" w:sz="4" w:space="0"/>
              <w:right w:val="single" w:color="auto" w:sz="4" w:space="0"/>
            </w:tcBorders>
            <w:shd w:val="clear" w:color="auto" w:fill="auto"/>
            <w:vAlign w:val="center"/>
          </w:tcPr>
          <w:p w14:paraId="1E7515BB">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Impact of EV transition, hybrid strategy, ICE phase-down, battery sourcing and hydrogen development on revenue mix, production capacity, R&amp;D and Capex plans.</w:t>
            </w:r>
          </w:p>
        </w:tc>
        <w:tc>
          <w:tcPr>
            <w:tcW w:w="3396" w:type="dxa"/>
            <w:tcBorders>
              <w:top w:val="single" w:color="auto" w:sz="4" w:space="0"/>
              <w:left w:val="nil"/>
              <w:bottom w:val="single" w:color="auto" w:sz="4" w:space="0"/>
              <w:right w:val="single" w:color="auto" w:sz="4" w:space="0"/>
            </w:tcBorders>
            <w:shd w:val="clear" w:color="auto" w:fill="auto"/>
            <w:vAlign w:val="center"/>
          </w:tcPr>
          <w:p w14:paraId="0393BF53">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Helps assess revenue mix, capital needs and competitiveness.</w:t>
            </w:r>
          </w:p>
        </w:tc>
      </w:tr>
      <w:tr w14:paraId="4632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14" w:type="dxa"/>
            <w:tcBorders>
              <w:top w:val="single" w:color="auto" w:sz="4" w:space="0"/>
              <w:left w:val="single" w:color="auto" w:sz="4" w:space="0"/>
              <w:bottom w:val="single" w:color="auto" w:sz="4" w:space="0"/>
              <w:right w:val="single" w:color="auto" w:sz="4" w:space="0"/>
            </w:tcBorders>
            <w:shd w:val="clear" w:color="auto" w:fill="auto"/>
            <w:vAlign w:val="center"/>
          </w:tcPr>
          <w:p w14:paraId="623E2C23">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Risk management</w:t>
            </w:r>
          </w:p>
        </w:tc>
        <w:tc>
          <w:tcPr>
            <w:tcW w:w="3878" w:type="dxa"/>
            <w:tcBorders>
              <w:top w:val="single" w:color="auto" w:sz="4" w:space="0"/>
              <w:left w:val="nil"/>
              <w:bottom w:val="single" w:color="auto" w:sz="4" w:space="0"/>
              <w:right w:val="single" w:color="auto" w:sz="4" w:space="0"/>
            </w:tcBorders>
            <w:shd w:val="clear" w:color="auto" w:fill="auto"/>
            <w:vAlign w:val="center"/>
          </w:tcPr>
          <w:p w14:paraId="39237092">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Processes for identifying and managing transition, supply-chain, product safety, cybersecurity and physical climate risks across production, suppliers and vehicle use.</w:t>
            </w:r>
          </w:p>
        </w:tc>
        <w:tc>
          <w:tcPr>
            <w:tcW w:w="3396" w:type="dxa"/>
            <w:tcBorders>
              <w:top w:val="single" w:color="auto" w:sz="4" w:space="0"/>
              <w:left w:val="nil"/>
              <w:bottom w:val="single" w:color="auto" w:sz="4" w:space="0"/>
              <w:right w:val="single" w:color="auto" w:sz="4" w:space="0"/>
            </w:tcBorders>
            <w:shd w:val="clear" w:color="auto" w:fill="auto"/>
            <w:vAlign w:val="center"/>
          </w:tcPr>
          <w:p w14:paraId="7B0B22F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Helps investors assess whether key risks are monitored, controlled and linked to financial planning, provisions and operational resilience.</w:t>
            </w:r>
          </w:p>
        </w:tc>
      </w:tr>
      <w:tr w14:paraId="180B4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14" w:type="dxa"/>
            <w:tcBorders>
              <w:top w:val="single" w:color="auto" w:sz="4" w:space="0"/>
              <w:left w:val="single" w:color="auto" w:sz="4" w:space="0"/>
              <w:bottom w:val="single" w:color="auto" w:sz="4" w:space="0"/>
              <w:right w:val="single" w:color="auto" w:sz="4" w:space="0"/>
            </w:tcBorders>
            <w:shd w:val="clear" w:color="auto" w:fill="auto"/>
            <w:vAlign w:val="center"/>
          </w:tcPr>
          <w:p w14:paraId="7FC3C732">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Metrics and targets</w:t>
            </w:r>
          </w:p>
        </w:tc>
        <w:tc>
          <w:tcPr>
            <w:tcW w:w="3878" w:type="dxa"/>
            <w:tcBorders>
              <w:top w:val="single" w:color="auto" w:sz="4" w:space="0"/>
              <w:left w:val="nil"/>
              <w:bottom w:val="single" w:color="auto" w:sz="4" w:space="0"/>
              <w:right w:val="single" w:color="auto" w:sz="4" w:space="0"/>
            </w:tcBorders>
            <w:shd w:val="clear" w:color="auto" w:fill="auto"/>
            <w:vAlign w:val="center"/>
          </w:tcPr>
          <w:p w14:paraId="2C891118">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Scope 1, 2 and 3 emissions, use-phase emissions, EV share, fleet CO₂, energy use, recycling data, baselines and calculation methods.</w:t>
            </w:r>
          </w:p>
        </w:tc>
        <w:tc>
          <w:tcPr>
            <w:tcW w:w="3396" w:type="dxa"/>
            <w:tcBorders>
              <w:top w:val="single" w:color="auto" w:sz="4" w:space="0"/>
              <w:left w:val="nil"/>
              <w:bottom w:val="single" w:color="auto" w:sz="4" w:space="0"/>
              <w:right w:val="single" w:color="auto" w:sz="4" w:space="0"/>
            </w:tcBorders>
            <w:shd w:val="clear" w:color="auto" w:fill="auto"/>
            <w:vAlign w:val="center"/>
          </w:tcPr>
          <w:p w14:paraId="70C9B51B">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Shows whether targets are measurable, comparable and supported by evidence.</w:t>
            </w:r>
          </w:p>
        </w:tc>
      </w:tr>
      <w:tr w14:paraId="7BCAA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14" w:type="dxa"/>
            <w:tcBorders>
              <w:top w:val="single" w:color="auto" w:sz="4" w:space="0"/>
              <w:left w:val="single" w:color="auto" w:sz="4" w:space="0"/>
              <w:bottom w:val="single" w:color="auto" w:sz="4" w:space="0"/>
              <w:right w:val="single" w:color="auto" w:sz="4" w:space="0"/>
            </w:tcBorders>
            <w:shd w:val="clear" w:color="auto" w:fill="auto"/>
            <w:vAlign w:val="center"/>
          </w:tcPr>
          <w:p w14:paraId="72BB18B6">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Financial effects and data quality</w:t>
            </w:r>
          </w:p>
        </w:tc>
        <w:tc>
          <w:tcPr>
            <w:tcW w:w="3878" w:type="dxa"/>
            <w:tcBorders>
              <w:top w:val="single" w:color="auto" w:sz="4" w:space="0"/>
              <w:left w:val="nil"/>
              <w:bottom w:val="single" w:color="auto" w:sz="4" w:space="0"/>
              <w:right w:val="single" w:color="auto" w:sz="4" w:space="0"/>
            </w:tcBorders>
            <w:shd w:val="clear" w:color="auto" w:fill="auto"/>
            <w:vAlign w:val="center"/>
          </w:tcPr>
          <w:p w14:paraId="3D72FC69">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Link to Capex, R&amp;D, impairment, provisions, liabilities, WACC, assumptions and assurance.</w:t>
            </w:r>
          </w:p>
        </w:tc>
        <w:tc>
          <w:tcPr>
            <w:tcW w:w="3396" w:type="dxa"/>
            <w:tcBorders>
              <w:top w:val="single" w:color="auto" w:sz="4" w:space="0"/>
              <w:left w:val="nil"/>
              <w:bottom w:val="single" w:color="auto" w:sz="4" w:space="0"/>
              <w:right w:val="single" w:color="auto" w:sz="4" w:space="0"/>
            </w:tcBorders>
            <w:shd w:val="clear" w:color="auto" w:fill="auto"/>
            <w:vAlign w:val="center"/>
          </w:tcPr>
          <w:p w14:paraId="68EC64F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webkit-standard" w:cs="Times New Roman"/>
                <w:i w:val="0"/>
                <w:iCs w:val="0"/>
                <w:caps w:val="0"/>
                <w:color w:val="000000"/>
                <w:spacing w:val="0"/>
                <w:kern w:val="0"/>
                <w:sz w:val="24"/>
                <w:szCs w:val="24"/>
                <w:woUserID w:val="1"/>
              </w:rPr>
            </w:pPr>
            <w:r>
              <w:rPr>
                <w:rFonts w:hint="default" w:ascii="Times New Roman" w:hAnsi="Times New Roman" w:eastAsia="-webkit-standard" w:cs="Times New Roman"/>
                <w:i w:val="0"/>
                <w:iCs w:val="0"/>
                <w:caps w:val="0"/>
                <w:color w:val="000000"/>
                <w:spacing w:val="0"/>
                <w:kern w:val="0"/>
                <w:sz w:val="24"/>
                <w:szCs w:val="24"/>
                <w:lang w:val="en-US" w:eastAsia="zh-CN" w:bidi="ar"/>
                <w:woUserID w:val="1"/>
              </w:rPr>
              <w:t>Shows whether disclosure is decision-useful, traceable and auditable.</w:t>
            </w:r>
          </w:p>
        </w:tc>
      </w:tr>
    </w:tbl>
    <w:p w14:paraId="41647CB0">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Times New Roman"/>
          <w:kern w:val="2"/>
          <w:sz w:val="24"/>
          <w:szCs w:val="24"/>
          <w:woUserID w:val="1"/>
        </w:rPr>
      </w:pPr>
    </w:p>
    <w:p w14:paraId="3CB23A05">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1"/>
        </w:rPr>
      </w:pPr>
    </w:p>
    <w:p w14:paraId="5FCA130B">
      <w:pPr>
        <w:spacing w:line="240" w:lineRule="auto"/>
        <w:rPr>
          <w:rFonts w:hint="default" w:ascii="Times New Roman" w:hAnsi="Times New Roman" w:eastAsia="Tahoma" w:cs="Times New Roman"/>
          <w:b/>
          <w:bCs/>
          <w:kern w:val="2"/>
          <w:sz w:val="24"/>
          <w:szCs w:val="24"/>
          <w:lang w:val="en-US" w:eastAsia="zh" w:bidi="ar"/>
          <w:woUserID w:val="6"/>
        </w:rPr>
      </w:pPr>
      <w:r>
        <w:rPr>
          <w:rFonts w:hint="default" w:ascii="Times New Roman" w:hAnsi="Times New Roman" w:eastAsia="Tahoma" w:cs="Times New Roman"/>
          <w:b/>
          <w:bCs/>
          <w:kern w:val="2"/>
          <w:sz w:val="24"/>
          <w:szCs w:val="24"/>
          <w:lang w:val="en-US" w:eastAsia="zh" w:bidi="ar"/>
          <w:woUserID w:val="6"/>
        </w:rPr>
        <w:br w:type="page"/>
      </w:r>
    </w:p>
    <w:p w14:paraId="7387E52F">
      <w:pPr>
        <w:pStyle w:val="2"/>
        <w:keepNext w:val="0"/>
        <w:keepLines w:val="0"/>
        <w:widowControl w:val="0"/>
        <w:numPr>
          <w:ilvl w:val="0"/>
          <w:numId w:val="3"/>
        </w:numPr>
        <w:suppressLineNumbers w:val="0"/>
        <w:bidi w:val="0"/>
        <w:spacing w:line="240" w:lineRule="auto"/>
        <w:ind w:left="0" w:leftChars="0" w:right="0" w:firstLine="0" w:firstLineChars="0"/>
        <w:jc w:val="both"/>
        <w:rPr>
          <w:rFonts w:hint="default" w:ascii="Times New Roman" w:hAnsi="Times New Roman" w:eastAsia="Tahoma" w:cs="Times New Roman"/>
          <w:kern w:val="2"/>
          <w:lang w:val="en-US" w:eastAsia="zh" w:bidi="ar"/>
          <w:woUserID w:val="7"/>
        </w:rPr>
      </w:pPr>
      <w:bookmarkStart w:id="4" w:name="_Toc1587497991"/>
      <w:r>
        <w:rPr>
          <w:rFonts w:hint="default" w:ascii="Times New Roman" w:hAnsi="Times New Roman" w:eastAsia="Tahoma" w:cs="Times New Roman"/>
          <w:kern w:val="2"/>
          <w:lang w:val="en-US" w:eastAsia="zh" w:bidi="ar"/>
          <w:woUserID w:val="7"/>
        </w:rPr>
        <w:t>Financial Ratio Diagnosis</w:t>
      </w:r>
      <w:bookmarkEnd w:id="4"/>
    </w:p>
    <w:p w14:paraId="697EA4CE">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b/>
          <w:bCs/>
          <w:kern w:val="2"/>
          <w:sz w:val="24"/>
          <w:szCs w:val="24"/>
          <w:lang w:val="en-US" w:eastAsia="zh-CN" w:bidi="ar"/>
          <w:woUserID w:val="6"/>
        </w:rPr>
      </w:pPr>
      <w:bookmarkStart w:id="5" w:name="_Toc1346119098"/>
      <w:r>
        <w:rPr>
          <w:rFonts w:hint="default" w:ascii="Times New Roman" w:hAnsi="Times New Roman" w:eastAsia="Tahoma" w:cs="Times New Roman"/>
          <w:kern w:val="2"/>
          <w:lang w:val="en-US" w:eastAsia="zh" w:bidi="ar"/>
          <w:woUserID w:val="5"/>
        </w:rPr>
        <w:t xml:space="preserve">2.1 </w:t>
      </w:r>
      <w:r>
        <w:rPr>
          <w:rFonts w:hint="default" w:ascii="Times New Roman" w:hAnsi="Times New Roman" w:eastAsia="Tahoma" w:cs="Times New Roman"/>
          <w:kern w:val="2"/>
          <w:lang w:val="en-US" w:eastAsia="zh-CN" w:bidi="ar"/>
          <w:woUserID w:val="6"/>
        </w:rPr>
        <w:t>Operating margin</w:t>
      </w:r>
      <w:bookmarkEnd w:id="5"/>
    </w:p>
    <w:p w14:paraId="3CBBAFFD">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drawing>
          <wp:inline distT="0" distB="0" distL="114300" distR="114300">
            <wp:extent cx="4064635" cy="2345690"/>
            <wp:effectExtent l="0" t="0" r="12065" b="165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4064635" cy="2345690"/>
                    </a:xfrm>
                    <a:prstGeom prst="rect">
                      <a:avLst/>
                    </a:prstGeom>
                  </pic:spPr>
                </pic:pic>
              </a:graphicData>
            </a:graphic>
          </wp:inline>
        </w:drawing>
      </w:r>
    </w:p>
    <w:p w14:paraId="60070955">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等线" w:cs="Times New Roman"/>
          <w:b/>
          <w:bCs/>
          <w:kern w:val="2"/>
          <w:sz w:val="24"/>
          <w:szCs w:val="24"/>
          <w:lang w:val="en-US" w:eastAsia="zh" w:bidi="ar"/>
          <w:woUserID w:val="5"/>
        </w:rPr>
      </w:pPr>
      <w:r>
        <w:rPr>
          <w:rFonts w:hint="default" w:ascii="Times New Roman" w:hAnsi="Times New Roman" w:eastAsia="等线" w:cs="Times New Roman"/>
          <w:b/>
          <w:bCs/>
          <w:kern w:val="2"/>
          <w:sz w:val="24"/>
          <w:szCs w:val="24"/>
          <w:lang w:val="en-US" w:eastAsia="zh" w:bidi="ar"/>
          <w:woUserID w:val="5"/>
        </w:rPr>
        <w:t>Figure 1. Comparison of Operating Margin</w:t>
      </w:r>
    </w:p>
    <w:p w14:paraId="77A1F6B5">
      <w:pPr>
        <w:keepNext w:val="0"/>
        <w:keepLines w:val="0"/>
        <w:widowControl w:val="0"/>
        <w:suppressLineNumbers w:val="0"/>
        <w:spacing w:before="0" w:beforeAutospacing="0" w:after="0" w:afterAutospacing="0" w:line="240" w:lineRule="auto"/>
        <w:ind w:left="0" w:right="0"/>
        <w:jc w:val="left"/>
        <w:rPr>
          <w:rFonts w:hint="default" w:ascii="Times New Roman" w:hAnsi="Times New Roman" w:eastAsia="等线" w:cs="Times New Roman"/>
          <w:kern w:val="2"/>
          <w:sz w:val="24"/>
          <w:szCs w:val="24"/>
          <w:lang w:val="en-US" w:eastAsia="zh-CN" w:bidi="ar"/>
          <w:woUserID w:val="5"/>
        </w:rPr>
      </w:pPr>
    </w:p>
    <w:p w14:paraId="1F23BB38">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sz w:val="24"/>
          <w:szCs w:val="24"/>
          <w:lang w:val="en-US"/>
          <w:woUserID w:val="1"/>
        </w:rPr>
      </w:pPr>
      <w:r>
        <w:rPr>
          <w:rFonts w:hint="default" w:ascii="Times New Roman" w:hAnsi="Times New Roman" w:eastAsia="等线" w:cs="Times New Roman"/>
          <w:kern w:val="2"/>
          <w:sz w:val="24"/>
          <w:szCs w:val="24"/>
          <w:lang w:val="en-US" w:eastAsia="zh-CN" w:bidi="ar"/>
          <w:woUserID w:val="1"/>
        </w:rPr>
        <w:t xml:space="preserve">Volkswagen’s operating margin has declined from 7.92% in 2022 to 5.87% in 2024 (Volkswagen </w:t>
      </w:r>
      <w:r>
        <w:rPr>
          <w:rFonts w:hint="default" w:ascii="Times New Roman" w:hAnsi="Times New Roman" w:eastAsia="等线" w:cs="Times New Roman"/>
          <w:kern w:val="2"/>
          <w:sz w:val="24"/>
          <w:szCs w:val="24"/>
          <w:lang w:val="en-US" w:eastAsia="zh" w:bidi="ar"/>
          <w:woUserID w:val="5"/>
        </w:rPr>
        <w:t>Group, 2025</w:t>
      </w:r>
      <w:r>
        <w:rPr>
          <w:rFonts w:hint="default" w:ascii="Times New Roman" w:hAnsi="Times New Roman" w:eastAsia="等线" w:cs="Times New Roman"/>
          <w:kern w:val="2"/>
          <w:sz w:val="24"/>
          <w:szCs w:val="24"/>
          <w:lang w:val="en-US" w:eastAsia="zh-CN" w:bidi="ar"/>
          <w:woUserID w:val="1"/>
        </w:rPr>
        <w:t>), significantly lower than Toyota</w:t>
      </w:r>
      <w:r>
        <w:rPr>
          <w:rFonts w:hint="default" w:ascii="Times New Roman" w:hAnsi="Times New Roman" w:eastAsia="等线" w:cs="Times New Roman"/>
          <w:kern w:val="2"/>
          <w:sz w:val="24"/>
          <w:szCs w:val="24"/>
          <w:lang w:val="en-US" w:eastAsia="zh" w:bidi="ar"/>
          <w:woUserID w:val="2"/>
        </w:rPr>
        <w:t xml:space="preserve"> (11.87% in 2024)</w:t>
      </w:r>
      <w:r>
        <w:rPr>
          <w:rFonts w:hint="default" w:ascii="Times New Roman" w:hAnsi="Times New Roman" w:eastAsia="等线" w:cs="Times New Roman"/>
          <w:kern w:val="2"/>
          <w:sz w:val="24"/>
          <w:szCs w:val="24"/>
          <w:lang w:val="en-US" w:eastAsia="zh-CN" w:bidi="ar"/>
          <w:woUserID w:val="1"/>
        </w:rPr>
        <w:t xml:space="preserve"> and BMW</w:t>
      </w:r>
      <w:r>
        <w:rPr>
          <w:rFonts w:hint="default" w:ascii="Times New Roman" w:hAnsi="Times New Roman" w:eastAsia="等线" w:cs="Times New Roman"/>
          <w:kern w:val="2"/>
          <w:sz w:val="24"/>
          <w:szCs w:val="24"/>
          <w:lang w:val="en-US" w:eastAsia="zh" w:bidi="ar"/>
          <w:woUserID w:val="2"/>
        </w:rPr>
        <w:t xml:space="preserve"> (8.08% in 2024)</w:t>
      </w:r>
      <w:r>
        <w:rPr>
          <w:rFonts w:hint="default" w:ascii="Times New Roman" w:hAnsi="Times New Roman" w:eastAsia="等线" w:cs="Times New Roman"/>
          <w:kern w:val="2"/>
          <w:sz w:val="24"/>
          <w:szCs w:val="24"/>
          <w:lang w:val="en-US" w:eastAsia="zh-CN" w:bidi="ar"/>
          <w:woUserID w:val="1"/>
        </w:rPr>
        <w:t xml:space="preserve">. </w:t>
      </w:r>
      <w:r>
        <w:rPr>
          <w:rFonts w:hint="default" w:ascii="Times New Roman" w:hAnsi="Times New Roman" w:eastAsia="等线" w:cs="Times New Roman"/>
          <w:kern w:val="2"/>
          <w:sz w:val="24"/>
          <w:szCs w:val="24"/>
          <w:lang w:val="en-US" w:eastAsia="zh" w:bidi="ar"/>
          <w:woUserID w:val="2"/>
        </w:rPr>
        <w:t>H</w:t>
      </w:r>
      <w:r>
        <w:rPr>
          <w:rFonts w:hint="default" w:ascii="Times New Roman" w:hAnsi="Times New Roman" w:eastAsia="等线" w:cs="Times New Roman"/>
          <w:kern w:val="2"/>
          <w:sz w:val="24"/>
          <w:szCs w:val="24"/>
          <w:lang w:val="en-US" w:eastAsia="zh-CN" w:bidi="ar"/>
          <w:woUserID w:val="1"/>
        </w:rPr>
        <w:t>igh transition costs towards electric vehicle production</w:t>
      </w:r>
      <w:r>
        <w:rPr>
          <w:rFonts w:hint="default" w:ascii="Times New Roman" w:hAnsi="Times New Roman" w:eastAsia="等线" w:cs="Times New Roman"/>
          <w:kern w:val="2"/>
          <w:sz w:val="24"/>
          <w:szCs w:val="24"/>
          <w:lang w:val="en-US" w:eastAsia="zh" w:bidi="ar"/>
          <w:woUserID w:val="2"/>
        </w:rPr>
        <w:t xml:space="preserve"> could have contributed to margin pressure</w:t>
      </w:r>
      <w:r>
        <w:rPr>
          <w:rFonts w:hint="default" w:ascii="Times New Roman" w:hAnsi="Times New Roman" w:eastAsia="等线" w:cs="Times New Roman"/>
          <w:kern w:val="2"/>
          <w:sz w:val="24"/>
          <w:szCs w:val="24"/>
          <w:lang w:val="en-US" w:eastAsia="zh-CN" w:bidi="ar"/>
          <w:woUserID w:val="1"/>
        </w:rPr>
        <w:t>. IEA</w:t>
      </w:r>
      <w:r>
        <w:rPr>
          <w:rFonts w:hint="default" w:ascii="Times New Roman" w:hAnsi="Times New Roman" w:eastAsia="等线" w:cs="Times New Roman"/>
          <w:kern w:val="2"/>
          <w:sz w:val="24"/>
          <w:szCs w:val="24"/>
          <w:lang w:val="en-US" w:eastAsia="zh" w:bidi="ar"/>
          <w:woUserID w:val="2"/>
        </w:rPr>
        <w:t>'s report on global EV also points out that</w:t>
      </w:r>
      <w:r>
        <w:rPr>
          <w:rFonts w:hint="default" w:ascii="Times New Roman" w:hAnsi="Times New Roman" w:eastAsia="等线" w:cs="Times New Roman"/>
          <w:kern w:val="2"/>
          <w:sz w:val="24"/>
          <w:szCs w:val="24"/>
          <w:lang w:val="en-US" w:eastAsia="zh-CN" w:bidi="ar"/>
          <w:woUserID w:val="1"/>
        </w:rPr>
        <w:t xml:space="preserve"> the rising prices of critical </w:t>
      </w:r>
      <w:r>
        <w:rPr>
          <w:rFonts w:hint="default" w:ascii="Times New Roman" w:hAnsi="Times New Roman" w:eastAsia="等线" w:cs="Times New Roman"/>
          <w:kern w:val="2"/>
          <w:sz w:val="24"/>
          <w:szCs w:val="24"/>
          <w:lang w:val="en-US" w:eastAsia="zh" w:bidi="ar"/>
          <w:woUserID w:val="2"/>
        </w:rPr>
        <w:t xml:space="preserve">raw </w:t>
      </w:r>
      <w:r>
        <w:rPr>
          <w:rFonts w:hint="default" w:ascii="Times New Roman" w:hAnsi="Times New Roman" w:eastAsia="等线" w:cs="Times New Roman"/>
          <w:kern w:val="2"/>
          <w:sz w:val="24"/>
          <w:szCs w:val="24"/>
          <w:lang w:val="en-US" w:eastAsia="zh-CN" w:bidi="ar"/>
          <w:woUserID w:val="1"/>
        </w:rPr>
        <w:t>minerals</w:t>
      </w:r>
      <w:r>
        <w:rPr>
          <w:rFonts w:hint="default" w:ascii="Times New Roman" w:hAnsi="Times New Roman" w:eastAsia="等线" w:cs="Times New Roman"/>
          <w:kern w:val="2"/>
          <w:sz w:val="24"/>
          <w:szCs w:val="24"/>
          <w:lang w:val="en-US" w:eastAsia="zh" w:bidi="ar"/>
          <w:woUserID w:val="2"/>
        </w:rPr>
        <w:t xml:space="preserve"> and </w:t>
      </w:r>
      <w:r>
        <w:rPr>
          <w:rFonts w:hint="default" w:ascii="Times New Roman" w:hAnsi="Times New Roman" w:eastAsia="等线" w:cs="Times New Roman"/>
          <w:kern w:val="2"/>
          <w:sz w:val="24"/>
          <w:szCs w:val="24"/>
          <w:lang w:val="en-US" w:eastAsia="zh-CN" w:bidi="ar"/>
          <w:woUserID w:val="1"/>
        </w:rPr>
        <w:t xml:space="preserve">supply chain instability are increasing production costs, which further put pressure on </w:t>
      </w:r>
      <w:r>
        <w:rPr>
          <w:rFonts w:hint="default" w:ascii="Times New Roman" w:hAnsi="Times New Roman" w:eastAsia="等线" w:cs="Times New Roman"/>
          <w:kern w:val="2"/>
          <w:sz w:val="24"/>
          <w:szCs w:val="24"/>
          <w:lang w:val="en-US" w:eastAsia="zh" w:bidi="ar"/>
          <w:woUserID w:val="2"/>
        </w:rPr>
        <w:t xml:space="preserve">operating </w:t>
      </w:r>
      <w:r>
        <w:rPr>
          <w:rFonts w:hint="default" w:ascii="Times New Roman" w:hAnsi="Times New Roman" w:eastAsia="等线" w:cs="Times New Roman"/>
          <w:kern w:val="2"/>
          <w:sz w:val="24"/>
          <w:szCs w:val="24"/>
          <w:lang w:val="en-US" w:eastAsia="zh-CN" w:bidi="ar"/>
          <w:woUserID w:val="1"/>
        </w:rPr>
        <w:t xml:space="preserve">margins (IEA, 2025). To address these challenges, Volkswagen </w:t>
      </w:r>
      <w:r>
        <w:rPr>
          <w:rFonts w:hint="default" w:ascii="Times New Roman" w:hAnsi="Times New Roman" w:eastAsia="等线" w:cs="Times New Roman"/>
          <w:kern w:val="2"/>
          <w:sz w:val="24"/>
          <w:szCs w:val="24"/>
          <w:lang w:val="en-US" w:eastAsia="zh" w:bidi="ar"/>
          <w:woUserID w:val="2"/>
        </w:rPr>
        <w:t>and BMW need to</w:t>
      </w:r>
      <w:r>
        <w:rPr>
          <w:rFonts w:hint="default" w:ascii="Times New Roman" w:hAnsi="Times New Roman" w:eastAsia="等线" w:cs="Times New Roman"/>
          <w:kern w:val="2"/>
          <w:sz w:val="24"/>
          <w:szCs w:val="24"/>
          <w:lang w:val="en-US" w:eastAsia="zh-CN" w:bidi="ar"/>
          <w:woUserID w:val="1"/>
        </w:rPr>
        <w:t xml:space="preserve"> engage </w:t>
      </w:r>
      <w:r>
        <w:rPr>
          <w:rFonts w:hint="default" w:ascii="Times New Roman" w:hAnsi="Times New Roman" w:eastAsia="等线" w:cs="Times New Roman"/>
          <w:kern w:val="2"/>
          <w:sz w:val="24"/>
          <w:szCs w:val="24"/>
          <w:lang w:val="en-US" w:eastAsia="zh" w:bidi="ar"/>
          <w:woUserID w:val="2"/>
        </w:rPr>
        <w:t>their</w:t>
      </w:r>
      <w:r>
        <w:rPr>
          <w:rFonts w:hint="default" w:ascii="Times New Roman" w:hAnsi="Times New Roman" w:eastAsia="等线" w:cs="Times New Roman"/>
          <w:kern w:val="2"/>
          <w:sz w:val="24"/>
          <w:szCs w:val="24"/>
          <w:lang w:val="en-US" w:eastAsia="zh-CN" w:bidi="ar"/>
          <w:woUserID w:val="1"/>
        </w:rPr>
        <w:t xml:space="preserve"> operations department</w:t>
      </w:r>
      <w:r>
        <w:rPr>
          <w:rFonts w:hint="default" w:ascii="Times New Roman" w:hAnsi="Times New Roman" w:eastAsia="等线" w:cs="Times New Roman"/>
          <w:kern w:val="2"/>
          <w:sz w:val="24"/>
          <w:szCs w:val="24"/>
          <w:lang w:val="en-US" w:eastAsia="zh" w:bidi="ar"/>
          <w:woUserID w:val="2"/>
        </w:rPr>
        <w:t xml:space="preserve">s to </w:t>
      </w:r>
      <w:r>
        <w:rPr>
          <w:rFonts w:hint="default" w:ascii="Times New Roman" w:hAnsi="Times New Roman" w:eastAsia="等线" w:cs="Times New Roman"/>
          <w:kern w:val="2"/>
          <w:sz w:val="24"/>
          <w:szCs w:val="24"/>
          <w:lang w:val="en-US" w:eastAsia="zh-CN" w:bidi="ar"/>
          <w:woUserID w:val="1"/>
        </w:rPr>
        <w:t xml:space="preserve">focus on improving production efficiency. </w:t>
      </w:r>
      <w:r>
        <w:rPr>
          <w:rFonts w:hint="default" w:ascii="Times New Roman" w:hAnsi="Times New Roman" w:eastAsia="等线" w:cs="Times New Roman"/>
          <w:kern w:val="2"/>
          <w:sz w:val="24"/>
          <w:szCs w:val="24"/>
          <w:lang w:val="en-US" w:eastAsia="zh-CN" w:bidi="ar"/>
          <w:woUserID w:val="5"/>
        </w:rPr>
        <w:t>Using Toyota Production System as a benchmark, Volkswagen and BMW may reduce waste and improve EV production efficiency</w:t>
      </w:r>
      <w:r>
        <w:rPr>
          <w:rFonts w:hint="default" w:ascii="Times New Roman" w:hAnsi="Times New Roman" w:eastAsia="等线" w:cs="Times New Roman"/>
          <w:kern w:val="2"/>
          <w:sz w:val="24"/>
          <w:szCs w:val="24"/>
          <w:lang w:val="en-US" w:eastAsia="zh-CN" w:bidi="ar"/>
          <w:woUserID w:val="1"/>
        </w:rPr>
        <w:t xml:space="preserve"> (Toyota</w:t>
      </w:r>
      <w:r>
        <w:rPr>
          <w:rFonts w:hint="default" w:ascii="Times New Roman" w:hAnsi="Times New Roman" w:eastAsia="等线" w:cs="Times New Roman"/>
          <w:kern w:val="2"/>
          <w:sz w:val="24"/>
          <w:szCs w:val="24"/>
          <w:lang w:val="en-US" w:eastAsia="zh" w:bidi="ar"/>
          <w:woUserID w:val="5"/>
        </w:rPr>
        <w:t xml:space="preserve"> Motor Corporation</w:t>
      </w:r>
      <w:r>
        <w:rPr>
          <w:rFonts w:hint="default" w:ascii="Times New Roman" w:hAnsi="Times New Roman" w:eastAsia="等线" w:cs="Times New Roman"/>
          <w:kern w:val="2"/>
          <w:sz w:val="24"/>
          <w:szCs w:val="24"/>
          <w:lang w:val="en-US" w:eastAsia="zh-CN" w:bidi="ar"/>
          <w:woUserID w:val="1"/>
        </w:rPr>
        <w:t xml:space="preserve">, 2026). </w:t>
      </w:r>
    </w:p>
    <w:p w14:paraId="73734A87">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kern w:val="2"/>
          <w:lang w:val="en-US" w:eastAsia="zh-CN" w:bidi="ar"/>
          <w:woUserID w:val="6"/>
        </w:rPr>
      </w:pPr>
      <w:bookmarkStart w:id="6" w:name="_Toc273467187"/>
      <w:r>
        <w:rPr>
          <w:rFonts w:hint="default" w:ascii="Times New Roman" w:hAnsi="Times New Roman" w:eastAsia="Tahoma" w:cs="Times New Roman"/>
          <w:kern w:val="2"/>
          <w:lang w:val="en-US" w:eastAsia="zh" w:bidi="ar"/>
          <w:woUserID w:val="5"/>
        </w:rPr>
        <w:t xml:space="preserve">2.2 </w:t>
      </w:r>
      <w:r>
        <w:rPr>
          <w:rFonts w:hint="default" w:ascii="Times New Roman" w:hAnsi="Times New Roman" w:eastAsia="Tahoma" w:cs="Times New Roman"/>
          <w:kern w:val="2"/>
          <w:lang w:val="en-US" w:eastAsia="zh-CN" w:bidi="ar"/>
          <w:woUserID w:val="6"/>
        </w:rPr>
        <w:t>ROCE</w:t>
      </w:r>
      <w:bookmarkEnd w:id="6"/>
    </w:p>
    <w:p w14:paraId="71079E5A">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drawing>
          <wp:inline distT="0" distB="0" distL="114300" distR="114300">
            <wp:extent cx="4142105" cy="2383790"/>
            <wp:effectExtent l="0" t="0" r="10795" b="165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stretch>
                      <a:fillRect/>
                    </a:stretch>
                  </pic:blipFill>
                  <pic:spPr>
                    <a:xfrm>
                      <a:off x="0" y="0"/>
                      <a:ext cx="4142105" cy="2383790"/>
                    </a:xfrm>
                    <a:prstGeom prst="rect">
                      <a:avLst/>
                    </a:prstGeom>
                  </pic:spPr>
                </pic:pic>
              </a:graphicData>
            </a:graphic>
          </wp:inline>
        </w:drawing>
      </w:r>
    </w:p>
    <w:p w14:paraId="389AD8E1">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等线" w:cs="Times New Roman"/>
          <w:b/>
          <w:bCs/>
          <w:kern w:val="2"/>
          <w:sz w:val="24"/>
          <w:szCs w:val="24"/>
          <w:lang w:val="en-US" w:eastAsia="zh" w:bidi="ar"/>
          <w:woUserID w:val="5"/>
        </w:rPr>
      </w:pPr>
      <w:r>
        <w:rPr>
          <w:rFonts w:hint="default" w:ascii="Times New Roman" w:hAnsi="Times New Roman" w:eastAsia="等线" w:cs="Times New Roman"/>
          <w:b/>
          <w:bCs/>
          <w:kern w:val="2"/>
          <w:sz w:val="24"/>
          <w:szCs w:val="24"/>
          <w:lang w:val="en-US" w:eastAsia="zh" w:bidi="ar"/>
          <w:woUserID w:val="5"/>
        </w:rPr>
        <w:t>Figure 2. Comparison of ROCE</w:t>
      </w:r>
    </w:p>
    <w:p w14:paraId="22D34AC5">
      <w:pPr>
        <w:keepNext w:val="0"/>
        <w:keepLines w:val="0"/>
        <w:widowControl w:val="0"/>
        <w:suppressLineNumbers w:val="0"/>
        <w:spacing w:before="0" w:beforeAutospacing="0" w:after="0" w:afterAutospacing="0" w:line="240" w:lineRule="auto"/>
        <w:ind w:left="0" w:right="0"/>
        <w:jc w:val="left"/>
        <w:rPr>
          <w:rFonts w:hint="default" w:ascii="Times New Roman" w:hAnsi="Times New Roman" w:eastAsia="等线" w:cs="Times New Roman"/>
          <w:kern w:val="2"/>
          <w:sz w:val="24"/>
          <w:szCs w:val="24"/>
          <w:lang w:val="en-US" w:eastAsia="zh-CN" w:bidi="ar"/>
          <w:woUserID w:val="5"/>
        </w:rPr>
      </w:pPr>
    </w:p>
    <w:p w14:paraId="72952CE1">
      <w:pPr>
        <w:keepNext w:val="0"/>
        <w:keepLines w:val="0"/>
        <w:widowControl w:val="0"/>
        <w:suppressLineNumbers w:val="0"/>
        <w:spacing w:before="0" w:beforeAutospacing="0" w:after="0" w:afterAutospacing="0" w:line="240" w:lineRule="auto"/>
        <w:ind w:left="0" w:right="0"/>
        <w:jc w:val="both"/>
        <w:rPr>
          <w:rFonts w:hint="default" w:ascii="Times New Roman" w:hAnsi="Times New Roman" w:cs="Times New Roman"/>
          <w:sz w:val="24"/>
          <w:szCs w:val="24"/>
          <w:lang w:val="en-US"/>
          <w:woUserID w:val="1"/>
        </w:rPr>
      </w:pPr>
      <w:r>
        <w:rPr>
          <w:rFonts w:hint="default" w:ascii="Times New Roman" w:hAnsi="Times New Roman" w:eastAsia="等线" w:cs="Times New Roman"/>
          <w:kern w:val="2"/>
          <w:sz w:val="24"/>
          <w:szCs w:val="24"/>
          <w:lang w:val="en-US" w:eastAsia="zh-CN" w:bidi="ar"/>
          <w:woUserID w:val="1"/>
        </w:rPr>
        <w:t xml:space="preserve">Volkswagen’s ROCE has declined from 0.078 in 2022 to 0.046 in 2024, and consistently </w:t>
      </w:r>
      <w:r>
        <w:rPr>
          <w:rFonts w:hint="default" w:ascii="Times New Roman" w:hAnsi="Times New Roman" w:eastAsia="等线" w:cs="Times New Roman"/>
          <w:kern w:val="2"/>
          <w:sz w:val="24"/>
          <w:szCs w:val="24"/>
          <w:lang w:val="en-US" w:eastAsia="zh" w:bidi="ar"/>
          <w:woUserID w:val="2"/>
        </w:rPr>
        <w:t>below</w:t>
      </w:r>
      <w:r>
        <w:rPr>
          <w:rFonts w:hint="default" w:ascii="Times New Roman" w:hAnsi="Times New Roman" w:eastAsia="等线" w:cs="Times New Roman"/>
          <w:kern w:val="2"/>
          <w:sz w:val="24"/>
          <w:szCs w:val="24"/>
          <w:lang w:val="en-US" w:eastAsia="zh-CN" w:bidi="ar"/>
          <w:woUserID w:val="1"/>
        </w:rPr>
        <w:t xml:space="preserve"> both Toyota</w:t>
      </w:r>
      <w:r>
        <w:rPr>
          <w:rFonts w:hint="default" w:ascii="Times New Roman" w:hAnsi="Times New Roman" w:eastAsia="等线" w:cs="Times New Roman"/>
          <w:kern w:val="2"/>
          <w:sz w:val="24"/>
          <w:szCs w:val="24"/>
          <w:lang w:val="en-US" w:eastAsia="zh" w:bidi="ar"/>
          <w:woUserID w:val="2"/>
        </w:rPr>
        <w:t xml:space="preserve"> (0.088 in 2024)</w:t>
      </w:r>
      <w:r>
        <w:rPr>
          <w:rFonts w:hint="default" w:ascii="Times New Roman" w:hAnsi="Times New Roman" w:eastAsia="等线" w:cs="Times New Roman"/>
          <w:kern w:val="2"/>
          <w:sz w:val="24"/>
          <w:szCs w:val="24"/>
          <w:lang w:val="en-US" w:eastAsia="zh-CN" w:bidi="ar"/>
          <w:woUserID w:val="1"/>
        </w:rPr>
        <w:t xml:space="preserve"> and BMW</w:t>
      </w:r>
      <w:r>
        <w:rPr>
          <w:rFonts w:hint="default" w:ascii="Times New Roman" w:hAnsi="Times New Roman" w:eastAsia="等线" w:cs="Times New Roman"/>
          <w:kern w:val="2"/>
          <w:sz w:val="24"/>
          <w:szCs w:val="24"/>
          <w:lang w:val="en-US" w:eastAsia="zh" w:bidi="ar"/>
          <w:woUserID w:val="2"/>
        </w:rPr>
        <w:t xml:space="preserve"> (0.064 in 2024)</w:t>
      </w:r>
      <w:r>
        <w:rPr>
          <w:rFonts w:hint="default" w:ascii="Times New Roman" w:hAnsi="Times New Roman" w:eastAsia="等线" w:cs="Times New Roman"/>
          <w:kern w:val="2"/>
          <w:sz w:val="24"/>
          <w:szCs w:val="24"/>
          <w:lang w:val="en-US" w:eastAsia="zh-CN" w:bidi="ar"/>
          <w:woUserID w:val="1"/>
        </w:rPr>
        <w:t xml:space="preserve">. </w:t>
      </w:r>
      <w:r>
        <w:rPr>
          <w:rFonts w:hint="default" w:ascii="Times New Roman" w:hAnsi="Times New Roman" w:eastAsia="等线" w:cs="Times New Roman"/>
          <w:kern w:val="2"/>
          <w:sz w:val="24"/>
          <w:szCs w:val="24"/>
          <w:lang w:val="en-US" w:eastAsia="zh" w:bidi="ar"/>
          <w:woUserID w:val="2"/>
        </w:rPr>
        <w:t>S</w:t>
      </w:r>
      <w:r>
        <w:rPr>
          <w:rFonts w:hint="default" w:ascii="Times New Roman" w:hAnsi="Times New Roman" w:eastAsia="等线" w:cs="Times New Roman"/>
          <w:kern w:val="2"/>
          <w:sz w:val="24"/>
          <w:szCs w:val="24"/>
          <w:lang w:val="en-US" w:eastAsia="zh-CN" w:bidi="ar"/>
          <w:woUserID w:val="2"/>
        </w:rPr>
        <w:t>ubstantial capitalized investments</w:t>
      </w:r>
      <w:r>
        <w:rPr>
          <w:rFonts w:hint="default" w:ascii="Times New Roman" w:hAnsi="Times New Roman" w:eastAsia="等线" w:cs="Times New Roman"/>
          <w:kern w:val="2"/>
          <w:sz w:val="24"/>
          <w:szCs w:val="24"/>
          <w:lang w:val="en-US" w:eastAsia="zh-CN" w:bidi="ar"/>
          <w:woUserID w:val="1"/>
        </w:rPr>
        <w:t xml:space="preserve"> in electric vehicle production and </w:t>
      </w:r>
      <w:r>
        <w:rPr>
          <w:rFonts w:hint="default" w:ascii="Times New Roman" w:hAnsi="Times New Roman" w:eastAsia="等线" w:cs="Times New Roman"/>
          <w:kern w:val="2"/>
          <w:sz w:val="24"/>
          <w:szCs w:val="24"/>
          <w:lang w:val="en-US" w:eastAsia="zh" w:bidi="ar"/>
          <w:woUserID w:val="2"/>
        </w:rPr>
        <w:t>product updates</w:t>
      </w:r>
      <w:r>
        <w:rPr>
          <w:rFonts w:hint="default" w:ascii="Times New Roman" w:hAnsi="Times New Roman" w:eastAsia="等线" w:cs="Times New Roman"/>
          <w:kern w:val="2"/>
          <w:sz w:val="24"/>
          <w:szCs w:val="24"/>
          <w:lang w:val="en-US" w:eastAsia="zh-CN" w:bidi="ar"/>
          <w:woUserID w:val="1"/>
        </w:rPr>
        <w:t xml:space="preserve"> may lead to this decline. For example, </w:t>
      </w:r>
      <w:r>
        <w:rPr>
          <w:rFonts w:hint="default" w:ascii="Times New Roman" w:hAnsi="Times New Roman" w:eastAsia="等线" w:cs="Times New Roman"/>
          <w:kern w:val="2"/>
          <w:sz w:val="24"/>
          <w:szCs w:val="24"/>
          <w:lang w:val="en-US" w:eastAsia="zh" w:bidi="ar"/>
          <w:woUserID w:val="2"/>
        </w:rPr>
        <w:t>Volkswagen's</w:t>
      </w:r>
      <w:r>
        <w:rPr>
          <w:rFonts w:hint="default" w:ascii="Times New Roman" w:hAnsi="Times New Roman" w:eastAsia="等线" w:cs="Times New Roman"/>
          <w:kern w:val="2"/>
          <w:sz w:val="24"/>
          <w:szCs w:val="24"/>
          <w:lang w:val="en-US" w:eastAsia="zh-CN" w:bidi="ar"/>
          <w:woUserID w:val="1"/>
        </w:rPr>
        <w:t xml:space="preserve"> automotive department’s R&amp;D expenditure totalled approximately €21.0 billion, with 48.8% capitalized for future model and platform development (Volkswagen </w:t>
      </w:r>
      <w:r>
        <w:rPr>
          <w:rFonts w:hint="default" w:ascii="Times New Roman" w:hAnsi="Times New Roman" w:eastAsia="等线" w:cs="Times New Roman"/>
          <w:kern w:val="2"/>
          <w:sz w:val="24"/>
          <w:szCs w:val="24"/>
          <w:lang w:val="en-US" w:eastAsia="zh" w:bidi="ar"/>
          <w:woUserID w:val="5"/>
        </w:rPr>
        <w:t>Group</w:t>
      </w:r>
      <w:r>
        <w:rPr>
          <w:rFonts w:hint="default" w:ascii="Times New Roman" w:hAnsi="Times New Roman" w:eastAsia="等线" w:cs="Times New Roman"/>
          <w:kern w:val="2"/>
          <w:sz w:val="24"/>
          <w:szCs w:val="24"/>
          <w:lang w:val="en-US" w:eastAsia="zh-CN" w:bidi="ar"/>
          <w:woUserID w:val="1"/>
        </w:rPr>
        <w:t>, 202</w:t>
      </w:r>
      <w:r>
        <w:rPr>
          <w:rFonts w:hint="default" w:ascii="Times New Roman" w:hAnsi="Times New Roman" w:eastAsia="等线" w:cs="Times New Roman"/>
          <w:kern w:val="2"/>
          <w:sz w:val="24"/>
          <w:szCs w:val="24"/>
          <w:lang w:val="en-US" w:eastAsia="zh" w:bidi="ar"/>
          <w:woUserID w:val="5"/>
        </w:rPr>
        <w:t>5</w:t>
      </w:r>
      <w:r>
        <w:rPr>
          <w:rFonts w:hint="default" w:ascii="Times New Roman" w:hAnsi="Times New Roman" w:eastAsia="等线" w:cs="Times New Roman"/>
          <w:kern w:val="2"/>
          <w:sz w:val="24"/>
          <w:szCs w:val="24"/>
          <w:lang w:val="en-US" w:eastAsia="zh-CN" w:bidi="ar"/>
          <w:woUserID w:val="1"/>
        </w:rPr>
        <w:t>) . These long-term investments do not generate immediate profits</w:t>
      </w:r>
      <w:r>
        <w:rPr>
          <w:rFonts w:hint="default" w:ascii="Times New Roman" w:hAnsi="Times New Roman" w:eastAsia="等线" w:cs="Times New Roman"/>
          <w:kern w:val="2"/>
          <w:sz w:val="24"/>
          <w:szCs w:val="24"/>
          <w:lang w:val="en-US" w:eastAsia="zh" w:bidi="ar"/>
          <w:woUserID w:val="2"/>
        </w:rPr>
        <w:t xml:space="preserve"> to support the growth of ROCE</w:t>
      </w:r>
      <w:r>
        <w:rPr>
          <w:rFonts w:hint="default" w:ascii="Times New Roman" w:hAnsi="Times New Roman" w:eastAsia="等线" w:cs="Times New Roman"/>
          <w:kern w:val="2"/>
          <w:sz w:val="24"/>
          <w:szCs w:val="24"/>
          <w:lang w:val="en-US" w:eastAsia="zh-CN" w:bidi="ar"/>
          <w:woUserID w:val="1"/>
        </w:rPr>
        <w:t xml:space="preserve">. </w:t>
      </w:r>
      <w:r>
        <w:rPr>
          <w:rFonts w:hint="default" w:ascii="Times New Roman" w:hAnsi="Times New Roman" w:eastAsia="等线" w:cs="Times New Roman"/>
          <w:kern w:val="2"/>
          <w:sz w:val="24"/>
          <w:szCs w:val="24"/>
          <w:lang w:val="en-US" w:eastAsia="zh-CN" w:bidi="ar"/>
          <w:woUserID w:val="5"/>
        </w:rPr>
        <w:t>The three companies should engage finance and manufacturing teams to improve capital allocation, asset efficiency and production technologies such as gigacasting, which may reduce manufacturing costs</w:t>
      </w:r>
      <w:r>
        <w:rPr>
          <w:rFonts w:hint="default" w:ascii="Times New Roman" w:hAnsi="Times New Roman" w:eastAsia="等线" w:cs="Times New Roman"/>
          <w:kern w:val="2"/>
          <w:sz w:val="24"/>
          <w:szCs w:val="24"/>
          <w:lang w:val="en-US" w:eastAsia="zh" w:bidi="ar"/>
          <w:woUserID w:val="2"/>
        </w:rPr>
        <w:t xml:space="preserve"> (</w:t>
      </w:r>
      <w:r>
        <w:rPr>
          <w:rFonts w:hint="default" w:ascii="Times New Roman" w:hAnsi="Times New Roman" w:eastAsia="等线" w:cs="Times New Roman"/>
          <w:kern w:val="2"/>
          <w:sz w:val="24"/>
          <w:szCs w:val="24"/>
          <w:lang w:val="en-US" w:eastAsia="zh" w:bidi="ar"/>
          <w:woUserID w:val="5"/>
        </w:rPr>
        <w:t>Huang</w:t>
      </w:r>
      <w:r>
        <w:rPr>
          <w:rFonts w:hint="default" w:ascii="Times New Roman" w:hAnsi="Times New Roman" w:eastAsia="等线" w:cs="Times New Roman"/>
          <w:kern w:val="2"/>
          <w:sz w:val="24"/>
          <w:szCs w:val="24"/>
          <w:lang w:val="en-US" w:eastAsia="zh" w:bidi="ar"/>
          <w:woUserID w:val="2"/>
        </w:rPr>
        <w:t>, 2022).</w:t>
      </w:r>
    </w:p>
    <w:p w14:paraId="351AD4D4">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b/>
          <w:bCs/>
          <w:kern w:val="2"/>
          <w:sz w:val="24"/>
          <w:szCs w:val="24"/>
          <w:lang w:val="en-US" w:eastAsia="zh-CN" w:bidi="ar"/>
          <w:woUserID w:val="6"/>
        </w:rPr>
      </w:pPr>
      <w:bookmarkStart w:id="7" w:name="_Toc1340565851"/>
      <w:r>
        <w:rPr>
          <w:rFonts w:hint="default" w:ascii="Times New Roman" w:hAnsi="Times New Roman" w:eastAsia="Tahoma" w:cs="Times New Roman"/>
          <w:kern w:val="2"/>
          <w:lang w:val="en-US" w:eastAsia="zh" w:bidi="ar"/>
          <w:woUserID w:val="5"/>
        </w:rPr>
        <w:t xml:space="preserve">2.3 </w:t>
      </w:r>
      <w:r>
        <w:rPr>
          <w:rFonts w:hint="default" w:ascii="Times New Roman" w:hAnsi="Times New Roman" w:eastAsia="Tahoma" w:cs="Times New Roman"/>
          <w:kern w:val="2"/>
          <w:lang w:val="en-US" w:eastAsia="zh-CN" w:bidi="ar"/>
          <w:woUserID w:val="6"/>
        </w:rPr>
        <w:t>Debt-to-equity ratio</w:t>
      </w:r>
      <w:bookmarkEnd w:id="7"/>
    </w:p>
    <w:p w14:paraId="63D75A96">
      <w:pPr>
        <w:keepNext w:val="0"/>
        <w:keepLines w:val="0"/>
        <w:widowControl/>
        <w:suppressLineNumbers w:val="0"/>
        <w:spacing w:line="240" w:lineRule="auto"/>
        <w:jc w:val="center"/>
        <w:rPr>
          <w:rFonts w:hint="default" w:ascii="Times New Roman" w:hAnsi="Times New Roman" w:cs="Times New Roman" w:eastAsiaTheme="minorEastAsia"/>
          <w:sz w:val="24"/>
          <w:szCs w:val="24"/>
          <w:lang w:eastAsia="zh"/>
          <w:woUserID w:val="5"/>
        </w:rPr>
      </w:pPr>
      <w:r>
        <w:rPr>
          <w:rFonts w:hint="default" w:ascii="Times New Roman" w:hAnsi="Times New Roman" w:cs="Times New Roman" w:eastAsiaTheme="minorEastAsia"/>
          <w:sz w:val="24"/>
          <w:szCs w:val="24"/>
          <w:lang w:eastAsia="zh"/>
          <w:woUserID w:val="5"/>
        </w:rPr>
        <w:drawing>
          <wp:inline distT="0" distB="0" distL="114300" distR="114300">
            <wp:extent cx="4059555" cy="2338705"/>
            <wp:effectExtent l="0" t="0" r="1714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
                    <a:stretch>
                      <a:fillRect/>
                    </a:stretch>
                  </pic:blipFill>
                  <pic:spPr>
                    <a:xfrm>
                      <a:off x="0" y="0"/>
                      <a:ext cx="4059555" cy="2338705"/>
                    </a:xfrm>
                    <a:prstGeom prst="rect">
                      <a:avLst/>
                    </a:prstGeom>
                  </pic:spPr>
                </pic:pic>
              </a:graphicData>
            </a:graphic>
          </wp:inline>
        </w:drawing>
      </w:r>
    </w:p>
    <w:p w14:paraId="7F67AB7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 w:bidi="ar"/>
          <w:woUserID w:val="5"/>
        </w:rPr>
      </w:pPr>
      <w:r>
        <w:rPr>
          <w:rFonts w:hint="default" w:ascii="Times New Roman" w:hAnsi="Times New Roman" w:eastAsia="Tahoma" w:cs="Times New Roman"/>
          <w:b/>
          <w:bCs/>
          <w:kern w:val="2"/>
          <w:sz w:val="24"/>
          <w:szCs w:val="24"/>
          <w:lang w:val="en-US" w:eastAsia="zh" w:bidi="ar"/>
          <w:woUserID w:val="5"/>
        </w:rPr>
        <w:t>Figure 3. Comparison of Debt-to-Equity Ratio</w:t>
      </w:r>
    </w:p>
    <w:p w14:paraId="58CCCA06">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CN" w:bidi="ar"/>
          <w:woUserID w:val="6"/>
        </w:rPr>
      </w:pPr>
    </w:p>
    <w:p w14:paraId="040DF3C3">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等线" w:cs="Times New Roman"/>
          <w:kern w:val="2"/>
          <w:sz w:val="24"/>
          <w:szCs w:val="24"/>
          <w:lang w:val="en-US" w:eastAsia="zh" w:bidi="ar"/>
          <w:woUserID w:val="2"/>
        </w:rPr>
      </w:pPr>
      <w:r>
        <w:rPr>
          <w:rFonts w:hint="default" w:ascii="Times New Roman" w:hAnsi="Times New Roman" w:eastAsia="等线" w:cs="Times New Roman"/>
          <w:kern w:val="2"/>
          <w:sz w:val="24"/>
          <w:szCs w:val="24"/>
          <w:lang w:val="en-US" w:eastAsia="zh-CN" w:bidi="ar"/>
          <w:woUserID w:val="1"/>
        </w:rPr>
        <w:t>Volkswagen’s Debt-to-Equity Ratio has remained high among its peer firms, reaching 2.217 in 2024</w:t>
      </w:r>
      <w:r>
        <w:rPr>
          <w:rFonts w:hint="default" w:ascii="Times New Roman" w:hAnsi="Times New Roman" w:eastAsia="等线" w:cs="Times New Roman"/>
          <w:kern w:val="2"/>
          <w:sz w:val="24"/>
          <w:szCs w:val="24"/>
          <w:lang w:val="en-US" w:eastAsia="zh" w:bidi="ar"/>
          <w:woUserID w:val="2"/>
        </w:rPr>
        <w:t xml:space="preserve"> while Toyota's figure stays around 1.500 and BMW's reaching 1.818 in 2024.</w:t>
      </w:r>
      <w:r>
        <w:rPr>
          <w:rFonts w:hint="default" w:ascii="Times New Roman" w:hAnsi="Times New Roman" w:eastAsia="等线" w:cs="Times New Roman"/>
          <w:kern w:val="2"/>
          <w:sz w:val="24"/>
          <w:szCs w:val="24"/>
          <w:lang w:val="en-US" w:eastAsia="zh-CN" w:bidi="ar"/>
          <w:woUserID w:val="1"/>
        </w:rPr>
        <w:t xml:space="preserve"> </w:t>
      </w:r>
      <w:r>
        <w:rPr>
          <w:rFonts w:hint="default" w:ascii="Times New Roman" w:hAnsi="Times New Roman" w:eastAsia="等线" w:cs="Times New Roman"/>
          <w:kern w:val="2"/>
          <w:sz w:val="24"/>
          <w:szCs w:val="24"/>
          <w:lang w:val="en-US" w:eastAsia="zh-CN" w:bidi="ar"/>
          <w:woUserID w:val="5"/>
        </w:rPr>
        <w:t>In this capital-intensive industry, debt financing supports large-scale investment in EV production, R&amp;D and infrastructure</w:t>
      </w:r>
      <w:r>
        <w:rPr>
          <w:rFonts w:hint="default" w:ascii="Times New Roman" w:hAnsi="Times New Roman" w:eastAsia="等线" w:cs="Times New Roman"/>
          <w:kern w:val="2"/>
          <w:sz w:val="24"/>
          <w:szCs w:val="24"/>
          <w:lang w:val="en-US" w:eastAsia="zh-CN" w:bidi="ar"/>
          <w:woUserID w:val="1"/>
        </w:rPr>
        <w:t xml:space="preserve"> (</w:t>
      </w:r>
      <w:r>
        <w:rPr>
          <w:rFonts w:hint="default" w:ascii="Times New Roman" w:hAnsi="Times New Roman" w:eastAsia="等线" w:cs="Times New Roman"/>
          <w:kern w:val="2"/>
          <w:sz w:val="24"/>
          <w:szCs w:val="24"/>
          <w:lang w:val="en-US" w:eastAsia="zh-CN" w:bidi="ar"/>
          <w:woUserID w:val="5"/>
        </w:rPr>
        <w:t xml:space="preserve">Volkswagen </w:t>
      </w:r>
      <w:r>
        <w:rPr>
          <w:rFonts w:hint="default" w:ascii="Times New Roman" w:hAnsi="Times New Roman" w:eastAsia="等线" w:cs="Times New Roman"/>
          <w:kern w:val="2"/>
          <w:sz w:val="24"/>
          <w:szCs w:val="24"/>
          <w:lang w:val="en-US" w:eastAsia="zh" w:bidi="ar"/>
          <w:woUserID w:val="5"/>
        </w:rPr>
        <w:t>Group</w:t>
      </w:r>
      <w:r>
        <w:rPr>
          <w:rFonts w:hint="default" w:ascii="Times New Roman" w:hAnsi="Times New Roman" w:eastAsia="等线" w:cs="Times New Roman"/>
          <w:kern w:val="2"/>
          <w:sz w:val="24"/>
          <w:szCs w:val="24"/>
          <w:lang w:val="en-US" w:eastAsia="zh-CN" w:bidi="ar"/>
          <w:woUserID w:val="5"/>
        </w:rPr>
        <w:t>, 202</w:t>
      </w:r>
      <w:r>
        <w:rPr>
          <w:rFonts w:hint="default" w:ascii="Times New Roman" w:hAnsi="Times New Roman" w:eastAsia="等线" w:cs="Times New Roman"/>
          <w:kern w:val="2"/>
          <w:sz w:val="24"/>
          <w:szCs w:val="24"/>
          <w:lang w:val="en-US" w:eastAsia="zh" w:bidi="ar"/>
          <w:woUserID w:val="5"/>
        </w:rPr>
        <w:t>5</w:t>
      </w:r>
      <w:r>
        <w:rPr>
          <w:rFonts w:hint="default" w:ascii="Times New Roman" w:hAnsi="Times New Roman" w:eastAsia="等线" w:cs="Times New Roman"/>
          <w:kern w:val="2"/>
          <w:sz w:val="24"/>
          <w:szCs w:val="24"/>
          <w:lang w:val="en-US" w:eastAsia="zh-CN" w:bidi="ar"/>
          <w:woUserID w:val="1"/>
        </w:rPr>
        <w:t xml:space="preserve">). While this allows Volkswagen to fund its transition to electric vehicles, it also increases financial leverage and exposes the company to higher financial risk. </w:t>
      </w:r>
      <w:r>
        <w:rPr>
          <w:rFonts w:hint="default" w:ascii="Times New Roman" w:hAnsi="Times New Roman" w:eastAsia="等线" w:cs="Times New Roman"/>
          <w:kern w:val="2"/>
          <w:sz w:val="24"/>
          <w:szCs w:val="24"/>
          <w:lang w:val="en-US" w:eastAsia="zh-CN" w:bidi="ar"/>
          <w:woUserID w:val="5"/>
        </w:rPr>
        <w:t>To manage this risk,</w:t>
      </w:r>
      <w:r>
        <w:rPr>
          <w:rFonts w:hint="default" w:ascii="Times New Roman" w:hAnsi="Times New Roman" w:eastAsia="等线" w:cs="Times New Roman"/>
          <w:kern w:val="2"/>
          <w:sz w:val="24"/>
          <w:szCs w:val="24"/>
          <w:lang w:val="en-US" w:eastAsia="zh-CN" w:bidi="ar"/>
          <w:woUserID w:val="1"/>
        </w:rPr>
        <w:t xml:space="preserve"> </w:t>
      </w:r>
      <w:r>
        <w:rPr>
          <w:rFonts w:hint="eastAsia" w:ascii="Times New Roman" w:hAnsi="Times New Roman" w:eastAsia="等线" w:cs="Times New Roman"/>
          <w:kern w:val="2"/>
          <w:sz w:val="24"/>
          <w:szCs w:val="24"/>
          <w:lang w:val="en-US" w:eastAsia="zh" w:bidi="ar"/>
          <w:woUserID w:val="5"/>
        </w:rPr>
        <w:t>t</w:t>
      </w:r>
      <w:r>
        <w:rPr>
          <w:rFonts w:hint="default" w:ascii="Times New Roman" w:hAnsi="Times New Roman" w:eastAsia="等线" w:cs="Times New Roman"/>
          <w:kern w:val="2"/>
          <w:sz w:val="24"/>
          <w:szCs w:val="24"/>
          <w:lang w:val="en-US" w:eastAsia="zh-CN" w:bidi="ar"/>
          <w:woUserID w:val="5"/>
        </w:rPr>
        <w:t>he three companies’ treasury departments should review debt maturity, funding mix and refinancing exposure, while Volkswagen should emphasise leverage control given its higher ratio</w:t>
      </w:r>
      <w:r>
        <w:rPr>
          <w:rFonts w:hint="default" w:ascii="Times New Roman" w:hAnsi="Times New Roman" w:eastAsia="等线" w:cs="Times New Roman"/>
          <w:kern w:val="2"/>
          <w:sz w:val="24"/>
          <w:szCs w:val="24"/>
          <w:lang w:val="en-US" w:eastAsia="zh" w:bidi="ar"/>
          <w:woUserID w:val="2"/>
        </w:rPr>
        <w:t xml:space="preserve"> (Treasury Today, 2020).</w:t>
      </w:r>
    </w:p>
    <w:p w14:paraId="59D5FF45">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kern w:val="2"/>
          <w:lang w:val="en-US" w:eastAsia="zh" w:bidi="ar"/>
          <w:woUserID w:val="3"/>
        </w:rPr>
      </w:pPr>
      <w:bookmarkStart w:id="8" w:name="_Toc775104637"/>
      <w:r>
        <w:rPr>
          <w:rFonts w:hint="default" w:ascii="Times New Roman" w:hAnsi="Times New Roman" w:eastAsia="Tahoma" w:cs="Times New Roman"/>
          <w:kern w:val="2"/>
          <w:lang w:val="en-US" w:eastAsia="zh" w:bidi="ar"/>
          <w:woUserID w:val="5"/>
        </w:rPr>
        <w:t xml:space="preserve">2.4 </w:t>
      </w:r>
      <w:r>
        <w:rPr>
          <w:rFonts w:hint="default" w:ascii="Times New Roman" w:hAnsi="Times New Roman" w:eastAsia="Tahoma" w:cs="Times New Roman"/>
          <w:kern w:val="2"/>
          <w:lang w:val="en-US" w:eastAsia="zh" w:bidi="ar"/>
          <w:woUserID w:val="3"/>
        </w:rPr>
        <w:t>Asset turnover ratio</w:t>
      </w:r>
      <w:bookmarkEnd w:id="8"/>
    </w:p>
    <w:p w14:paraId="76883A38">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等线" w:cs="Times New Roman"/>
          <w:kern w:val="2"/>
          <w:sz w:val="24"/>
          <w:szCs w:val="24"/>
          <w:lang w:val="en-US" w:eastAsia="zh" w:bidi="ar"/>
          <w:woUserID w:val="2"/>
        </w:rPr>
      </w:pPr>
    </w:p>
    <w:p w14:paraId="66E50BEB">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等线" w:cs="Times New Roman"/>
          <w:kern w:val="2"/>
          <w:sz w:val="24"/>
          <w:szCs w:val="24"/>
          <w:lang w:val="en-US" w:eastAsia="zh" w:bidi="ar"/>
          <w:woUserID w:val="1"/>
        </w:rPr>
      </w:pPr>
      <w:r>
        <w:rPr>
          <w:rFonts w:hint="default" w:ascii="Times New Roman" w:hAnsi="Times New Roman" w:eastAsia="等线" w:cs="Times New Roman"/>
          <w:kern w:val="2"/>
          <w:sz w:val="24"/>
          <w:szCs w:val="24"/>
          <w:lang w:val="en-US" w:eastAsia="zh" w:bidi="ar"/>
          <w:woUserID w:val="5"/>
        </w:rPr>
        <w:drawing>
          <wp:inline distT="0" distB="0" distL="114300" distR="114300">
            <wp:extent cx="4045585" cy="2305685"/>
            <wp:effectExtent l="0" t="0" r="12065" b="184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a:stretch>
                      <a:fillRect/>
                    </a:stretch>
                  </pic:blipFill>
                  <pic:spPr>
                    <a:xfrm>
                      <a:off x="0" y="0"/>
                      <a:ext cx="4045585" cy="2305685"/>
                    </a:xfrm>
                    <a:prstGeom prst="rect">
                      <a:avLst/>
                    </a:prstGeom>
                  </pic:spPr>
                </pic:pic>
              </a:graphicData>
            </a:graphic>
          </wp:inline>
        </w:drawing>
      </w:r>
    </w:p>
    <w:p w14:paraId="58363823">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 w:bidi="ar"/>
          <w:woUserID w:val="5"/>
        </w:rPr>
      </w:pPr>
      <w:r>
        <w:rPr>
          <w:rFonts w:hint="default" w:ascii="Times New Roman" w:hAnsi="Times New Roman" w:eastAsia="Tahoma" w:cs="Times New Roman"/>
          <w:b/>
          <w:bCs/>
          <w:kern w:val="2"/>
          <w:sz w:val="24"/>
          <w:szCs w:val="24"/>
          <w:lang w:val="en-US" w:eastAsia="zh" w:bidi="ar"/>
          <w:woUserID w:val="2"/>
        </w:rPr>
        <w:t xml:space="preserve">Figure 4. </w:t>
      </w:r>
      <w:r>
        <w:rPr>
          <w:rFonts w:hint="default" w:ascii="Times New Roman" w:hAnsi="Times New Roman" w:eastAsia="Tahoma" w:cs="Times New Roman"/>
          <w:b/>
          <w:bCs/>
          <w:kern w:val="2"/>
          <w:sz w:val="24"/>
          <w:szCs w:val="24"/>
          <w:lang w:val="en-US" w:eastAsia="zh" w:bidi="ar"/>
          <w:woUserID w:val="5"/>
        </w:rPr>
        <w:t>Comparison of Asset Turnover Ratio</w:t>
      </w:r>
    </w:p>
    <w:p w14:paraId="62AB2B6D">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 w:bidi="ar"/>
          <w:woUserID w:val="5"/>
        </w:rPr>
      </w:pPr>
    </w:p>
    <w:p w14:paraId="3DD243A6">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宋体" w:cs="Times New Roman"/>
          <w:kern w:val="2"/>
          <w:sz w:val="24"/>
          <w:szCs w:val="24"/>
          <w:lang w:val="en-US" w:eastAsia="zh" w:bidi="ar"/>
          <w:woUserID w:val="5"/>
        </w:rPr>
      </w:pPr>
      <w:r>
        <w:rPr>
          <w:rFonts w:hint="default" w:ascii="Times New Roman" w:hAnsi="Times New Roman" w:eastAsia="宋体" w:cs="Times New Roman"/>
          <w:kern w:val="2"/>
          <w:sz w:val="24"/>
          <w:szCs w:val="24"/>
          <w:lang w:val="en-US" w:eastAsia="zh-CN" w:bidi="ar"/>
          <w:woUserID w:val="5"/>
        </w:rPr>
        <w:t>Across 2014 to 2024, BMW’s asset turnover stayed near 0.55, while Toyota’s fell from 0.67 to 0.55 and Volkswagen’s from 0.60 to 0.53. The decline may reflect transition-related investment, as EV platforms, battery facilities and new technologies expand the asset base before related revenue is fully realised. However, the trend should not be read simply as operating inefficiency, as differences in R&amp;D capitalisation, production disruptions and asset utilisation may affect comparability across the three companies. Finance, operations and R&amp;D teams should review asset utilisation, production ramp-up and project-level returns, consistent with capital allocation guidance on strategic budgeting, project selection and investment governance (BCG, 2023; McKinsey &amp; Company, 2022).</w:t>
      </w:r>
    </w:p>
    <w:p w14:paraId="71389AA4">
      <w:pPr>
        <w:pStyle w:val="3"/>
        <w:keepNext w:val="0"/>
        <w:keepLines w:val="0"/>
        <w:widowControl w:val="0"/>
        <w:suppressLineNumbers w:val="0"/>
        <w:bidi w:val="0"/>
        <w:spacing w:line="240" w:lineRule="auto"/>
        <w:ind w:left="0" w:right="0"/>
        <w:jc w:val="left"/>
        <w:rPr>
          <w:rFonts w:hint="default" w:ascii="Times New Roman" w:hAnsi="Times New Roman" w:eastAsia="Tahoma" w:cs="Times New Roman"/>
          <w:kern w:val="2"/>
          <w:lang w:val="en-US" w:eastAsia="zh" w:bidi="ar"/>
          <w:woUserID w:val="3"/>
        </w:rPr>
      </w:pPr>
      <w:bookmarkStart w:id="9" w:name="_Toc636867056"/>
      <w:r>
        <w:rPr>
          <w:rFonts w:hint="default" w:ascii="Times New Roman" w:hAnsi="Times New Roman" w:eastAsia="Tahoma" w:cs="Times New Roman"/>
          <w:kern w:val="2"/>
          <w:lang w:val="en-US" w:eastAsia="zh" w:bidi="ar"/>
          <w:woUserID w:val="5"/>
        </w:rPr>
        <w:t xml:space="preserve">2.5 </w:t>
      </w:r>
      <w:r>
        <w:rPr>
          <w:rFonts w:hint="default" w:ascii="Times New Roman" w:hAnsi="Times New Roman" w:eastAsia="Tahoma" w:cs="Times New Roman"/>
          <w:kern w:val="2"/>
          <w:lang w:val="en-US" w:eastAsia="zh" w:bidi="ar"/>
          <w:woUserID w:val="5"/>
        </w:rPr>
        <w:t>Capital Expenditure to Revenue Ratio</w:t>
      </w:r>
      <w:bookmarkEnd w:id="9"/>
    </w:p>
    <w:p w14:paraId="307450A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等线" w:cs="Times New Roman"/>
          <w:kern w:val="2"/>
          <w:sz w:val="24"/>
          <w:szCs w:val="24"/>
          <w:lang w:val="en-US" w:eastAsia="zh" w:bidi="ar"/>
          <w:woUserID w:val="1"/>
        </w:rPr>
      </w:pPr>
      <w:r>
        <w:rPr>
          <w:rFonts w:hint="default" w:ascii="Times New Roman" w:hAnsi="Times New Roman" w:eastAsia="等线" w:cs="Times New Roman"/>
          <w:kern w:val="2"/>
          <w:sz w:val="24"/>
          <w:szCs w:val="24"/>
          <w:lang w:val="en-US" w:eastAsia="zh" w:bidi="ar"/>
          <w:woUserID w:val="5"/>
        </w:rPr>
        <w:drawing>
          <wp:inline distT="0" distB="0" distL="114300" distR="114300">
            <wp:extent cx="4185285" cy="2387600"/>
            <wp:effectExtent l="0" t="0" r="5715" b="1270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4185285" cy="2387600"/>
                    </a:xfrm>
                    <a:prstGeom prst="rect">
                      <a:avLst/>
                    </a:prstGeom>
                  </pic:spPr>
                </pic:pic>
              </a:graphicData>
            </a:graphic>
          </wp:inline>
        </w:drawing>
      </w:r>
    </w:p>
    <w:p w14:paraId="49119602">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 w:bidi="ar"/>
          <w:woUserID w:val="5"/>
        </w:rPr>
      </w:pPr>
      <w:r>
        <w:rPr>
          <w:rFonts w:hint="default" w:ascii="Times New Roman" w:hAnsi="Times New Roman" w:eastAsia="Tahoma" w:cs="Times New Roman"/>
          <w:b/>
          <w:bCs/>
          <w:kern w:val="2"/>
          <w:sz w:val="24"/>
          <w:szCs w:val="24"/>
          <w:lang w:val="en-US" w:eastAsia="zh" w:bidi="ar"/>
          <w:woUserID w:val="5"/>
        </w:rPr>
        <w:t>Figure 5. Comparison of Capital Expenditure to Revenue Ratio</w:t>
      </w:r>
    </w:p>
    <w:p w14:paraId="1FBE63C6">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 w:bidi="ar"/>
          <w:woUserID w:val="5"/>
        </w:rPr>
      </w:pPr>
    </w:p>
    <w:p w14:paraId="5C9127A6">
      <w:pPr>
        <w:keepNext w:val="0"/>
        <w:keepLines w:val="0"/>
        <w:widowControl w:val="0"/>
        <w:suppressLineNumbers w:val="0"/>
        <w:bidi w:val="0"/>
        <w:spacing w:line="240" w:lineRule="auto"/>
        <w:ind w:left="0" w:right="0"/>
        <w:jc w:val="left"/>
        <w:rPr>
          <w:rFonts w:hint="default" w:ascii="Times New Roman" w:hAnsi="Times New Roman" w:eastAsia="Tahoma" w:cs="Times New Roman"/>
          <w:kern w:val="2"/>
          <w:sz w:val="24"/>
          <w:szCs w:val="32"/>
          <w:lang w:val="en-US" w:eastAsia="zh" w:bidi="ar"/>
          <w:woUserID w:val="5"/>
        </w:rPr>
      </w:pPr>
      <w:r>
        <w:rPr>
          <w:rFonts w:hint="default" w:ascii="Times New Roman" w:hAnsi="Times New Roman" w:eastAsia="Tahoma" w:cs="Times New Roman"/>
          <w:kern w:val="2"/>
          <w:sz w:val="24"/>
          <w:szCs w:val="32"/>
          <w:lang w:val="en-US" w:eastAsia="zh" w:bidi="ar"/>
          <w:woUserID w:val="5"/>
        </w:rPr>
        <w:t>Capital expenditure to revenue shows different transition-investment profiles in 2024: Toyota reached 11.2%, BMW 8.6%, and Volkswagen 5.3%. Toyota’s higher ratio suggests stronger investment intensity. However, as its asset turnover is falling, the company needs to pay closer attention to whether each major project can generate reasonable returns. Volkswagen’s lower ratio does not necessarily mean under-investment, but clearer disclosure of growth and maintenance Capex would help investors judge whether its spending is enough for the EV transition. BMW appears more balanced but should still monitor Capex returns. Finance teams should work with R&amp;D and investor relations to connect Capex plans with budgeting, project selection and investment review, so that transition spending can be assessed against strategic relevance and expected returns (BCG, 2023; McKinsey &amp; Company, 2022).</w:t>
      </w:r>
    </w:p>
    <w:p w14:paraId="69CC7551">
      <w:pPr>
        <w:pStyle w:val="3"/>
        <w:keepNext w:val="0"/>
        <w:keepLines w:val="0"/>
        <w:widowControl w:val="0"/>
        <w:suppressLineNumbers w:val="0"/>
        <w:bidi w:val="0"/>
        <w:spacing w:line="240" w:lineRule="auto"/>
        <w:ind w:left="0" w:right="0"/>
        <w:jc w:val="left"/>
        <w:rPr>
          <w:rFonts w:hint="default" w:ascii="Times New Roman" w:hAnsi="Times New Roman" w:eastAsia="等线" w:cs="Times New Roman"/>
          <w:kern w:val="2"/>
          <w:lang w:val="en-US" w:eastAsia="zh-CN" w:bidi="ar"/>
          <w:woUserID w:val="1"/>
        </w:rPr>
      </w:pPr>
      <w:bookmarkStart w:id="10" w:name="_Toc535099385"/>
      <w:r>
        <w:rPr>
          <w:rFonts w:hint="default" w:ascii="Times New Roman" w:hAnsi="Times New Roman" w:eastAsia="Tahoma" w:cs="Times New Roman"/>
          <w:kern w:val="2"/>
          <w:lang w:val="en-US" w:eastAsia="zh" w:bidi="ar"/>
          <w:woUserID w:val="5"/>
        </w:rPr>
        <w:t xml:space="preserve">2.6 </w:t>
      </w:r>
      <w:r>
        <w:rPr>
          <w:rFonts w:hint="default" w:ascii="Times New Roman" w:hAnsi="Times New Roman" w:eastAsia="Tahoma" w:cs="Times New Roman"/>
          <w:kern w:val="2"/>
          <w:lang w:val="en-US" w:eastAsia="zh" w:bidi="ar"/>
          <w:woUserID w:val="3"/>
        </w:rPr>
        <w:t xml:space="preserve">Account </w:t>
      </w:r>
      <w:r>
        <w:rPr>
          <w:rFonts w:hint="default" w:ascii="Times New Roman" w:hAnsi="Times New Roman" w:eastAsia="Tahoma" w:cs="Times New Roman"/>
          <w:kern w:val="2"/>
          <w:lang w:val="en-US" w:eastAsia="zh" w:bidi="ar"/>
          <w:woUserID w:val="5"/>
        </w:rPr>
        <w:t>R</w:t>
      </w:r>
      <w:r>
        <w:rPr>
          <w:rFonts w:hint="default" w:ascii="Times New Roman" w:hAnsi="Times New Roman" w:eastAsia="Tahoma" w:cs="Times New Roman"/>
          <w:kern w:val="2"/>
          <w:lang w:val="en-US" w:eastAsia="zh" w:bidi="ar"/>
          <w:woUserID w:val="3"/>
        </w:rPr>
        <w:t xml:space="preserve">eceivable </w:t>
      </w:r>
      <w:r>
        <w:rPr>
          <w:rFonts w:hint="default" w:ascii="Times New Roman" w:hAnsi="Times New Roman" w:eastAsia="Tahoma" w:cs="Times New Roman"/>
          <w:kern w:val="2"/>
          <w:lang w:val="en-US" w:eastAsia="zh" w:bidi="ar"/>
          <w:woUserID w:val="5"/>
        </w:rPr>
        <w:t>C</w:t>
      </w:r>
      <w:r>
        <w:rPr>
          <w:rFonts w:hint="default" w:ascii="Times New Roman" w:hAnsi="Times New Roman" w:eastAsia="Tahoma" w:cs="Times New Roman"/>
          <w:kern w:val="2"/>
          <w:lang w:val="en-US" w:eastAsia="zh" w:bidi="ar"/>
          <w:woUserID w:val="2"/>
        </w:rPr>
        <w:t>ollection</w:t>
      </w:r>
      <w:r>
        <w:rPr>
          <w:rFonts w:hint="default" w:ascii="Times New Roman" w:hAnsi="Times New Roman" w:eastAsia="Tahoma" w:cs="Times New Roman"/>
          <w:kern w:val="2"/>
          <w:lang w:val="en-US" w:eastAsia="zh" w:bidi="ar"/>
          <w:woUserID w:val="5"/>
        </w:rPr>
        <w:t xml:space="preserve"> Days</w:t>
      </w:r>
      <w:bookmarkEnd w:id="10"/>
    </w:p>
    <w:p w14:paraId="12CF162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等线" w:cs="Times New Roman"/>
          <w:kern w:val="2"/>
          <w:sz w:val="24"/>
          <w:szCs w:val="24"/>
          <w:lang w:eastAsia="zh" w:bidi="ar"/>
          <w:woUserID w:val="1"/>
        </w:rPr>
      </w:pPr>
      <w:r>
        <w:rPr>
          <w:rFonts w:hint="default" w:ascii="Times New Roman" w:hAnsi="Times New Roman" w:eastAsia="等线" w:cs="Times New Roman"/>
          <w:kern w:val="2"/>
          <w:sz w:val="24"/>
          <w:szCs w:val="24"/>
          <w:lang w:eastAsia="zh" w:bidi="ar"/>
          <w:woUserID w:val="1"/>
        </w:rPr>
        <w:drawing>
          <wp:inline distT="0" distB="0" distL="114300" distR="114300">
            <wp:extent cx="4185285" cy="2381885"/>
            <wp:effectExtent l="0" t="0" r="5715" b="184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4185285" cy="2381885"/>
                    </a:xfrm>
                    <a:prstGeom prst="rect">
                      <a:avLst/>
                    </a:prstGeom>
                  </pic:spPr>
                </pic:pic>
              </a:graphicData>
            </a:graphic>
          </wp:inline>
        </w:drawing>
      </w:r>
    </w:p>
    <w:p w14:paraId="35DB0F3B">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 w:bidi="ar"/>
          <w:woUserID w:val="5"/>
        </w:rPr>
      </w:pPr>
      <w:r>
        <w:rPr>
          <w:rFonts w:hint="default" w:ascii="Times New Roman" w:hAnsi="Times New Roman" w:eastAsia="Tahoma" w:cs="Times New Roman"/>
          <w:b/>
          <w:bCs/>
          <w:kern w:val="2"/>
          <w:sz w:val="24"/>
          <w:szCs w:val="24"/>
          <w:lang w:val="en-US" w:eastAsia="zh" w:bidi="ar"/>
          <w:woUserID w:val="5"/>
        </w:rPr>
        <w:t>Figure 6. Comparison of Accounts Receivable Collection Days</w:t>
      </w:r>
    </w:p>
    <w:p w14:paraId="037BB0B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 w:bidi="ar"/>
          <w:woUserID w:val="2"/>
        </w:rPr>
      </w:pPr>
    </w:p>
    <w:p w14:paraId="0952EFBB">
      <w:pPr>
        <w:keepNext w:val="0"/>
        <w:keepLines w:val="0"/>
        <w:widowControl w:val="0"/>
        <w:suppressLineNumbers w:val="0"/>
        <w:bidi w:val="0"/>
        <w:spacing w:line="240" w:lineRule="auto"/>
        <w:ind w:left="0" w:right="0"/>
        <w:jc w:val="both"/>
        <w:rPr>
          <w:rFonts w:hint="default" w:ascii="Times New Roman" w:hAnsi="Times New Roman" w:eastAsia="Tahoma" w:cs="Times New Roman"/>
          <w:kern w:val="2"/>
          <w:sz w:val="24"/>
          <w:szCs w:val="32"/>
          <w:lang w:val="en-US" w:eastAsia="zh" w:bidi="ar"/>
          <w:woUserID w:val="5"/>
        </w:rPr>
      </w:pPr>
      <w:r>
        <w:rPr>
          <w:rFonts w:hint="default" w:ascii="Times New Roman" w:hAnsi="Times New Roman" w:eastAsia="Tahoma" w:cs="Times New Roman"/>
          <w:kern w:val="2"/>
          <w:sz w:val="24"/>
          <w:szCs w:val="32"/>
          <w:lang w:val="en-US" w:eastAsia="zh" w:bidi="ar"/>
          <w:woUserID w:val="5"/>
        </w:rPr>
        <w:t>Receivable collection days reveal different levels of working-capital efficiency across the three companies. BMW improved from 9.8 days to 7.3 days, which suggests better dealer payment discipline and credit control. Volkswagen stayed relatively stable at about 24 days. By contrast, Toyota’s collection period increased from 29 days to 31 days, pointing to slower cash conversion, possibly linked to post-pandemic dealer support and longer credit terms. Since DSO shows how quickly a company collects cash from customers and affects liquidity, regular receivables review is still necessary (PwC, 2024). Toyota should strengthen credit-term control and ageing-report checks, while BMW and Volkswagen should continue monitoring receivables as EV sales and financing models change.</w:t>
      </w:r>
    </w:p>
    <w:p w14:paraId="6ADA383F">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lang w:val="en-US" w:bidi="ar"/>
          <w:woUserID w:val="5"/>
        </w:rPr>
      </w:pPr>
      <w:bookmarkStart w:id="11" w:name="_Toc2136710249"/>
      <w:r>
        <w:rPr>
          <w:rFonts w:hint="default" w:ascii="Times New Roman" w:hAnsi="Times New Roman" w:eastAsia="Tahoma" w:cs="Times New Roman"/>
          <w:kern w:val="2"/>
          <w:lang w:val="en-US" w:eastAsia="zh" w:bidi="ar"/>
          <w:woUserID w:val="5"/>
        </w:rPr>
        <w:t xml:space="preserve">2.7 </w:t>
      </w:r>
      <w:r>
        <w:rPr>
          <w:rFonts w:hint="default" w:ascii="Times New Roman" w:hAnsi="Times New Roman" w:eastAsia="Tahoma" w:cs="Times New Roman"/>
          <w:kern w:val="2"/>
          <w:lang w:val="en-US" w:eastAsia="zh-CN" w:bidi="ar"/>
          <w:woUserID w:val="5"/>
        </w:rPr>
        <w:t>Overall diagnosis</w:t>
      </w:r>
      <w:bookmarkEnd w:id="11"/>
    </w:p>
    <w:p w14:paraId="2C7D3928">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kern w:val="2"/>
          <w:sz w:val="24"/>
          <w:szCs w:val="24"/>
          <w:lang w:val="en-US" w:eastAsia="zh" w:bidi="ar"/>
          <w:woUserID w:val="5"/>
        </w:rPr>
      </w:pPr>
      <w:r>
        <w:rPr>
          <w:rFonts w:hint="default" w:ascii="Times New Roman" w:hAnsi="Times New Roman" w:eastAsia="Tahoma" w:cs="Times New Roman"/>
          <w:kern w:val="2"/>
          <w:sz w:val="24"/>
          <w:szCs w:val="24"/>
          <w:lang w:val="en-US" w:eastAsia="zh" w:bidi="ar"/>
          <w:woUserID w:val="5"/>
        </w:rPr>
        <w:t>Taken together, the ratio analysis points to four main concerns: Volkswagen’s weaker margin and ROCE, its higher leverage, Toyota’s high Capex-to-revenue ratio with declining asset turnover, and Toyota’s longer receivable collection period. These issues show that ratio movements should not be viewed as isolated accounting results. Finance teams need to work with operations, treasury, R&amp;D, investor relations and sales finance teams to convert these findings into practical actions on cost control, capital allocation, funding management and working-capital improvement.</w:t>
      </w:r>
    </w:p>
    <w:p w14:paraId="303C028E">
      <w:pPr>
        <w:rPr>
          <w:rFonts w:hint="default" w:ascii="Times New Roman" w:hAnsi="Times New Roman" w:cs="Times New Roman"/>
          <w:lang w:val="en-US" w:eastAsia="zh"/>
        </w:rPr>
      </w:pPr>
      <w:bookmarkStart w:id="12" w:name="_Toc1415147359"/>
    </w:p>
    <w:p w14:paraId="287779B4">
      <w:pPr>
        <w:pStyle w:val="2"/>
        <w:keepNext w:val="0"/>
        <w:keepLines w:val="0"/>
        <w:widowControl w:val="0"/>
        <w:numPr>
          <w:ilvl w:val="0"/>
          <w:numId w:val="3"/>
        </w:numPr>
        <w:suppressLineNumbers w:val="0"/>
        <w:bidi w:val="0"/>
        <w:spacing w:line="240" w:lineRule="auto"/>
        <w:ind w:left="0" w:leftChars="0" w:right="0" w:firstLine="0" w:firstLineChars="0"/>
        <w:jc w:val="both"/>
        <w:rPr>
          <w:rFonts w:hint="default" w:ascii="Times New Roman" w:hAnsi="Times New Roman" w:cs="Times New Roman"/>
          <w:lang w:val="en-US" w:eastAsia="zh"/>
        </w:rPr>
      </w:pPr>
      <w:r>
        <w:rPr>
          <w:rFonts w:hint="default" w:ascii="Times New Roman" w:hAnsi="Times New Roman" w:eastAsia="Tahoma" w:cs="Times New Roman"/>
          <w:kern w:val="2"/>
          <w:lang w:val="en-US" w:eastAsia="zh" w:bidi="ar"/>
          <w:woUserID w:val="7"/>
        </w:rPr>
        <w:t>Value Chain</w:t>
      </w:r>
      <w:r>
        <w:rPr>
          <w:rFonts w:hint="default" w:ascii="Times New Roman" w:hAnsi="Times New Roman" w:eastAsia="Tahoma" w:cs="Times New Roman"/>
          <w:kern w:val="2"/>
          <w:lang w:val="en-US" w:eastAsia="zh" w:bidi="ar"/>
          <w:woUserID w:val="5"/>
        </w:rPr>
        <w:t xml:space="preserve"> with a Risk Map, Materiality Assessment</w:t>
      </w:r>
      <w:bookmarkEnd w:id="12"/>
    </w:p>
    <w:p w14:paraId="5E31380D">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r>
        <w:rPr>
          <w:rFonts w:hint="default" w:ascii="Times New Roman" w:hAnsi="Times New Roman" w:eastAsia="Tahoma" w:cs="Times New Roman"/>
          <w:b w:val="0"/>
          <w:bCs w:val="0"/>
          <w:kern w:val="2"/>
          <w:sz w:val="24"/>
          <w:szCs w:val="24"/>
          <w:lang w:val="en-US" w:eastAsia="zh-CN" w:bidi="ar"/>
          <w:woUserID w:val="5"/>
        </w:rPr>
        <w:t xml:space="preserve">This section maps the main ESG risk hotspots across the automotive value chain for Volkswagen, BMW and Toyota, from raw materials to vehicle use and recycling. Figure </w:t>
      </w:r>
      <w:r>
        <w:rPr>
          <w:rFonts w:hint="eastAsia" w:ascii="Times New Roman" w:hAnsi="Times New Roman" w:eastAsia="Tahoma" w:cs="Times New Roman"/>
          <w:b w:val="0"/>
          <w:bCs w:val="0"/>
          <w:kern w:val="2"/>
          <w:sz w:val="24"/>
          <w:szCs w:val="24"/>
          <w:lang w:val="en-US" w:eastAsia="zh" w:bidi="ar"/>
          <w:woUserID w:val="5"/>
        </w:rPr>
        <w:t>7</w:t>
      </w:r>
      <w:r>
        <w:rPr>
          <w:rFonts w:hint="default" w:ascii="Times New Roman" w:hAnsi="Times New Roman" w:eastAsia="Tahoma" w:cs="Times New Roman"/>
          <w:b w:val="0"/>
          <w:bCs w:val="0"/>
          <w:kern w:val="2"/>
          <w:sz w:val="24"/>
          <w:szCs w:val="24"/>
          <w:lang w:val="en-US" w:eastAsia="zh-CN" w:bidi="ar"/>
          <w:woUserID w:val="5"/>
        </w:rPr>
        <w:t xml:space="preserve"> summarises these hotspots and their related KPIs.</w:t>
      </w:r>
    </w:p>
    <w:p w14:paraId="02491F1D">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p>
    <w:p w14:paraId="4DCCE333">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eastAsia="zh" w:bidi="ar"/>
          <w:woUserID w:val="1"/>
        </w:rPr>
      </w:pPr>
      <w:r>
        <w:rPr>
          <w:rFonts w:hint="default" w:ascii="Times New Roman" w:hAnsi="Times New Roman" w:eastAsia="Tahoma" w:cs="Times New Roman"/>
          <w:b w:val="0"/>
          <w:bCs w:val="0"/>
          <w:kern w:val="2"/>
          <w:sz w:val="24"/>
          <w:szCs w:val="24"/>
          <w:lang w:eastAsia="zh" w:bidi="ar"/>
          <w:woUserID w:val="1"/>
        </w:rPr>
        <w:drawing>
          <wp:inline distT="0" distB="0" distL="114300" distR="114300">
            <wp:extent cx="5789930" cy="3219450"/>
            <wp:effectExtent l="0" t="0" r="1270" b="0"/>
            <wp:docPr id="8" name="图片 8" descr="/data/weboffice/tmp/webword_4218246377/post_object_image_2312392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ata/weboffice/tmp/webword_4218246377/post_object_image_2312392714"/>
                    <pic:cNvPicPr>
                      <a:picLocks noChangeAspect="1"/>
                    </pic:cNvPicPr>
                  </pic:nvPicPr>
                  <pic:blipFill>
                    <a:blip r:embed="rId12"/>
                    <a:srcRect/>
                    <a:stretch>
                      <a:fillRect/>
                    </a:stretch>
                  </pic:blipFill>
                  <pic:spPr>
                    <a:xfrm>
                      <a:off x="0" y="0"/>
                      <a:ext cx="5789930" cy="3219450"/>
                    </a:xfrm>
                    <a:prstGeom prst="rect">
                      <a:avLst/>
                    </a:prstGeom>
                  </pic:spPr>
                </pic:pic>
              </a:graphicData>
            </a:graphic>
          </wp:inline>
        </w:drawing>
      </w:r>
    </w:p>
    <w:p w14:paraId="232D939B">
      <w:pPr>
        <w:keepNext w:val="0"/>
        <w:keepLines w:val="0"/>
        <w:widowControl w:val="0"/>
        <w:suppressLineNumbers w:val="0"/>
        <w:bidi w:val="0"/>
        <w:spacing w:line="240" w:lineRule="auto"/>
        <w:ind w:left="0" w:right="0"/>
        <w:jc w:val="center"/>
        <w:rPr>
          <w:rFonts w:hint="default" w:ascii="Times New Roman" w:hAnsi="Times New Roman" w:eastAsia="Tahoma" w:cs="Times New Roman"/>
          <w:b/>
          <w:bCs/>
          <w:kern w:val="2"/>
          <w:sz w:val="24"/>
          <w:szCs w:val="24"/>
          <w:lang w:val="en-US" w:eastAsia="zh" w:bidi="ar"/>
          <w:woUserID w:val="1"/>
        </w:rPr>
      </w:pPr>
      <w:r>
        <w:rPr>
          <w:rFonts w:hint="default" w:ascii="Times New Roman" w:hAnsi="Times New Roman" w:eastAsia="Tahoma" w:cs="Times New Roman"/>
          <w:b/>
          <w:bCs/>
          <w:kern w:val="2"/>
          <w:sz w:val="24"/>
          <w:szCs w:val="24"/>
          <w:lang w:val="en-US" w:eastAsia="zh" w:bidi="ar"/>
          <w:woUserID w:val="1"/>
        </w:rPr>
        <w:t>Figure 7. Automotive Value Chain: Key ESG Risks, Financial Impacts and KPIs</w:t>
      </w:r>
    </w:p>
    <w:p w14:paraId="3E24EC69">
      <w:pPr>
        <w:keepNext w:val="0"/>
        <w:keepLines w:val="0"/>
        <w:widowControl w:val="0"/>
        <w:suppressLineNumbers w:val="0"/>
        <w:bidi w:val="0"/>
        <w:spacing w:line="240" w:lineRule="auto"/>
        <w:ind w:left="0" w:right="0"/>
        <w:jc w:val="center"/>
        <w:rPr>
          <w:rFonts w:hint="default" w:ascii="Times New Roman" w:hAnsi="Times New Roman" w:eastAsia="Tahoma" w:cs="Times New Roman"/>
          <w:b/>
          <w:bCs/>
          <w:kern w:val="2"/>
          <w:sz w:val="24"/>
          <w:szCs w:val="24"/>
          <w:lang w:val="en-US" w:eastAsia="zh" w:bidi="ar"/>
          <w:woUserID w:val="1"/>
        </w:rPr>
      </w:pPr>
    </w:p>
    <w:p w14:paraId="3453D988">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kern w:val="2"/>
          <w:lang w:val="en-US" w:eastAsia="zh" w:bidi="ar"/>
          <w:woUserID w:val="2"/>
        </w:rPr>
      </w:pPr>
      <w:bookmarkStart w:id="13" w:name="_Toc2053810217"/>
      <w:r>
        <w:rPr>
          <w:rFonts w:hint="default" w:ascii="Times New Roman" w:hAnsi="Times New Roman" w:eastAsia="Tahoma" w:cs="Times New Roman"/>
          <w:kern w:val="2"/>
          <w:lang w:val="en-US" w:eastAsia="zh" w:bidi="ar"/>
          <w:woUserID w:val="5"/>
        </w:rPr>
        <w:t xml:space="preserve">3.1 </w:t>
      </w:r>
      <w:r>
        <w:rPr>
          <w:rFonts w:hint="default" w:ascii="Times New Roman" w:hAnsi="Times New Roman" w:eastAsia="Tahoma" w:cs="Times New Roman"/>
          <w:kern w:val="2"/>
          <w:lang w:val="en-US" w:eastAsia="zh" w:bidi="ar"/>
          <w:woUserID w:val="2"/>
        </w:rPr>
        <w:t>Battery/Critical minerals</w:t>
      </w:r>
      <w:bookmarkEnd w:id="13"/>
    </w:p>
    <w:p w14:paraId="497FA267">
      <w:pPr>
        <w:keepNext w:val="0"/>
        <w:keepLines w:val="0"/>
        <w:widowControl w:val="0"/>
        <w:suppressLineNumbers w:val="0"/>
        <w:bidi w:val="0"/>
        <w:spacing w:line="240" w:lineRule="auto"/>
        <w:ind w:left="0" w:right="0"/>
        <w:jc w:val="both"/>
        <w:rPr>
          <w:rFonts w:hint="default" w:ascii="Times New Roman" w:hAnsi="Times New Roman" w:eastAsia="Tahoma" w:cs="Times New Roman"/>
          <w:kern w:val="2"/>
          <w:sz w:val="24"/>
          <w:szCs w:val="32"/>
          <w:lang w:val="en-US" w:eastAsia="zh-CN" w:bidi="ar"/>
          <w:woUserID w:val="1"/>
        </w:rPr>
      </w:pPr>
      <w:r>
        <w:rPr>
          <w:rFonts w:hint="default" w:ascii="Times New Roman" w:hAnsi="Times New Roman" w:eastAsia="Tahoma" w:cs="Times New Roman"/>
          <w:kern w:val="2"/>
          <w:sz w:val="24"/>
          <w:szCs w:val="32"/>
          <w:lang w:val="en-US" w:eastAsia="zh-CN" w:bidi="ar"/>
          <w:woUserID w:val="5"/>
        </w:rPr>
        <w:t xml:space="preserve">The automotive value chain for electric vehicles </w:t>
      </w:r>
      <w:r>
        <w:rPr>
          <w:rFonts w:hint="default" w:ascii="Times New Roman" w:hAnsi="Times New Roman" w:eastAsia="Tahoma" w:cs="Times New Roman"/>
          <w:kern w:val="2"/>
          <w:sz w:val="24"/>
          <w:szCs w:val="32"/>
          <w:lang w:val="en-US" w:eastAsia="zh-CN" w:bidi="ar"/>
          <w:woUserID w:val="1"/>
        </w:rPr>
        <w:t>relies heavily on batteries and critical minerals such as lithium, cobalt and nickel, as these materials are essential for battery production and vehicle electrification.</w:t>
      </w:r>
      <w:r>
        <w:rPr>
          <w:rFonts w:hint="default" w:ascii="Times New Roman" w:hAnsi="Times New Roman" w:eastAsia="Tahoma" w:cs="Times New Roman"/>
          <w:kern w:val="2"/>
          <w:sz w:val="24"/>
          <w:szCs w:val="32"/>
          <w:lang w:val="en-US" w:eastAsia="zh-CN" w:bidi="ar"/>
          <w:woUserID w:val="5"/>
        </w:rPr>
        <w:t xml:space="preserve"> </w:t>
      </w:r>
      <w:r>
        <w:rPr>
          <w:rFonts w:hint="default" w:ascii="Times New Roman" w:hAnsi="Times New Roman" w:eastAsia="Tahoma" w:cs="Times New Roman"/>
          <w:kern w:val="2"/>
          <w:sz w:val="24"/>
          <w:szCs w:val="32"/>
          <w:lang w:val="en-US" w:eastAsia="zh-CN" w:bidi="ar"/>
          <w:woUserID w:val="1"/>
        </w:rPr>
        <w:t>For investors, this issue is financially material because mineral price volatility and supply disruptions can directly affect production costs and profitability. Tesla’s 2025 10-K notes that critical mineral prices are exposed to market volatility. At the same time, Home (2024) shows that battery prices continued to fall from 2023 to 2024, which may create inventory write-down risks for earlier high-cost contracts. To manage supply risks, EV firms may also need long-term supplier agreements, increasing future cash outflows (Tesla, 2025; Home, 2024; BMW Group, 2024).</w:t>
      </w:r>
    </w:p>
    <w:p w14:paraId="23D9EFCE">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kern w:val="2"/>
          <w:lang w:val="en-US" w:eastAsia="zh" w:bidi="ar"/>
          <w:woUserID w:val="2"/>
        </w:rPr>
      </w:pPr>
      <w:bookmarkStart w:id="14" w:name="_Toc595181020"/>
      <w:r>
        <w:rPr>
          <w:rFonts w:hint="default" w:ascii="Times New Roman" w:hAnsi="Times New Roman" w:eastAsia="Tahoma" w:cs="Times New Roman"/>
          <w:kern w:val="2"/>
          <w:lang w:val="en-US" w:eastAsia="zh" w:bidi="ar"/>
          <w:woUserID w:val="5"/>
        </w:rPr>
        <w:t xml:space="preserve">3.2 </w:t>
      </w:r>
      <w:r>
        <w:rPr>
          <w:rFonts w:hint="default" w:ascii="Times New Roman" w:hAnsi="Times New Roman" w:eastAsia="Tahoma" w:cs="Times New Roman"/>
          <w:kern w:val="2"/>
          <w:lang w:val="en-US" w:eastAsia="zh" w:bidi="ar"/>
          <w:woUserID w:val="2"/>
        </w:rPr>
        <w:t>Steel/Aluminium</w:t>
      </w:r>
      <w:bookmarkEnd w:id="14"/>
    </w:p>
    <w:p w14:paraId="25721E4C">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r>
        <w:rPr>
          <w:rFonts w:hint="default" w:ascii="Times New Roman" w:hAnsi="Times New Roman" w:eastAsia="Tahoma" w:cs="Times New Roman"/>
          <w:b w:val="0"/>
          <w:bCs w:val="0"/>
          <w:kern w:val="2"/>
          <w:sz w:val="24"/>
          <w:szCs w:val="24"/>
          <w:lang w:val="en-US" w:eastAsia="zh-CN" w:bidi="ar"/>
          <w:woUserID w:val="5"/>
        </w:rPr>
        <w:t>The use of steel and aluminium contributes to a large proportion of an EV’s carbon footprint. Every ton of steel emits 18.9-27.8g CO2/km and aluminium up to 33.1gCO2/km (Li, Zhu</w:t>
      </w:r>
      <w:r>
        <w:rPr>
          <w:rFonts w:hint="default" w:ascii="Times New Roman" w:hAnsi="Times New Roman" w:eastAsia="Tahoma" w:cs="Times New Roman"/>
          <w:b w:val="0"/>
          <w:bCs w:val="0"/>
          <w:kern w:val="2"/>
          <w:sz w:val="24"/>
          <w:szCs w:val="24"/>
          <w:lang w:val="en-US" w:eastAsia="zh" w:bidi="ar"/>
          <w:woUserID w:val="7"/>
        </w:rPr>
        <w:t xml:space="preserve"> and </w:t>
      </w:r>
      <w:r>
        <w:rPr>
          <w:rFonts w:hint="default" w:ascii="Times New Roman" w:hAnsi="Times New Roman" w:eastAsia="Tahoma" w:cs="Times New Roman"/>
          <w:b w:val="0"/>
          <w:bCs w:val="0"/>
          <w:kern w:val="2"/>
          <w:sz w:val="24"/>
          <w:szCs w:val="24"/>
          <w:lang w:val="en-US" w:eastAsia="zh-CN" w:bidi="ar"/>
          <w:woUserID w:val="5"/>
        </w:rPr>
        <w:t>Ding, 2025), making both highly exposed to carbon pricing. With EU ETS prices forecast to reach €122/t by 2030 (BloombergNEF, 2025), embedded carbon costs will rise sharply. Moreover, CBAM plans to expand coverage across the full value chain (Climease, 2025), meaning carmakers may face direct carbon charges on imported components and eventually finished vehicles. Investors should pay more attention to carmakers using green steel/aluminium and localised supply, as such manufacturers will better manage cost of sales and avoid contingent liabilities, while those relying on high-emission imports may face margin compression.</w:t>
      </w:r>
    </w:p>
    <w:p w14:paraId="79CD2200">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kern w:val="2"/>
          <w:lang w:val="en-US" w:eastAsia="zh" w:bidi="ar"/>
          <w:woUserID w:val="2"/>
        </w:rPr>
      </w:pPr>
      <w:bookmarkStart w:id="15" w:name="_Toc630847885"/>
      <w:r>
        <w:rPr>
          <w:rFonts w:hint="default" w:ascii="Times New Roman" w:hAnsi="Times New Roman" w:eastAsia="Tahoma" w:cs="Times New Roman"/>
          <w:kern w:val="2"/>
          <w:lang w:val="en-US" w:eastAsia="zh" w:bidi="ar"/>
          <w:woUserID w:val="5"/>
        </w:rPr>
        <w:t xml:space="preserve">3.3 </w:t>
      </w:r>
      <w:r>
        <w:rPr>
          <w:rFonts w:hint="default" w:ascii="Times New Roman" w:hAnsi="Times New Roman" w:eastAsia="Tahoma" w:cs="Times New Roman"/>
          <w:kern w:val="2"/>
          <w:lang w:val="en-US" w:eastAsia="zh" w:bidi="ar"/>
          <w:woUserID w:val="1"/>
        </w:rPr>
        <w:t>Logistics and supply chain resilience</w:t>
      </w:r>
      <w:bookmarkEnd w:id="15"/>
    </w:p>
    <w:p w14:paraId="53D7CD91">
      <w:pPr>
        <w:keepNext w:val="0"/>
        <w:keepLines w:val="0"/>
        <w:widowControl w:val="0"/>
        <w:suppressLineNumbers w:val="0"/>
        <w:bidi w:val="0"/>
        <w:spacing w:line="240" w:lineRule="auto"/>
        <w:ind w:left="0" w:right="0"/>
        <w:jc w:val="both"/>
        <w:rPr>
          <w:rFonts w:hint="eastAsia" w:ascii="Times New Roman" w:hAnsi="Times New Roman" w:eastAsia="Tahoma" w:cs="Times New Roman"/>
          <w:kern w:val="2"/>
          <w:sz w:val="24"/>
          <w:szCs w:val="32"/>
          <w:lang w:val="en-US" w:eastAsia="zh" w:bidi="ar"/>
          <w:woUserID w:val="1"/>
        </w:rPr>
      </w:pPr>
      <w:r>
        <w:rPr>
          <w:rFonts w:hint="default" w:ascii="Times New Roman" w:hAnsi="Times New Roman" w:eastAsia="Tahoma" w:cs="Times New Roman"/>
          <w:kern w:val="2"/>
          <w:sz w:val="24"/>
          <w:szCs w:val="32"/>
          <w:lang w:val="en-US" w:eastAsia="zh" w:bidi="ar"/>
          <w:woUserID w:val="5"/>
        </w:rPr>
        <w:t>For Volkswagen, BMW and Toyota, resilient logistics and supply chains are financially material because they support production continuity, cost control and regulatory compliance. BMW plans to increase BEV deliveries to 26.1% by 2025 while improving production energy efficiency (BMW Group, 2025). Volkswagen also aims to raise electrified vehicle deliveries while managing Scope 1 and Scope 2 emissions (Volkswagen Group, 2025). Toyota focuses on resource efficiency and supplier collaboration to manage battery materials and critical minerals (Toyota Motor Corporation, 2025b). Secure logistics and supply chains therefore help reduce disruption risks and support long-term shareholder value.</w:t>
      </w:r>
      <w:r>
        <w:rPr>
          <w:rFonts w:hint="eastAsia" w:ascii="Times New Roman" w:hAnsi="Times New Roman" w:eastAsia="Tahoma" w:cs="Times New Roman"/>
          <w:kern w:val="2"/>
          <w:sz w:val="24"/>
          <w:szCs w:val="32"/>
          <w:lang w:val="en-US" w:eastAsia="zh" w:bidi="ar"/>
          <w:woUserID w:val="5"/>
        </w:rPr>
        <w:t xml:space="preserve"> </w:t>
      </w:r>
    </w:p>
    <w:p w14:paraId="66CCB81A">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kern w:val="2"/>
          <w:lang w:val="en-US" w:eastAsia="zh" w:bidi="ar"/>
          <w:woUserID w:val="1"/>
        </w:rPr>
      </w:pPr>
      <w:bookmarkStart w:id="16" w:name="_Toc1953563286"/>
      <w:r>
        <w:rPr>
          <w:rFonts w:hint="default" w:ascii="Times New Roman" w:hAnsi="Times New Roman" w:eastAsia="Tahoma" w:cs="Times New Roman"/>
          <w:kern w:val="2"/>
          <w:lang w:val="en-US" w:eastAsia="zh" w:bidi="ar"/>
          <w:woUserID w:val="1"/>
        </w:rPr>
        <w:t>3.4 Manufacturing energy use</w:t>
      </w:r>
      <w:bookmarkEnd w:id="16"/>
    </w:p>
    <w:p w14:paraId="474B9F36">
      <w:pPr>
        <w:keepNext w:val="0"/>
        <w:keepLines w:val="0"/>
        <w:widowControl w:val="0"/>
        <w:suppressLineNumbers w:val="0"/>
        <w:bidi w:val="0"/>
        <w:spacing w:line="240" w:lineRule="auto"/>
        <w:ind w:left="0" w:right="0"/>
        <w:jc w:val="both"/>
        <w:rPr>
          <w:rFonts w:hint="default" w:ascii="Times New Roman" w:hAnsi="Times New Roman" w:eastAsia="Tahoma" w:cs="Times New Roman"/>
          <w:kern w:val="2"/>
          <w:sz w:val="24"/>
          <w:szCs w:val="32"/>
          <w:lang w:val="en-US" w:eastAsia="zh-CN" w:bidi="ar"/>
          <w:woUserID w:val="1"/>
        </w:rPr>
      </w:pPr>
      <w:r>
        <w:rPr>
          <w:rFonts w:hint="default" w:ascii="Times New Roman" w:hAnsi="Times New Roman" w:eastAsia="Tahoma" w:cs="Times New Roman"/>
          <w:kern w:val="2"/>
          <w:sz w:val="24"/>
          <w:szCs w:val="32"/>
          <w:lang w:val="en-US" w:eastAsia="zh-CN" w:bidi="ar"/>
          <w:woUserID w:val="5"/>
        </w:rPr>
        <w:t xml:space="preserve">Manufacturing energy use is financially material because decarbonising production can affect operating costs, Capex and exposure to carbon regulation (Volkswagen Group, 2025; BMW Group, 2025; Toyota Motor Corporation, 2025b). </w:t>
      </w:r>
      <w:r>
        <w:rPr>
          <w:rFonts w:hint="default" w:ascii="Times New Roman" w:hAnsi="Times New Roman" w:eastAsia="Tahoma" w:cs="Times New Roman"/>
          <w:kern w:val="2"/>
          <w:sz w:val="24"/>
          <w:szCs w:val="32"/>
          <w:lang w:val="en-US" w:eastAsia="zh-CN" w:bidi="ar"/>
          <w:woUserID w:val="1"/>
        </w:rPr>
        <w:t>Volkswagen aims to achieve annual energy savings of 4.9 million MWh by 2030 and had reached 3.5 million MWh by 2024, with 94% of production-site electricity sourced from external renewables (Volkswagen Group, 2025). BMW targets a 25% reduction in energy use per vehicle by 2030, while Toyota aims for carbon neutrality across global manufacturing plants by 2035 (BMW Group, 2025; Toyota Motor Corporation, 2025b). These targets matter to investors because they influence cost efficiency, investment needs and regulatory risk.</w:t>
      </w:r>
    </w:p>
    <w:p w14:paraId="4B6A3452">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kern w:val="2"/>
          <w:lang w:val="en-US" w:eastAsia="zh-CN" w:bidi="ar"/>
          <w:woUserID w:val="5"/>
        </w:rPr>
      </w:pPr>
      <w:bookmarkStart w:id="17" w:name="_Toc2066734090"/>
      <w:r>
        <w:rPr>
          <w:rFonts w:hint="default" w:ascii="Times New Roman" w:hAnsi="Times New Roman" w:eastAsia="Tahoma" w:cs="Times New Roman"/>
          <w:kern w:val="2"/>
          <w:lang w:val="en-US" w:eastAsia="zh" w:bidi="ar"/>
          <w:woUserID w:val="5"/>
        </w:rPr>
        <w:t>3.5 U</w:t>
      </w:r>
      <w:r>
        <w:rPr>
          <w:rFonts w:hint="default" w:ascii="Times New Roman" w:hAnsi="Times New Roman" w:eastAsia="Tahoma" w:cs="Times New Roman"/>
          <w:kern w:val="2"/>
          <w:lang w:val="en-US" w:eastAsia="zh-CN" w:bidi="ar"/>
          <w:woUserID w:val="5"/>
        </w:rPr>
        <w:t>se-phase emissions</w:t>
      </w:r>
      <w:bookmarkEnd w:id="17"/>
    </w:p>
    <w:p w14:paraId="7471BF79">
      <w:pPr>
        <w:keepNext w:val="0"/>
        <w:keepLines w:val="0"/>
        <w:widowControl w:val="0"/>
        <w:suppressLineNumbers w:val="0"/>
        <w:bidi w:val="0"/>
        <w:spacing w:line="240" w:lineRule="auto"/>
        <w:ind w:left="0" w:right="0"/>
        <w:jc w:val="both"/>
        <w:rPr>
          <w:rFonts w:hint="default" w:ascii="Times New Roman" w:hAnsi="Times New Roman" w:eastAsia="Tahoma" w:cs="Times New Roman"/>
          <w:kern w:val="2"/>
          <w:sz w:val="24"/>
          <w:szCs w:val="32"/>
          <w:lang w:val="en-US" w:eastAsia="zh" w:bidi="ar"/>
          <w:woUserID w:val="1"/>
        </w:rPr>
      </w:pPr>
      <w:r>
        <w:rPr>
          <w:rFonts w:hint="default" w:ascii="Times New Roman" w:hAnsi="Times New Roman" w:eastAsia="Tahoma" w:cs="Times New Roman"/>
          <w:kern w:val="2"/>
          <w:sz w:val="24"/>
          <w:szCs w:val="32"/>
          <w:lang w:val="en-US" w:eastAsia="zh" w:bidi="ar"/>
          <w:woUserID w:val="1"/>
        </w:rPr>
        <w:t>Stricter emission rules have made use-phase emissions a more important financial concern for Volkswagen, BMW and Toyota. Carmakers with higher average fleet emissions may face extra compliance costs, such as fines, carbon credit purchases or pooling arrangements. These costs could reduce EBIT and free cash flow, and may also push companies to invest more in EV development, battery technology and charging infrastructure. BMW appears to be in a stronger position because of its higher BEV share and lower fleet emissions. By comparison, Volkswagen and Toyota may face higher transition costs if their EV sales mix improves more slowly.</w:t>
      </w:r>
    </w:p>
    <w:p w14:paraId="0D850D1C">
      <w:pPr>
        <w:pStyle w:val="3"/>
        <w:keepNext w:val="0"/>
        <w:keepLines w:val="0"/>
        <w:widowControl/>
        <w:suppressLineNumbers w:val="0"/>
        <w:bidi w:val="0"/>
        <w:spacing w:line="240" w:lineRule="auto"/>
        <w:ind w:left="0" w:right="0"/>
        <w:jc w:val="left"/>
        <w:rPr>
          <w:rFonts w:hint="default" w:ascii="Times New Roman" w:hAnsi="Times New Roman" w:eastAsia="宋体" w:cs="Times New Roman"/>
          <w:i w:val="0"/>
          <w:iCs w:val="0"/>
          <w:caps w:val="0"/>
          <w:color w:val="000000"/>
          <w:spacing w:val="0"/>
          <w:kern w:val="0"/>
          <w:lang w:val="en-US" w:eastAsia="zh-CN" w:bidi="ar"/>
          <w:woUserID w:val="1"/>
        </w:rPr>
      </w:pPr>
      <w:bookmarkStart w:id="18" w:name="_Toc2020536143"/>
      <w:r>
        <w:rPr>
          <w:rFonts w:hint="default" w:ascii="Times New Roman" w:hAnsi="Times New Roman" w:eastAsia="宋体" w:cs="Times New Roman"/>
          <w:i w:val="0"/>
          <w:iCs w:val="0"/>
          <w:caps w:val="0"/>
          <w:color w:val="000000"/>
          <w:spacing w:val="0"/>
          <w:kern w:val="0"/>
          <w:lang w:val="en-US" w:eastAsia="zh" w:bidi="ar"/>
          <w:woUserID w:val="5"/>
        </w:rPr>
        <w:t xml:space="preserve">3.6 </w:t>
      </w:r>
      <w:r>
        <w:rPr>
          <w:rFonts w:hint="default" w:ascii="Times New Roman" w:hAnsi="Times New Roman" w:eastAsia="宋体" w:cs="Times New Roman"/>
          <w:i w:val="0"/>
          <w:iCs w:val="0"/>
          <w:caps w:val="0"/>
          <w:color w:val="000000"/>
          <w:spacing w:val="0"/>
          <w:kern w:val="0"/>
          <w:lang w:val="en-US" w:eastAsia="zh-CN" w:bidi="ar"/>
          <w:woUserID w:val="1"/>
        </w:rPr>
        <w:t>End</w:t>
      </w:r>
      <w:r>
        <w:rPr>
          <w:rFonts w:hint="default" w:ascii="Times New Roman" w:hAnsi="Times New Roman" w:eastAsia="宋体" w:cs="Times New Roman"/>
          <w:i w:val="0"/>
          <w:iCs w:val="0"/>
          <w:caps w:val="0"/>
          <w:color w:val="000000"/>
          <w:spacing w:val="0"/>
          <w:kern w:val="0"/>
          <w:lang w:val="en-US" w:eastAsia="zh" w:bidi="ar"/>
          <w:woUserID w:val="5"/>
        </w:rPr>
        <w:t>-</w:t>
      </w:r>
      <w:r>
        <w:rPr>
          <w:rFonts w:hint="default" w:ascii="Times New Roman" w:hAnsi="Times New Roman" w:eastAsia="宋体" w:cs="Times New Roman"/>
          <w:i w:val="0"/>
          <w:iCs w:val="0"/>
          <w:caps w:val="0"/>
          <w:color w:val="000000"/>
          <w:spacing w:val="0"/>
          <w:kern w:val="0"/>
          <w:lang w:val="en-US" w:eastAsia="zh-CN" w:bidi="ar"/>
          <w:woUserID w:val="1"/>
        </w:rPr>
        <w:t>of</w:t>
      </w:r>
      <w:r>
        <w:rPr>
          <w:rFonts w:hint="default" w:ascii="Times New Roman" w:hAnsi="Times New Roman" w:eastAsia="宋体" w:cs="Times New Roman"/>
          <w:i w:val="0"/>
          <w:iCs w:val="0"/>
          <w:caps w:val="0"/>
          <w:color w:val="000000"/>
          <w:spacing w:val="0"/>
          <w:kern w:val="0"/>
          <w:lang w:val="en-US" w:eastAsia="zh" w:bidi="ar"/>
          <w:woUserID w:val="5"/>
        </w:rPr>
        <w:t>-</w:t>
      </w:r>
      <w:r>
        <w:rPr>
          <w:rFonts w:hint="default" w:ascii="Times New Roman" w:hAnsi="Times New Roman" w:eastAsia="宋体" w:cs="Times New Roman"/>
          <w:i w:val="0"/>
          <w:iCs w:val="0"/>
          <w:caps w:val="0"/>
          <w:color w:val="000000"/>
          <w:spacing w:val="0"/>
          <w:kern w:val="0"/>
          <w:lang w:val="en-US" w:eastAsia="zh-CN" w:bidi="ar"/>
          <w:woUserID w:val="1"/>
        </w:rPr>
        <w:t>life recycling</w:t>
      </w:r>
      <w:bookmarkEnd w:id="18"/>
    </w:p>
    <w:p w14:paraId="4C46BE9E">
      <w:pPr>
        <w:keepNext w:val="0"/>
        <w:keepLines w:val="0"/>
        <w:widowControl w:val="0"/>
        <w:suppressLineNumbers w:val="0"/>
        <w:bidi w:val="0"/>
        <w:spacing w:line="240" w:lineRule="auto"/>
        <w:ind w:left="0" w:right="0"/>
        <w:jc w:val="both"/>
        <w:rPr>
          <w:rFonts w:hint="default" w:ascii="Times New Roman" w:hAnsi="Times New Roman" w:eastAsia="Tahoma" w:cs="Times New Roman"/>
          <w:kern w:val="2"/>
          <w:sz w:val="24"/>
          <w:szCs w:val="32"/>
          <w:lang w:val="en-US" w:eastAsia="zh" w:bidi="ar"/>
          <w:woUserID w:val="1"/>
        </w:rPr>
      </w:pPr>
      <w:r>
        <w:rPr>
          <w:rFonts w:hint="default" w:ascii="Times New Roman" w:hAnsi="Times New Roman" w:eastAsia="Tahoma" w:cs="Times New Roman"/>
          <w:kern w:val="2"/>
          <w:sz w:val="24"/>
          <w:szCs w:val="32"/>
          <w:lang w:val="en-US" w:eastAsia="zh" w:bidi="ar"/>
          <w:woUserID w:val="1"/>
        </w:rPr>
        <w:t>End-of-life recycling is financially material for Volkswagen, BMW and Toyota because vehicles and EV batteries contain valuable metals and critical materials. As EV production grows, weak collection, dismantling and battery recycling could raise compliance and waste-management costs, increase reliance on primary materials, and expose firms to raw material price volatility. Unclear recovery rates or recycled-content data may also weaken circular economy claims. For investors, effective recycling supports supply-chain resilience and long-term cost control. Key KPIs include vehicle recoverability rate, battery recycling rate and recycled material input.</w:t>
      </w:r>
    </w:p>
    <w:p w14:paraId="7AC15D35">
      <w:pPr>
        <w:pStyle w:val="3"/>
        <w:keepNext w:val="0"/>
        <w:keepLines w:val="0"/>
        <w:widowControl/>
        <w:suppressLineNumbers w:val="0"/>
        <w:bidi w:val="0"/>
        <w:spacing w:line="240" w:lineRule="auto"/>
        <w:ind w:left="0" w:right="0"/>
        <w:jc w:val="left"/>
        <w:rPr>
          <w:rFonts w:hint="default" w:ascii="Times New Roman" w:hAnsi="Times New Roman" w:eastAsia="宋体" w:cs="Times New Roman"/>
          <w:i w:val="0"/>
          <w:iCs w:val="0"/>
          <w:caps w:val="0"/>
          <w:color w:val="000000"/>
          <w:spacing w:val="0"/>
          <w:kern w:val="0"/>
          <w:lang w:val="en-US" w:eastAsia="zh" w:bidi="ar"/>
          <w:woUserID w:val="5"/>
        </w:rPr>
      </w:pPr>
      <w:bookmarkStart w:id="19" w:name="_Toc1330305240"/>
      <w:r>
        <w:rPr>
          <w:rFonts w:hint="default" w:ascii="Times New Roman" w:hAnsi="Times New Roman" w:eastAsia="宋体" w:cs="Times New Roman"/>
          <w:i w:val="0"/>
          <w:iCs w:val="0"/>
          <w:caps w:val="0"/>
          <w:color w:val="000000"/>
          <w:spacing w:val="0"/>
          <w:kern w:val="0"/>
          <w:lang w:val="en-US" w:eastAsia="zh" w:bidi="ar"/>
          <w:woUserID w:val="5"/>
        </w:rPr>
        <w:t xml:space="preserve">3.7 </w:t>
      </w:r>
      <w:r>
        <w:rPr>
          <w:rFonts w:hint="default" w:ascii="Times New Roman" w:hAnsi="Times New Roman" w:eastAsia="宋体" w:cs="Times New Roman"/>
          <w:i w:val="0"/>
          <w:iCs w:val="0"/>
          <w:caps w:val="0"/>
          <w:color w:val="000000"/>
          <w:spacing w:val="0"/>
          <w:kern w:val="0"/>
          <w:lang w:val="en-US" w:eastAsia="zh-CN" w:bidi="ar"/>
          <w:woUserID w:val="5"/>
        </w:rPr>
        <w:t>Materiality statement</w:t>
      </w:r>
      <w:bookmarkEnd w:id="19"/>
    </w:p>
    <w:p w14:paraId="1538C7D3">
      <w:pPr>
        <w:rPr>
          <w:rFonts w:hint="default" w:ascii="Times New Roman" w:hAnsi="Times New Roman" w:eastAsia="Tahoma" w:cs="Times New Roman"/>
          <w:b w:val="0"/>
          <w:bCs w:val="0"/>
          <w:kern w:val="2"/>
          <w:sz w:val="24"/>
          <w:szCs w:val="24"/>
          <w:lang w:val="en-US" w:eastAsia="zh" w:bidi="ar"/>
          <w:woUserID w:val="1"/>
        </w:rPr>
      </w:pPr>
      <w:r>
        <w:rPr>
          <w:rFonts w:hint="default" w:ascii="Times New Roman" w:hAnsi="Times New Roman" w:eastAsia="Tahoma" w:cs="Times New Roman"/>
          <w:b w:val="0"/>
          <w:bCs w:val="0"/>
          <w:kern w:val="2"/>
          <w:sz w:val="24"/>
          <w:szCs w:val="24"/>
          <w:lang w:val="en-US" w:eastAsia="zh" w:bidi="ar"/>
          <w:woUserID w:val="1"/>
        </w:rPr>
        <w:t>Overall, these ESG issues are financially material because they affect procurement costs, operating expenses, Capex, provisions, free cash flow and long-term value. Battery minerals, steel and aluminium mainly influence supply costs and production continuity, while manufacturing, logistics and use-phase emissions affect operational resilience and regulatory exposure. Recycling adds furth</w:t>
      </w:r>
      <w:r>
        <w:rPr>
          <w:rFonts w:hint="default" w:ascii="Times New Roman" w:hAnsi="Times New Roman" w:eastAsia="Tahoma" w:cs="Times New Roman"/>
          <w:b w:val="0"/>
          <w:bCs w:val="0"/>
          <w:kern w:val="2"/>
          <w:sz w:val="24"/>
          <w:szCs w:val="24"/>
          <w:lang w:val="en-US" w:eastAsia="zh" w:bidi="ar"/>
          <w:woUserID w:val="1"/>
        </w:rPr>
        <w:t>er risks through compliance costs and dependence on primary materials, so investors should assess these areas using the KPIs in Figure 7.</w:t>
      </w:r>
      <w:r>
        <w:rPr>
          <w:rFonts w:hint="default" w:ascii="Times New Roman" w:hAnsi="Times New Roman" w:eastAsia="Tahoma" w:cs="Times New Roman"/>
          <w:b w:val="0"/>
          <w:bCs w:val="0"/>
          <w:kern w:val="2"/>
          <w:sz w:val="24"/>
          <w:szCs w:val="24"/>
          <w:lang w:val="en-US" w:eastAsia="zh" w:bidi="ar"/>
          <w:woUserID w:val="1"/>
        </w:rPr>
        <w:br w:type="page"/>
      </w:r>
    </w:p>
    <w:p w14:paraId="546B8773">
      <w:pPr>
        <w:pStyle w:val="2"/>
        <w:keepNext w:val="0"/>
        <w:keepLines w:val="0"/>
        <w:widowControl w:val="0"/>
        <w:numPr>
          <w:ilvl w:val="0"/>
          <w:numId w:val="3"/>
        </w:numPr>
        <w:suppressLineNumbers w:val="0"/>
        <w:bidi w:val="0"/>
        <w:spacing w:line="240" w:lineRule="auto"/>
        <w:ind w:left="0" w:leftChars="0" w:right="0" w:firstLine="0" w:firstLineChars="0"/>
        <w:jc w:val="both"/>
        <w:rPr>
          <w:rFonts w:hint="default" w:ascii="Times New Roman" w:hAnsi="Times New Roman" w:eastAsia="Tahoma" w:cs="Times New Roman"/>
          <w:kern w:val="2"/>
          <w:lang w:val="en-US" w:eastAsia="zh" w:bidi="ar"/>
          <w:woUserID w:val="7"/>
        </w:rPr>
      </w:pPr>
      <w:bookmarkStart w:id="20" w:name="_Toc278350887"/>
      <w:r>
        <w:rPr>
          <w:rFonts w:hint="default" w:ascii="Times New Roman" w:hAnsi="Times New Roman" w:eastAsia="Tahoma" w:cs="Times New Roman"/>
          <w:kern w:val="2"/>
          <w:lang w:val="en-US" w:eastAsia="zh" w:bidi="ar"/>
          <w:woUserID w:val="7"/>
        </w:rPr>
        <w:t xml:space="preserve">Consistency </w:t>
      </w:r>
      <w:r>
        <w:rPr>
          <w:rFonts w:hint="default" w:ascii="Times New Roman" w:hAnsi="Times New Roman" w:eastAsia="Tahoma" w:cs="Times New Roman"/>
          <w:kern w:val="2"/>
          <w:lang w:val="en-US" w:eastAsia="zh" w:bidi="ar"/>
          <w:woUserID w:val="5"/>
        </w:rPr>
        <w:t>and</w:t>
      </w:r>
      <w:r>
        <w:rPr>
          <w:rFonts w:hint="default" w:ascii="Times New Roman" w:hAnsi="Times New Roman" w:eastAsia="Tahoma" w:cs="Times New Roman"/>
          <w:kern w:val="2"/>
          <w:lang w:val="en-US" w:eastAsia="zh" w:bidi="ar"/>
          <w:woUserID w:val="7"/>
        </w:rPr>
        <w:t xml:space="preserve"> Greenwashing Risk</w:t>
      </w:r>
      <w:bookmarkEnd w:id="20"/>
    </w:p>
    <w:p w14:paraId="10B823E2">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r>
        <w:rPr>
          <w:rFonts w:hint="default" w:ascii="Times New Roman" w:hAnsi="Times New Roman" w:eastAsia="Tahoma" w:cs="Times New Roman"/>
          <w:b w:val="0"/>
          <w:bCs w:val="0"/>
          <w:kern w:val="2"/>
          <w:sz w:val="24"/>
          <w:szCs w:val="24"/>
          <w:lang w:val="en-US" w:eastAsia="zh-CN" w:bidi="ar"/>
          <w:woUserID w:val="5"/>
        </w:rPr>
        <w:t xml:space="preserve">Narratives of sustainability transition can only be credible when they are backed by observable investment decisions, operational planning and verifiable reporting controls. In the case of automotive companies, </w:t>
      </w:r>
      <w:r>
        <w:rPr>
          <w:rFonts w:hint="eastAsia" w:ascii="Times New Roman" w:hAnsi="Times New Roman" w:eastAsia="Tahoma" w:cs="Times New Roman"/>
          <w:b w:val="0"/>
          <w:bCs w:val="0"/>
          <w:kern w:val="2"/>
          <w:sz w:val="24"/>
          <w:szCs w:val="24"/>
          <w:lang w:val="en-US" w:eastAsia="zh" w:bidi="ar"/>
          <w:woUserID w:val="5"/>
        </w:rPr>
        <w:t>the</w:t>
      </w:r>
      <w:r>
        <w:rPr>
          <w:rFonts w:hint="default" w:ascii="Times New Roman" w:hAnsi="Times New Roman" w:eastAsia="Tahoma" w:cs="Times New Roman"/>
          <w:b w:val="0"/>
          <w:bCs w:val="0"/>
          <w:kern w:val="2"/>
          <w:sz w:val="24"/>
          <w:szCs w:val="24"/>
          <w:lang w:val="en-US" w:eastAsia="zh-CN" w:bidi="ar"/>
          <w:woUserID w:val="5"/>
        </w:rPr>
        <w:t xml:space="preserve"> electrification, carbon reduction and clean mobility </w:t>
      </w:r>
      <w:r>
        <w:rPr>
          <w:rFonts w:hint="eastAsia" w:ascii="Times New Roman" w:hAnsi="Times New Roman" w:eastAsia="Tahoma" w:cs="Times New Roman"/>
          <w:b w:val="0"/>
          <w:bCs w:val="0"/>
          <w:kern w:val="2"/>
          <w:sz w:val="24"/>
          <w:szCs w:val="24"/>
          <w:lang w:val="en-US" w:eastAsia="zh" w:bidi="ar"/>
          <w:woUserID w:val="5"/>
        </w:rPr>
        <w:t xml:space="preserve">claims </w:t>
      </w:r>
      <w:r>
        <w:rPr>
          <w:rFonts w:hint="default" w:ascii="Times New Roman" w:hAnsi="Times New Roman" w:eastAsia="Tahoma" w:cs="Times New Roman"/>
          <w:b w:val="0"/>
          <w:bCs w:val="0"/>
          <w:kern w:val="2"/>
          <w:sz w:val="24"/>
          <w:szCs w:val="24"/>
          <w:lang w:val="en-US" w:eastAsia="zh-CN" w:bidi="ar"/>
          <w:woUserID w:val="5"/>
        </w:rPr>
        <w:t>should be evaluated against Capex, R&amp;D, capacity planning and evidence quality. This section discusses Volkswagen, BMW and Toyota using selected greenwashing cases and assesses whether their claims are clearly defined, financially consistent and auditable.</w:t>
      </w:r>
    </w:p>
    <w:p w14:paraId="7B99B784">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bookmarkStart w:id="21" w:name="_Toc280367906"/>
      <w:r>
        <w:rPr>
          <w:rFonts w:hint="default" w:ascii="Times New Roman" w:hAnsi="Times New Roman" w:eastAsia="Tahoma" w:cs="Times New Roman"/>
          <w:kern w:val="2"/>
          <w:lang w:val="en-US" w:eastAsia="zh-CN" w:bidi="ar"/>
          <w:woUserID w:val="5"/>
        </w:rPr>
        <w:t>4.1 Volkswagen Group</w:t>
      </w:r>
      <w:bookmarkEnd w:id="21"/>
    </w:p>
    <w:p w14:paraId="2250B52A">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r>
        <w:rPr>
          <w:rFonts w:hint="default" w:ascii="Times New Roman" w:hAnsi="Times New Roman" w:eastAsia="Tahoma" w:cs="Times New Roman"/>
          <w:b w:val="0"/>
          <w:bCs w:val="0"/>
          <w:kern w:val="2"/>
          <w:sz w:val="24"/>
          <w:szCs w:val="24"/>
          <w:lang w:val="en-US" w:eastAsia="zh-CN" w:bidi="ar"/>
          <w:woUserID w:val="5"/>
        </w:rPr>
        <w:t>The Dieselgate scandal of Volkswagen Group represents a say-do gap and compliance-control risk in environmental disclosure. The defeat devices showed a</w:t>
      </w:r>
      <w:r>
        <w:rPr>
          <w:rFonts w:hint="eastAsia" w:ascii="Times New Roman" w:hAnsi="Times New Roman" w:eastAsia="Tahoma" w:cs="Times New Roman"/>
          <w:b w:val="0"/>
          <w:bCs w:val="0"/>
          <w:kern w:val="2"/>
          <w:sz w:val="24"/>
          <w:szCs w:val="24"/>
          <w:lang w:val="en-US" w:eastAsia="zh" w:bidi="ar"/>
          <w:woUserID w:val="5"/>
        </w:rPr>
        <w:t>n</w:t>
      </w:r>
      <w:r>
        <w:rPr>
          <w:rFonts w:hint="default" w:ascii="Times New Roman" w:hAnsi="Times New Roman" w:eastAsia="Tahoma" w:cs="Times New Roman"/>
          <w:b w:val="0"/>
          <w:bCs w:val="0"/>
          <w:kern w:val="2"/>
          <w:sz w:val="24"/>
          <w:szCs w:val="24"/>
          <w:lang w:val="en-US" w:eastAsia="zh-CN" w:bidi="ar"/>
          <w:woUserID w:val="5"/>
        </w:rPr>
        <w:t xml:space="preserve"> </w:t>
      </w:r>
      <w:r>
        <w:rPr>
          <w:rFonts w:hint="eastAsia" w:ascii="Times New Roman" w:hAnsi="Times New Roman" w:eastAsia="Tahoma" w:cs="Times New Roman"/>
          <w:b w:val="0"/>
          <w:bCs w:val="0"/>
          <w:kern w:val="2"/>
          <w:sz w:val="24"/>
          <w:szCs w:val="24"/>
          <w:lang w:val="en-US" w:eastAsia="zh" w:bidi="ar"/>
          <w:woUserID w:val="5"/>
        </w:rPr>
        <w:t>i</w:t>
      </w:r>
      <w:r>
        <w:rPr>
          <w:rFonts w:hint="default" w:ascii="Times New Roman" w:hAnsi="Times New Roman" w:eastAsia="Tahoma" w:cs="Times New Roman"/>
          <w:b w:val="0"/>
          <w:bCs w:val="0"/>
          <w:kern w:val="2"/>
          <w:sz w:val="24"/>
          <w:szCs w:val="24"/>
          <w:lang w:val="en-US" w:eastAsia="zh-CN" w:bidi="ar"/>
          <w:woUserID w:val="5"/>
        </w:rPr>
        <w:t>m</w:t>
      </w:r>
      <w:r>
        <w:rPr>
          <w:rFonts w:hint="eastAsia" w:ascii="Times New Roman" w:hAnsi="Times New Roman" w:eastAsia="Tahoma" w:cs="Times New Roman"/>
          <w:b w:val="0"/>
          <w:bCs w:val="0"/>
          <w:kern w:val="2"/>
          <w:sz w:val="24"/>
          <w:szCs w:val="24"/>
          <w:lang w:val="en-US" w:eastAsia="zh" w:bidi="ar"/>
          <w:woUserID w:val="5"/>
        </w:rPr>
        <w:t>balance</w:t>
      </w:r>
      <w:r>
        <w:rPr>
          <w:rFonts w:hint="default" w:ascii="Times New Roman" w:hAnsi="Times New Roman" w:eastAsia="Tahoma" w:cs="Times New Roman"/>
          <w:b w:val="0"/>
          <w:bCs w:val="0"/>
          <w:kern w:val="2"/>
          <w:sz w:val="24"/>
          <w:szCs w:val="24"/>
          <w:lang w:val="en-US" w:eastAsia="zh-CN" w:bidi="ar"/>
          <w:woUserID w:val="5"/>
        </w:rPr>
        <w:t xml:space="preserve"> between environmental </w:t>
      </w:r>
      <w:r>
        <w:rPr>
          <w:rFonts w:hint="eastAsia" w:ascii="Times New Roman" w:hAnsi="Times New Roman" w:eastAsia="Tahoma" w:cs="Times New Roman"/>
          <w:b w:val="0"/>
          <w:bCs w:val="0"/>
          <w:kern w:val="2"/>
          <w:sz w:val="24"/>
          <w:szCs w:val="24"/>
          <w:lang w:val="en-US" w:eastAsia="zh" w:bidi="ar"/>
          <w:woUserID w:val="5"/>
        </w:rPr>
        <w:t>assertion</w:t>
      </w:r>
      <w:r>
        <w:rPr>
          <w:rFonts w:hint="default" w:ascii="Times New Roman" w:hAnsi="Times New Roman" w:eastAsia="Tahoma" w:cs="Times New Roman"/>
          <w:b w:val="0"/>
          <w:bCs w:val="0"/>
          <w:kern w:val="2"/>
          <w:sz w:val="24"/>
          <w:szCs w:val="24"/>
          <w:lang w:val="en-US" w:eastAsia="zh-CN" w:bidi="ar"/>
          <w:woUserID w:val="5"/>
        </w:rPr>
        <w:t xml:space="preserve">s and operational </w:t>
      </w:r>
      <w:r>
        <w:rPr>
          <w:rFonts w:hint="eastAsia" w:ascii="Times New Roman" w:hAnsi="Times New Roman" w:eastAsia="Tahoma" w:cs="Times New Roman"/>
          <w:b w:val="0"/>
          <w:bCs w:val="0"/>
          <w:kern w:val="2"/>
          <w:sz w:val="24"/>
          <w:szCs w:val="24"/>
          <w:lang w:val="en-US" w:eastAsia="zh" w:bidi="ar"/>
          <w:woUserID w:val="5"/>
        </w:rPr>
        <w:t>management</w:t>
      </w:r>
      <w:r>
        <w:rPr>
          <w:rFonts w:hint="default" w:ascii="Times New Roman" w:hAnsi="Times New Roman" w:eastAsia="Tahoma" w:cs="Times New Roman"/>
          <w:b w:val="0"/>
          <w:bCs w:val="0"/>
          <w:kern w:val="2"/>
          <w:sz w:val="24"/>
          <w:szCs w:val="24"/>
          <w:lang w:val="en-US" w:eastAsia="zh-CN" w:bidi="ar"/>
          <w:woUserID w:val="5"/>
        </w:rPr>
        <w:t xml:space="preserve">, which resulted in direct financial impacts. In 2016 and 2017, Volkswagen reported special charges of €7.52 billion and €3.22 billion respectively, predominantly relating to settlements with the US authorities and compensation to </w:t>
      </w:r>
      <w:r>
        <w:rPr>
          <w:rFonts w:hint="eastAsia" w:ascii="Times New Roman" w:hAnsi="Times New Roman" w:eastAsia="Tahoma" w:cs="Times New Roman"/>
          <w:b w:val="0"/>
          <w:bCs w:val="0"/>
          <w:kern w:val="2"/>
          <w:sz w:val="24"/>
          <w:szCs w:val="24"/>
          <w:lang w:val="en-US" w:eastAsia="zh" w:bidi="ar"/>
          <w:woUserID w:val="5"/>
        </w:rPr>
        <w:t xml:space="preserve">its </w:t>
      </w:r>
      <w:r>
        <w:rPr>
          <w:rFonts w:hint="default" w:ascii="Times New Roman" w:hAnsi="Times New Roman" w:eastAsia="Tahoma" w:cs="Times New Roman"/>
          <w:b w:val="0"/>
          <w:bCs w:val="0"/>
          <w:kern w:val="2"/>
          <w:sz w:val="24"/>
          <w:szCs w:val="24"/>
          <w:lang w:val="en-US" w:eastAsia="zh-CN" w:bidi="ar"/>
          <w:woUserID w:val="5"/>
        </w:rPr>
        <w:t xml:space="preserve">affected customers (Volkswagen AG, 2017a; Volkswagen AG, 2017b). It also </w:t>
      </w:r>
      <w:r>
        <w:rPr>
          <w:rFonts w:hint="eastAsia" w:ascii="Times New Roman" w:hAnsi="Times New Roman" w:eastAsia="Tahoma" w:cs="Times New Roman"/>
          <w:b w:val="0"/>
          <w:bCs w:val="0"/>
          <w:kern w:val="2"/>
          <w:sz w:val="24"/>
          <w:szCs w:val="24"/>
          <w:lang w:val="en-US" w:eastAsia="zh" w:bidi="ar"/>
          <w:woUserID w:val="5"/>
        </w:rPr>
        <w:t>agreed</w:t>
      </w:r>
      <w:r>
        <w:rPr>
          <w:rFonts w:hint="default" w:ascii="Times New Roman" w:hAnsi="Times New Roman" w:eastAsia="Tahoma" w:cs="Times New Roman"/>
          <w:b w:val="0"/>
          <w:bCs w:val="0"/>
          <w:kern w:val="2"/>
          <w:sz w:val="24"/>
          <w:szCs w:val="24"/>
          <w:lang w:val="en-US" w:eastAsia="zh-CN" w:bidi="ar"/>
          <w:woUserID w:val="5"/>
        </w:rPr>
        <w:t xml:space="preserve"> to pay up to $14.7 billion in order to settle </w:t>
      </w:r>
      <w:r>
        <w:rPr>
          <w:rFonts w:hint="eastAsia" w:ascii="Times New Roman" w:hAnsi="Times New Roman" w:eastAsia="Tahoma" w:cs="Times New Roman"/>
          <w:b w:val="0"/>
          <w:bCs w:val="0"/>
          <w:kern w:val="2"/>
          <w:sz w:val="24"/>
          <w:szCs w:val="24"/>
          <w:lang w:val="en-US" w:eastAsia="zh" w:bidi="ar"/>
          <w:woUserID w:val="5"/>
        </w:rPr>
        <w:t>the</w:t>
      </w:r>
      <w:r>
        <w:rPr>
          <w:rFonts w:hint="default" w:ascii="Times New Roman" w:hAnsi="Times New Roman" w:eastAsia="Tahoma" w:cs="Times New Roman"/>
          <w:b w:val="0"/>
          <w:bCs w:val="0"/>
          <w:kern w:val="2"/>
          <w:sz w:val="24"/>
          <w:szCs w:val="24"/>
          <w:lang w:val="en-US" w:eastAsia="zh-CN" w:bidi="ar"/>
          <w:woUserID w:val="5"/>
        </w:rPr>
        <w:t xml:space="preserve"> claims </w:t>
      </w:r>
      <w:r>
        <w:rPr>
          <w:rFonts w:hint="eastAsia" w:ascii="Times New Roman" w:hAnsi="Times New Roman" w:eastAsia="Tahoma" w:cs="Times New Roman"/>
          <w:b w:val="0"/>
          <w:bCs w:val="0"/>
          <w:kern w:val="2"/>
          <w:sz w:val="24"/>
          <w:szCs w:val="24"/>
          <w:lang w:val="en-US" w:eastAsia="zh" w:bidi="ar"/>
          <w:woUserID w:val="5"/>
        </w:rPr>
        <w:t xml:space="preserve">of emissions </w:t>
      </w:r>
      <w:r>
        <w:rPr>
          <w:rFonts w:hint="default" w:ascii="Times New Roman" w:hAnsi="Times New Roman" w:eastAsia="Tahoma" w:cs="Times New Roman"/>
          <w:b w:val="0"/>
          <w:bCs w:val="0"/>
          <w:kern w:val="2"/>
          <w:sz w:val="24"/>
          <w:szCs w:val="24"/>
          <w:lang w:val="en-US" w:eastAsia="zh-CN" w:bidi="ar"/>
          <w:woUserID w:val="5"/>
        </w:rPr>
        <w:t xml:space="preserve">in the United States (CCTV, 2016). This demonstrates that a low degree of assurance over environmental </w:t>
      </w:r>
      <w:r>
        <w:rPr>
          <w:rFonts w:hint="eastAsia" w:ascii="Times New Roman" w:hAnsi="Times New Roman" w:eastAsia="Tahoma" w:cs="Times New Roman"/>
          <w:b w:val="0"/>
          <w:bCs w:val="0"/>
          <w:kern w:val="2"/>
          <w:sz w:val="24"/>
          <w:szCs w:val="24"/>
          <w:lang w:val="en-US" w:eastAsia="zh" w:bidi="ar"/>
          <w:woUserID w:val="5"/>
        </w:rPr>
        <w:t>assertion</w:t>
      </w:r>
      <w:r>
        <w:rPr>
          <w:rFonts w:hint="default" w:ascii="Times New Roman" w:hAnsi="Times New Roman" w:eastAsia="Tahoma" w:cs="Times New Roman"/>
          <w:b w:val="0"/>
          <w:bCs w:val="0"/>
          <w:kern w:val="2"/>
          <w:sz w:val="24"/>
          <w:szCs w:val="24"/>
          <w:lang w:val="en-US" w:eastAsia="zh-CN" w:bidi="ar"/>
          <w:woUserID w:val="5"/>
        </w:rPr>
        <w:t>s may have an impact on provisions, litigation exposure, cash outflows and investor confidence.</w:t>
      </w:r>
    </w:p>
    <w:p w14:paraId="0E9ECDF5">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p>
    <w:p w14:paraId="39C1F514">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r>
        <w:rPr>
          <w:rFonts w:hint="default" w:ascii="Times New Roman" w:hAnsi="Times New Roman" w:eastAsia="Tahoma" w:cs="Times New Roman"/>
          <w:b w:val="0"/>
          <w:bCs w:val="0"/>
          <w:kern w:val="2"/>
          <w:sz w:val="24"/>
          <w:szCs w:val="24"/>
          <w:lang w:val="en-US" w:eastAsia="zh-CN" w:bidi="ar"/>
          <w:woUserID w:val="5"/>
        </w:rPr>
        <w:t xml:space="preserve">It also extended to operations: in 2017, Volkswagen incurred an extra €2.8 billion special expense for Tiguan and Golf recalls, demonstrating greater operational and reputational risks in a complex manufacturing network (Volkswagen AG, 2017b). Volkswagen has responded to this through internal reforms, such as the Special Committee on Diesel Engines, compliance training and internal-control improvements (Volkswagen AG, 2017a; Volkswagen AG, 2017b). To minimize </w:t>
      </w:r>
      <w:r>
        <w:rPr>
          <w:rFonts w:hint="eastAsia" w:ascii="Times New Roman" w:hAnsi="Times New Roman" w:eastAsia="Tahoma" w:cs="Times New Roman"/>
          <w:b w:val="0"/>
          <w:bCs w:val="0"/>
          <w:kern w:val="2"/>
          <w:sz w:val="24"/>
          <w:szCs w:val="24"/>
          <w:lang w:val="en-US" w:eastAsia="zh" w:bidi="ar"/>
          <w:woUserID w:val="5"/>
        </w:rPr>
        <w:t xml:space="preserve">the </w:t>
      </w:r>
      <w:r>
        <w:rPr>
          <w:rFonts w:hint="default" w:ascii="Times New Roman" w:hAnsi="Times New Roman" w:eastAsia="Tahoma" w:cs="Times New Roman"/>
          <w:b w:val="0"/>
          <w:bCs w:val="0"/>
          <w:kern w:val="2"/>
          <w:sz w:val="24"/>
          <w:szCs w:val="24"/>
          <w:lang w:val="en-US" w:eastAsia="zh-CN" w:bidi="ar"/>
          <w:woUserID w:val="5"/>
        </w:rPr>
        <w:t>risk</w:t>
      </w:r>
      <w:r>
        <w:rPr>
          <w:rFonts w:hint="eastAsia" w:ascii="Times New Roman" w:hAnsi="Times New Roman" w:eastAsia="Tahoma" w:cs="Times New Roman"/>
          <w:b w:val="0"/>
          <w:bCs w:val="0"/>
          <w:kern w:val="2"/>
          <w:sz w:val="24"/>
          <w:szCs w:val="24"/>
          <w:lang w:val="en-US" w:eastAsia="zh" w:bidi="ar"/>
          <w:woUserID w:val="5"/>
        </w:rPr>
        <w:t xml:space="preserve"> in the future</w:t>
      </w:r>
      <w:r>
        <w:rPr>
          <w:rFonts w:hint="default" w:ascii="Times New Roman" w:hAnsi="Times New Roman" w:eastAsia="Tahoma" w:cs="Times New Roman"/>
          <w:b w:val="0"/>
          <w:bCs w:val="0"/>
          <w:kern w:val="2"/>
          <w:sz w:val="24"/>
          <w:szCs w:val="24"/>
          <w:lang w:val="en-US" w:eastAsia="zh-CN" w:bidi="ar"/>
          <w:woUserID w:val="5"/>
        </w:rPr>
        <w:t xml:space="preserve">, it should maintain </w:t>
      </w:r>
      <w:r>
        <w:rPr>
          <w:rFonts w:hint="eastAsia" w:ascii="Times New Roman" w:hAnsi="Times New Roman" w:eastAsia="Tahoma" w:cs="Times New Roman"/>
          <w:b w:val="0"/>
          <w:bCs w:val="0"/>
          <w:kern w:val="2"/>
          <w:sz w:val="24"/>
          <w:szCs w:val="24"/>
          <w:lang w:val="en-US" w:eastAsia="zh" w:bidi="ar"/>
          <w:woUserID w:val="5"/>
        </w:rPr>
        <w:t xml:space="preserve">the </w:t>
      </w:r>
      <w:r>
        <w:rPr>
          <w:rFonts w:hint="default" w:ascii="Times New Roman" w:hAnsi="Times New Roman" w:eastAsia="Tahoma" w:cs="Times New Roman"/>
          <w:b w:val="0"/>
          <w:bCs w:val="0"/>
          <w:kern w:val="2"/>
          <w:sz w:val="24"/>
          <w:szCs w:val="24"/>
          <w:lang w:val="en-US" w:eastAsia="zh-CN" w:bidi="ar"/>
          <w:woUserID w:val="5"/>
        </w:rPr>
        <w:t xml:space="preserve">independent emissions testing, enhance </w:t>
      </w:r>
      <w:r>
        <w:rPr>
          <w:rFonts w:hint="eastAsia" w:ascii="Times New Roman" w:hAnsi="Times New Roman" w:eastAsia="Tahoma" w:cs="Times New Roman"/>
          <w:b w:val="0"/>
          <w:bCs w:val="0"/>
          <w:kern w:val="2"/>
          <w:sz w:val="24"/>
          <w:szCs w:val="24"/>
          <w:lang w:val="en-US" w:eastAsia="zh" w:bidi="ar"/>
          <w:woUserID w:val="5"/>
        </w:rPr>
        <w:t xml:space="preserve">the </w:t>
      </w:r>
      <w:r>
        <w:rPr>
          <w:rFonts w:hint="default" w:ascii="Times New Roman" w:hAnsi="Times New Roman" w:eastAsia="Tahoma" w:cs="Times New Roman"/>
          <w:b w:val="0"/>
          <w:bCs w:val="0"/>
          <w:kern w:val="2"/>
          <w:sz w:val="24"/>
          <w:szCs w:val="24"/>
          <w:lang w:val="en-US" w:eastAsia="zh-CN" w:bidi="ar"/>
          <w:woUserID w:val="5"/>
        </w:rPr>
        <w:t xml:space="preserve">whistleblowing provisions, and the </w:t>
      </w:r>
      <w:r>
        <w:rPr>
          <w:rFonts w:hint="eastAsia" w:ascii="Times New Roman" w:hAnsi="Times New Roman" w:eastAsia="Tahoma" w:cs="Times New Roman"/>
          <w:b w:val="0"/>
          <w:bCs w:val="0"/>
          <w:kern w:val="2"/>
          <w:sz w:val="24"/>
          <w:szCs w:val="24"/>
          <w:lang w:val="en-US" w:eastAsia="zh" w:bidi="ar"/>
          <w:woUserID w:val="5"/>
        </w:rPr>
        <w:t xml:space="preserve">responsibility of </w:t>
      </w:r>
      <w:r>
        <w:rPr>
          <w:rFonts w:hint="default" w:ascii="Times New Roman" w:hAnsi="Times New Roman" w:eastAsia="Tahoma" w:cs="Times New Roman"/>
          <w:b w:val="0"/>
          <w:bCs w:val="0"/>
          <w:kern w:val="2"/>
          <w:sz w:val="24"/>
          <w:szCs w:val="24"/>
          <w:lang w:val="en-US" w:eastAsia="zh-CN" w:bidi="ar"/>
          <w:woUserID w:val="5"/>
        </w:rPr>
        <w:t>review</w:t>
      </w:r>
      <w:r>
        <w:rPr>
          <w:rFonts w:hint="eastAsia" w:ascii="Times New Roman" w:hAnsi="Times New Roman" w:eastAsia="Tahoma" w:cs="Times New Roman"/>
          <w:b w:val="0"/>
          <w:bCs w:val="0"/>
          <w:kern w:val="2"/>
          <w:sz w:val="24"/>
          <w:szCs w:val="24"/>
          <w:lang w:val="en-US" w:eastAsia="zh" w:bidi="ar"/>
          <w:woUserID w:val="5"/>
        </w:rPr>
        <w:t xml:space="preserve">ing the </w:t>
      </w:r>
      <w:r>
        <w:rPr>
          <w:rFonts w:hint="default" w:ascii="Times New Roman" w:hAnsi="Times New Roman" w:eastAsia="Tahoma" w:cs="Times New Roman"/>
          <w:b w:val="0"/>
          <w:bCs w:val="0"/>
          <w:kern w:val="2"/>
          <w:sz w:val="24"/>
          <w:szCs w:val="24"/>
          <w:lang w:val="en-US" w:eastAsia="zh-CN" w:bidi="ar"/>
          <w:woUserID w:val="5"/>
        </w:rPr>
        <w:t>emissions-related claims.</w:t>
      </w:r>
    </w:p>
    <w:p w14:paraId="503F524C">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bookmarkStart w:id="22" w:name="_Toc1954811633"/>
      <w:r>
        <w:rPr>
          <w:rFonts w:hint="default" w:ascii="Times New Roman" w:hAnsi="Times New Roman" w:eastAsia="Tahoma" w:cs="Times New Roman"/>
          <w:kern w:val="2"/>
          <w:lang w:val="en-US" w:eastAsia="zh-CN" w:bidi="ar"/>
          <w:woUserID w:val="5"/>
        </w:rPr>
        <w:t>4.2 BMW Group</w:t>
      </w:r>
      <w:bookmarkEnd w:id="22"/>
    </w:p>
    <w:p w14:paraId="34A74679">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r>
        <w:rPr>
          <w:rFonts w:hint="default" w:ascii="Times New Roman" w:hAnsi="Times New Roman" w:eastAsia="Tahoma" w:cs="Times New Roman"/>
          <w:b w:val="0"/>
          <w:bCs w:val="0"/>
          <w:kern w:val="2"/>
          <w:sz w:val="24"/>
          <w:szCs w:val="24"/>
          <w:lang w:val="en-US" w:eastAsia="zh-CN" w:bidi="ar"/>
          <w:woUserID w:val="5"/>
        </w:rPr>
        <w:t xml:space="preserve">The decision of the UK Advertising Standards Authority on </w:t>
      </w:r>
      <w:r>
        <w:rPr>
          <w:rFonts w:hint="eastAsia" w:ascii="Times New Roman" w:hAnsi="Times New Roman" w:eastAsia="Tahoma" w:cs="Times New Roman"/>
          <w:b w:val="0"/>
          <w:bCs w:val="0"/>
          <w:kern w:val="2"/>
          <w:sz w:val="24"/>
          <w:szCs w:val="24"/>
          <w:lang w:val="en-US" w:eastAsia="zh" w:bidi="ar"/>
          <w:woUserID w:val="5"/>
        </w:rPr>
        <w:t xml:space="preserve">the advertisement of </w:t>
      </w:r>
      <w:r>
        <w:rPr>
          <w:rFonts w:hint="default" w:ascii="Times New Roman" w:hAnsi="Times New Roman" w:eastAsia="Tahoma" w:cs="Times New Roman"/>
          <w:b w:val="0"/>
          <w:bCs w:val="0"/>
          <w:kern w:val="2"/>
          <w:sz w:val="24"/>
          <w:szCs w:val="24"/>
          <w:lang w:val="en-US" w:eastAsia="zh-CN" w:bidi="ar"/>
          <w:woUserID w:val="5"/>
        </w:rPr>
        <w:t>BMW</w:t>
      </w:r>
      <w:r>
        <w:rPr>
          <w:rFonts w:hint="eastAsia" w:ascii="Times New Roman" w:hAnsi="Times New Roman" w:eastAsia="Tahoma" w:cs="Times New Roman"/>
          <w:b w:val="0"/>
          <w:bCs w:val="0"/>
          <w:kern w:val="2"/>
          <w:sz w:val="24"/>
          <w:szCs w:val="24"/>
          <w:lang w:val="en-US" w:eastAsia="zh" w:bidi="ar"/>
          <w:woUserID w:val="5"/>
        </w:rPr>
        <w:t xml:space="preserve"> on their</w:t>
      </w:r>
      <w:r>
        <w:rPr>
          <w:rFonts w:hint="default" w:ascii="Times New Roman" w:hAnsi="Times New Roman" w:eastAsia="Tahoma" w:cs="Times New Roman"/>
          <w:b w:val="0"/>
          <w:bCs w:val="0"/>
          <w:kern w:val="2"/>
          <w:sz w:val="24"/>
          <w:szCs w:val="24"/>
          <w:lang w:val="en-US" w:eastAsia="zh-CN" w:bidi="ar"/>
          <w:woUserID w:val="5"/>
        </w:rPr>
        <w:t xml:space="preserve"> “Zero Emissions Cars”</w:t>
      </w:r>
      <w:r>
        <w:rPr>
          <w:rFonts w:hint="eastAsia" w:ascii="Times New Roman" w:hAnsi="Times New Roman" w:eastAsia="Tahoma" w:cs="Times New Roman"/>
          <w:b w:val="0"/>
          <w:bCs w:val="0"/>
          <w:kern w:val="2"/>
          <w:sz w:val="24"/>
          <w:szCs w:val="24"/>
          <w:lang w:val="en-US" w:eastAsia="zh" w:bidi="ar"/>
          <w:woUserID w:val="5"/>
        </w:rPr>
        <w:t xml:space="preserve"> </w:t>
      </w:r>
      <w:r>
        <w:rPr>
          <w:rFonts w:hint="default" w:ascii="Times New Roman" w:hAnsi="Times New Roman" w:eastAsia="Tahoma" w:cs="Times New Roman"/>
          <w:b w:val="0"/>
          <w:bCs w:val="0"/>
          <w:kern w:val="2"/>
          <w:sz w:val="24"/>
          <w:szCs w:val="24"/>
          <w:lang w:val="en-US" w:eastAsia="zh-CN" w:bidi="ar"/>
          <w:woUserID w:val="5"/>
        </w:rPr>
        <w:t xml:space="preserve">emphasizes claim-boundary greenwashing risk. The ASA concluded that the wording might </w:t>
      </w:r>
      <w:r>
        <w:rPr>
          <w:rFonts w:hint="eastAsia" w:ascii="Times New Roman" w:hAnsi="Times New Roman" w:eastAsia="Tahoma" w:cs="Times New Roman"/>
          <w:b w:val="0"/>
          <w:bCs w:val="0"/>
          <w:kern w:val="2"/>
          <w:sz w:val="24"/>
          <w:szCs w:val="24"/>
          <w:lang w:val="en-US" w:eastAsia="zh" w:bidi="ar"/>
          <w:woUserID w:val="5"/>
        </w:rPr>
        <w:t>have an implication of</w:t>
      </w:r>
      <w:r>
        <w:rPr>
          <w:rFonts w:hint="default" w:ascii="Times New Roman" w:hAnsi="Times New Roman" w:eastAsia="Tahoma" w:cs="Times New Roman"/>
          <w:b w:val="0"/>
          <w:bCs w:val="0"/>
          <w:kern w:val="2"/>
          <w:sz w:val="24"/>
          <w:szCs w:val="24"/>
          <w:lang w:val="en-US" w:eastAsia="zh-CN" w:bidi="ar"/>
          <w:woUserID w:val="5"/>
        </w:rPr>
        <w:t xml:space="preserve"> zero emissions more generally, although the manufacturing process, charging, and the wider lifecycle may still contribute to emissions (ASA, 2024). This suggests claim-boundary risk, as opposed to an extensive say-do gap.</w:t>
      </w:r>
    </w:p>
    <w:p w14:paraId="030BF830">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p>
    <w:p w14:paraId="4E3CB7E4">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r>
        <w:rPr>
          <w:rFonts w:hint="eastAsia" w:ascii="Times New Roman" w:hAnsi="Times New Roman" w:eastAsia="Tahoma" w:cs="Times New Roman"/>
          <w:b w:val="0"/>
          <w:bCs w:val="0"/>
          <w:kern w:val="2"/>
          <w:sz w:val="24"/>
          <w:szCs w:val="24"/>
          <w:lang w:val="en-US" w:eastAsia="zh" w:bidi="ar"/>
          <w:woUserID w:val="5"/>
        </w:rPr>
        <w:t xml:space="preserve">The report issued by </w:t>
      </w:r>
      <w:r>
        <w:rPr>
          <w:rFonts w:hint="default" w:ascii="Times New Roman" w:hAnsi="Times New Roman" w:eastAsia="Tahoma" w:cs="Times New Roman"/>
          <w:b w:val="0"/>
          <w:bCs w:val="0"/>
          <w:kern w:val="2"/>
          <w:sz w:val="24"/>
          <w:szCs w:val="24"/>
          <w:lang w:val="en-US" w:eastAsia="zh-CN" w:bidi="ar"/>
          <w:woUserID w:val="5"/>
        </w:rPr>
        <w:t xml:space="preserve">BMW continue to </w:t>
      </w:r>
      <w:r>
        <w:rPr>
          <w:rFonts w:hint="eastAsia" w:ascii="Times New Roman" w:hAnsi="Times New Roman" w:eastAsia="Tahoma" w:cs="Times New Roman"/>
          <w:b w:val="0"/>
          <w:bCs w:val="0"/>
          <w:kern w:val="2"/>
          <w:sz w:val="24"/>
          <w:szCs w:val="24"/>
          <w:lang w:val="en-US" w:eastAsia="zh" w:bidi="ar"/>
          <w:woUserID w:val="5"/>
        </w:rPr>
        <w:t>favour</w:t>
      </w:r>
      <w:r>
        <w:rPr>
          <w:rFonts w:hint="default" w:ascii="Times New Roman" w:hAnsi="Times New Roman" w:eastAsia="Tahoma" w:cs="Times New Roman"/>
          <w:b w:val="0"/>
          <w:bCs w:val="0"/>
          <w:kern w:val="2"/>
          <w:sz w:val="24"/>
          <w:szCs w:val="24"/>
          <w:lang w:val="en-US" w:eastAsia="zh-CN" w:bidi="ar"/>
          <w:woUserID w:val="5"/>
        </w:rPr>
        <w:t xml:space="preserve"> its electrification story. From 2023 to 2025, the share of all-electric cars in deliveries increased from 14.7% to 17.4% and then 17.9%, while BEV deliveries rose from 375,716 to 426,536 and 442,059 units. Nonetheless, financial pressure is also evident: Automotive EBIT margin decreased from 9.8% to 6.3% and then 5.3%, while Automotive free cash flow dropped from €6.942 billion to €4.852 billion and €3.240 billion, respectively (BMW Group, 2024, 2025, 2026). Thus, ambiguous wording of</w:t>
      </w:r>
      <w:r>
        <w:rPr>
          <w:rFonts w:hint="eastAsia" w:ascii="Times New Roman" w:hAnsi="Times New Roman" w:eastAsia="Tahoma" w:cs="Times New Roman"/>
          <w:b w:val="0"/>
          <w:bCs w:val="0"/>
          <w:kern w:val="2"/>
          <w:sz w:val="24"/>
          <w:szCs w:val="24"/>
          <w:lang w:val="en-US" w:eastAsia="zh" w:bidi="ar"/>
          <w:woUserID w:val="5"/>
        </w:rPr>
        <w:t xml:space="preserve"> </w:t>
      </w:r>
      <w:r>
        <w:rPr>
          <w:rFonts w:hint="default" w:ascii="Times New Roman" w:hAnsi="Times New Roman" w:eastAsia="Tahoma" w:cs="Times New Roman"/>
          <w:b w:val="0"/>
          <w:bCs w:val="0"/>
          <w:kern w:val="2"/>
          <w:sz w:val="24"/>
          <w:szCs w:val="24"/>
          <w:lang w:val="en-US" w:eastAsia="zh-CN" w:bidi="ar"/>
          <w:woUserID w:val="5"/>
        </w:rPr>
        <w:t>zero emissions can undermine investor confidence when transition costs are already having a significant impact on margins and cash flow.</w:t>
      </w:r>
    </w:p>
    <w:p w14:paraId="4203E0A3">
      <w:pPr>
        <w:keepNext w:val="0"/>
        <w:keepLines w:val="0"/>
        <w:widowControl w:val="0"/>
        <w:suppressLineNumbers w:val="0"/>
        <w:spacing w:before="0" w:beforeAutospacing="0" w:after="0" w:afterAutospacing="0" w:line="240" w:lineRule="auto"/>
        <w:ind w:left="0" w:right="0"/>
        <w:jc w:val="both"/>
        <w:rPr>
          <w:rFonts w:hint="eastAsia" w:ascii="Times New Roman" w:hAnsi="Times New Roman" w:eastAsia="Tahoma" w:cs="Times New Roman"/>
          <w:b w:val="0"/>
          <w:bCs w:val="0"/>
          <w:kern w:val="2"/>
          <w:sz w:val="24"/>
          <w:szCs w:val="24"/>
          <w:lang w:val="en-US" w:eastAsia="zh" w:bidi="ar"/>
          <w:woUserID w:val="5"/>
        </w:rPr>
      </w:pPr>
    </w:p>
    <w:p w14:paraId="6123AC37">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r>
        <w:rPr>
          <w:rFonts w:hint="default" w:ascii="Times New Roman" w:hAnsi="Times New Roman" w:eastAsia="Tahoma" w:cs="Times New Roman"/>
          <w:b w:val="0"/>
          <w:bCs w:val="0"/>
          <w:kern w:val="2"/>
          <w:sz w:val="24"/>
          <w:szCs w:val="24"/>
          <w:lang w:val="en-US" w:eastAsia="zh-CN" w:bidi="ar"/>
          <w:woUserID w:val="5"/>
        </w:rPr>
        <w:t>BMW should therefore define such claims as “battery electric vehicles with zero tailpipe emissions during driving, while lifecycle emissions depend on electricity mix, battery production and supply-chain inputs.” Legal, sustainability, finance and IR teams should approve these claim boundaries before public communication.</w:t>
      </w:r>
    </w:p>
    <w:p w14:paraId="1477A1E8">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bookmarkStart w:id="23" w:name="_Toc1769205228"/>
      <w:r>
        <w:rPr>
          <w:rFonts w:hint="default" w:ascii="Times New Roman" w:hAnsi="Times New Roman" w:eastAsia="Tahoma" w:cs="Times New Roman"/>
          <w:kern w:val="2"/>
          <w:lang w:val="en-US" w:eastAsia="zh-CN" w:bidi="ar"/>
          <w:woUserID w:val="5"/>
        </w:rPr>
        <w:t>4.3 Toyota</w:t>
      </w:r>
      <w:bookmarkEnd w:id="23"/>
    </w:p>
    <w:p w14:paraId="28A4F251">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r>
        <w:rPr>
          <w:rFonts w:hint="default" w:ascii="Times New Roman" w:hAnsi="Times New Roman" w:eastAsia="Tahoma" w:cs="Times New Roman"/>
          <w:b w:val="0"/>
          <w:bCs w:val="0"/>
          <w:kern w:val="2"/>
          <w:sz w:val="24"/>
          <w:szCs w:val="24"/>
          <w:lang w:val="en-US" w:eastAsia="zh-CN" w:bidi="ar"/>
          <w:woUserID w:val="5"/>
        </w:rPr>
        <w:t xml:space="preserve">The complaint to the Australian Competition and Consumer Commission by Greenpeace Australia Pacific </w:t>
      </w:r>
      <w:r>
        <w:rPr>
          <w:rFonts w:hint="eastAsia" w:ascii="Times New Roman" w:hAnsi="Times New Roman" w:eastAsia="Tahoma" w:cs="Times New Roman"/>
          <w:b w:val="0"/>
          <w:bCs w:val="0"/>
          <w:kern w:val="2"/>
          <w:sz w:val="24"/>
          <w:szCs w:val="24"/>
          <w:lang w:val="en-US" w:eastAsia="zh" w:bidi="ar"/>
          <w:woUserID w:val="5"/>
        </w:rPr>
        <w:t>pose</w:t>
      </w:r>
      <w:r>
        <w:rPr>
          <w:rFonts w:hint="default" w:ascii="Times New Roman" w:hAnsi="Times New Roman" w:eastAsia="Tahoma" w:cs="Times New Roman"/>
          <w:b w:val="0"/>
          <w:bCs w:val="0"/>
          <w:kern w:val="2"/>
          <w:sz w:val="24"/>
          <w:szCs w:val="24"/>
          <w:lang w:val="en-US" w:eastAsia="zh-CN" w:bidi="ar"/>
          <w:woUserID w:val="5"/>
        </w:rPr>
        <w:t xml:space="preserve">s selective-disclosure risk for Toyota. The complaint </w:t>
      </w:r>
      <w:r>
        <w:rPr>
          <w:rFonts w:hint="eastAsia" w:ascii="Times New Roman" w:hAnsi="Times New Roman" w:eastAsia="Tahoma" w:cs="Times New Roman"/>
          <w:b w:val="0"/>
          <w:bCs w:val="0"/>
          <w:kern w:val="2"/>
          <w:sz w:val="24"/>
          <w:szCs w:val="24"/>
          <w:lang w:val="en-US" w:eastAsia="zh" w:bidi="ar"/>
          <w:woUserID w:val="5"/>
        </w:rPr>
        <w:t>argued</w:t>
      </w:r>
      <w:r>
        <w:rPr>
          <w:rFonts w:hint="default" w:ascii="Times New Roman" w:hAnsi="Times New Roman" w:eastAsia="Tahoma" w:cs="Times New Roman"/>
          <w:b w:val="0"/>
          <w:bCs w:val="0"/>
          <w:kern w:val="2"/>
          <w:sz w:val="24"/>
          <w:szCs w:val="24"/>
          <w:lang w:val="en-US" w:eastAsia="zh-CN" w:bidi="ar"/>
          <w:woUserID w:val="5"/>
        </w:rPr>
        <w:t xml:space="preserve"> that the public messaging of Toyota might give the impression that the company was </w:t>
      </w:r>
      <w:r>
        <w:rPr>
          <w:rFonts w:hint="eastAsia" w:ascii="Times New Roman" w:hAnsi="Times New Roman" w:eastAsia="Tahoma" w:cs="Times New Roman"/>
          <w:b w:val="0"/>
          <w:bCs w:val="0"/>
          <w:kern w:val="2"/>
          <w:sz w:val="24"/>
          <w:szCs w:val="24"/>
          <w:lang w:val="en-US" w:eastAsia="zh" w:bidi="ar"/>
          <w:woUserID w:val="5"/>
        </w:rPr>
        <w:t xml:space="preserve">on the </w:t>
      </w:r>
      <w:r>
        <w:rPr>
          <w:rFonts w:hint="default" w:ascii="Times New Roman" w:hAnsi="Times New Roman" w:eastAsia="Tahoma" w:cs="Times New Roman"/>
          <w:b w:val="0"/>
          <w:bCs w:val="0"/>
          <w:kern w:val="2"/>
          <w:sz w:val="24"/>
          <w:szCs w:val="24"/>
          <w:lang w:val="en-US" w:eastAsia="zh-CN" w:bidi="ar"/>
          <w:woUserID w:val="5"/>
        </w:rPr>
        <w:t>lead</w:t>
      </w:r>
      <w:r>
        <w:rPr>
          <w:rFonts w:hint="eastAsia" w:ascii="Times New Roman" w:hAnsi="Times New Roman" w:eastAsia="Tahoma" w:cs="Times New Roman"/>
          <w:b w:val="0"/>
          <w:bCs w:val="0"/>
          <w:kern w:val="2"/>
          <w:sz w:val="24"/>
          <w:szCs w:val="24"/>
          <w:lang w:val="en-US" w:eastAsia="zh" w:bidi="ar"/>
          <w:woUserID w:val="5"/>
        </w:rPr>
        <w:t xml:space="preserve">ership of </w:t>
      </w:r>
      <w:r>
        <w:rPr>
          <w:rFonts w:hint="default" w:ascii="Times New Roman" w:hAnsi="Times New Roman" w:eastAsia="Tahoma" w:cs="Times New Roman"/>
          <w:b w:val="0"/>
          <w:bCs w:val="0"/>
          <w:kern w:val="2"/>
          <w:sz w:val="24"/>
          <w:szCs w:val="24"/>
          <w:lang w:val="en-US" w:eastAsia="zh-CN" w:bidi="ar"/>
          <w:woUserID w:val="5"/>
        </w:rPr>
        <w:t>the clean-car transition, while its product strategy was still highly dependent on hybrids and internal-combustion-related technology (Greenpeace Australia Pacific, 2023). This creates risk in the way Toyota’s multi-pathway approach is introduced and supported.</w:t>
      </w:r>
    </w:p>
    <w:p w14:paraId="56FCF541">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p>
    <w:p w14:paraId="1AAE6F03">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r>
        <w:rPr>
          <w:rFonts w:hint="default" w:ascii="Times New Roman" w:hAnsi="Times New Roman" w:eastAsia="Tahoma" w:cs="Times New Roman"/>
          <w:b w:val="0"/>
          <w:bCs w:val="0"/>
          <w:kern w:val="2"/>
          <w:sz w:val="24"/>
          <w:szCs w:val="24"/>
          <w:lang w:val="en-US" w:eastAsia="zh-CN" w:bidi="ar"/>
          <w:woUserID w:val="5"/>
        </w:rPr>
        <w:t>T</w:t>
      </w:r>
      <w:r>
        <w:rPr>
          <w:rFonts w:hint="eastAsia" w:ascii="Times New Roman" w:hAnsi="Times New Roman" w:eastAsia="Tahoma" w:cs="Times New Roman"/>
          <w:b w:val="0"/>
          <w:bCs w:val="0"/>
          <w:kern w:val="2"/>
          <w:sz w:val="24"/>
          <w:szCs w:val="24"/>
          <w:lang w:val="en-US" w:eastAsia="zh" w:bidi="ar"/>
          <w:woUserID w:val="5"/>
        </w:rPr>
        <w:t>he</w:t>
      </w:r>
      <w:r>
        <w:rPr>
          <w:rFonts w:hint="default" w:ascii="Times New Roman" w:hAnsi="Times New Roman" w:eastAsia="Tahoma" w:cs="Times New Roman"/>
          <w:b w:val="0"/>
          <w:bCs w:val="0"/>
          <w:kern w:val="2"/>
          <w:sz w:val="24"/>
          <w:szCs w:val="24"/>
          <w:lang w:val="en-US" w:eastAsia="zh-CN" w:bidi="ar"/>
          <w:woUserID w:val="5"/>
        </w:rPr>
        <w:t xml:space="preserve"> reports </w:t>
      </w:r>
      <w:r>
        <w:rPr>
          <w:rFonts w:hint="eastAsia" w:ascii="Times New Roman" w:hAnsi="Times New Roman" w:eastAsia="Tahoma" w:cs="Times New Roman"/>
          <w:b w:val="0"/>
          <w:bCs w:val="0"/>
          <w:kern w:val="2"/>
          <w:sz w:val="24"/>
          <w:szCs w:val="24"/>
          <w:lang w:val="en-US" w:eastAsia="zh" w:bidi="ar"/>
          <w:woUserID w:val="5"/>
        </w:rPr>
        <w:t xml:space="preserve">by Toyota </w:t>
      </w:r>
      <w:r>
        <w:rPr>
          <w:rFonts w:hint="default" w:ascii="Times New Roman" w:hAnsi="Times New Roman" w:eastAsia="Tahoma" w:cs="Times New Roman"/>
          <w:b w:val="0"/>
          <w:bCs w:val="0"/>
          <w:kern w:val="2"/>
          <w:sz w:val="24"/>
          <w:szCs w:val="24"/>
          <w:lang w:val="en-US" w:eastAsia="zh-CN" w:bidi="ar"/>
          <w:woUserID w:val="5"/>
        </w:rPr>
        <w:t xml:space="preserve">demonstrate why this risk is financially relevant. The company announced that </w:t>
      </w:r>
      <w:r>
        <w:rPr>
          <w:rFonts w:hint="eastAsia" w:ascii="Times New Roman" w:hAnsi="Times New Roman" w:eastAsia="Tahoma" w:cs="Times New Roman"/>
          <w:b w:val="0"/>
          <w:bCs w:val="0"/>
          <w:kern w:val="2"/>
          <w:sz w:val="24"/>
          <w:szCs w:val="24"/>
          <w:lang w:val="en-US" w:eastAsia="zh" w:bidi="ar"/>
          <w:woUserID w:val="5"/>
        </w:rPr>
        <w:t xml:space="preserve">the sales of </w:t>
      </w:r>
      <w:r>
        <w:rPr>
          <w:rFonts w:hint="default" w:ascii="Times New Roman" w:hAnsi="Times New Roman" w:eastAsia="Tahoma" w:cs="Times New Roman"/>
          <w:b w:val="0"/>
          <w:bCs w:val="0"/>
          <w:kern w:val="2"/>
          <w:sz w:val="24"/>
          <w:szCs w:val="24"/>
          <w:lang w:val="en-US" w:eastAsia="zh-CN" w:bidi="ar"/>
          <w:woUserID w:val="5"/>
        </w:rPr>
        <w:t xml:space="preserve">BEV base-unit would total 1.5 million units in 2026 and 3.5 million units in 2030, but stated that sales would </w:t>
      </w:r>
      <w:r>
        <w:rPr>
          <w:rFonts w:hint="eastAsia" w:ascii="Times New Roman" w:hAnsi="Times New Roman" w:eastAsia="Tahoma" w:cs="Times New Roman"/>
          <w:b w:val="0"/>
          <w:bCs w:val="0"/>
          <w:kern w:val="2"/>
          <w:sz w:val="24"/>
          <w:szCs w:val="24"/>
          <w:lang w:val="en-US" w:eastAsia="zh" w:bidi="ar"/>
          <w:woUserID w:val="5"/>
        </w:rPr>
        <w:t xml:space="preserve">be </w:t>
      </w:r>
      <w:r>
        <w:rPr>
          <w:rFonts w:hint="default" w:ascii="Times New Roman" w:hAnsi="Times New Roman" w:eastAsia="Tahoma" w:cs="Times New Roman"/>
          <w:b w:val="0"/>
          <w:bCs w:val="0"/>
          <w:kern w:val="2"/>
          <w:sz w:val="24"/>
          <w:szCs w:val="24"/>
          <w:lang w:val="en-US" w:eastAsia="zh-CN" w:bidi="ar"/>
          <w:woUserID w:val="5"/>
        </w:rPr>
        <w:t xml:space="preserve">flexible based on customer demand (Toyota Motor Corporation, 2024). Automotive operating income grew to ¥4,621.4 billion in FY2024 but declined to ¥3,940.2 billion in FY2025, although automotive revenue grew to ¥43,199.8 billion (Toyota Motor Corporation, 2024; Toyota Motor Corporation, 2025a). This implies that investors require </w:t>
      </w:r>
      <w:r>
        <w:rPr>
          <w:rFonts w:hint="eastAsia" w:ascii="Times New Roman" w:hAnsi="Times New Roman" w:eastAsia="Tahoma" w:cs="Times New Roman"/>
          <w:b w:val="0"/>
          <w:bCs w:val="0"/>
          <w:kern w:val="2"/>
          <w:sz w:val="24"/>
          <w:szCs w:val="24"/>
          <w:lang w:val="en-US" w:eastAsia="zh" w:bidi="ar"/>
          <w:woUserID w:val="5"/>
        </w:rPr>
        <w:t>more convincing</w:t>
      </w:r>
      <w:r>
        <w:rPr>
          <w:rFonts w:hint="default" w:ascii="Times New Roman" w:hAnsi="Times New Roman" w:eastAsia="Tahoma" w:cs="Times New Roman"/>
          <w:b w:val="0"/>
          <w:bCs w:val="0"/>
          <w:kern w:val="2"/>
          <w:sz w:val="24"/>
          <w:szCs w:val="24"/>
          <w:lang w:val="en-US" w:eastAsia="zh-CN" w:bidi="ar"/>
          <w:woUserID w:val="5"/>
        </w:rPr>
        <w:t xml:space="preserve"> information on whether the multi-pathway approach can </w:t>
      </w:r>
      <w:r>
        <w:rPr>
          <w:rFonts w:hint="eastAsia" w:ascii="Times New Roman" w:hAnsi="Times New Roman" w:eastAsia="Tahoma" w:cs="Times New Roman"/>
          <w:b w:val="0"/>
          <w:bCs w:val="0"/>
          <w:kern w:val="2"/>
          <w:sz w:val="24"/>
          <w:szCs w:val="24"/>
          <w:lang w:val="en-US" w:eastAsia="zh" w:bidi="ar"/>
          <w:woUserID w:val="5"/>
        </w:rPr>
        <w:t>cushion</w:t>
      </w:r>
      <w:r>
        <w:rPr>
          <w:rFonts w:hint="default" w:ascii="Times New Roman" w:hAnsi="Times New Roman" w:eastAsia="Tahoma" w:cs="Times New Roman"/>
          <w:b w:val="0"/>
          <w:bCs w:val="0"/>
          <w:kern w:val="2"/>
          <w:sz w:val="24"/>
          <w:szCs w:val="24"/>
          <w:lang w:val="en-US" w:eastAsia="zh-CN" w:bidi="ar"/>
          <w:woUserID w:val="5"/>
        </w:rPr>
        <w:t xml:space="preserve"> margins amid tightening emissions regulation.</w:t>
      </w:r>
    </w:p>
    <w:p w14:paraId="76A2D49F">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p>
    <w:p w14:paraId="33A5E901">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r>
        <w:rPr>
          <w:rFonts w:hint="default" w:ascii="Times New Roman" w:hAnsi="Times New Roman" w:eastAsia="Tahoma" w:cs="Times New Roman"/>
          <w:b w:val="0"/>
          <w:bCs w:val="0"/>
          <w:kern w:val="2"/>
          <w:sz w:val="24"/>
          <w:szCs w:val="24"/>
          <w:lang w:val="en-US" w:eastAsia="zh-CN" w:bidi="ar"/>
          <w:woUserID w:val="5"/>
        </w:rPr>
        <w:t xml:space="preserve">General terms such as electrified vehicles can decrease </w:t>
      </w:r>
      <w:r>
        <w:rPr>
          <w:rFonts w:hint="eastAsia" w:ascii="Times New Roman" w:hAnsi="Times New Roman" w:eastAsia="Tahoma" w:cs="Times New Roman"/>
          <w:b w:val="0"/>
          <w:bCs w:val="0"/>
          <w:kern w:val="2"/>
          <w:sz w:val="24"/>
          <w:szCs w:val="24"/>
          <w:lang w:val="en-US" w:eastAsia="zh" w:bidi="ar"/>
          <w:woUserID w:val="5"/>
        </w:rPr>
        <w:t xml:space="preserve">the </w:t>
      </w:r>
      <w:r>
        <w:rPr>
          <w:rFonts w:hint="default" w:ascii="Times New Roman" w:hAnsi="Times New Roman" w:eastAsia="Tahoma" w:cs="Times New Roman"/>
          <w:b w:val="0"/>
          <w:bCs w:val="0"/>
          <w:kern w:val="2"/>
          <w:sz w:val="24"/>
          <w:szCs w:val="24"/>
          <w:lang w:val="en-US" w:eastAsia="zh-CN" w:bidi="ar"/>
          <w:woUserID w:val="5"/>
        </w:rPr>
        <w:t xml:space="preserve">disclosure </w:t>
      </w:r>
      <w:r>
        <w:rPr>
          <w:rFonts w:hint="eastAsia" w:ascii="Times New Roman" w:hAnsi="Times New Roman" w:eastAsia="Tahoma" w:cs="Times New Roman"/>
          <w:b w:val="0"/>
          <w:bCs w:val="0"/>
          <w:kern w:val="2"/>
          <w:sz w:val="24"/>
          <w:szCs w:val="24"/>
          <w:lang w:val="en-US" w:eastAsia="zh" w:bidi="ar"/>
          <w:woUserID w:val="5"/>
        </w:rPr>
        <w:t>level</w:t>
      </w:r>
      <w:r>
        <w:rPr>
          <w:rFonts w:hint="default" w:ascii="Times New Roman" w:hAnsi="Times New Roman" w:eastAsia="Tahoma" w:cs="Times New Roman"/>
          <w:b w:val="0"/>
          <w:bCs w:val="0"/>
          <w:kern w:val="2"/>
          <w:sz w:val="24"/>
          <w:szCs w:val="24"/>
          <w:lang w:val="en-US" w:eastAsia="zh-CN" w:bidi="ar"/>
          <w:woUserID w:val="5"/>
        </w:rPr>
        <w:t xml:space="preserve"> </w:t>
      </w:r>
      <w:r>
        <w:rPr>
          <w:rFonts w:hint="eastAsia" w:ascii="Times New Roman" w:hAnsi="Times New Roman" w:eastAsia="Tahoma" w:cs="Times New Roman"/>
          <w:b w:val="0"/>
          <w:bCs w:val="0"/>
          <w:kern w:val="2"/>
          <w:sz w:val="24"/>
          <w:szCs w:val="24"/>
          <w:lang w:val="en-US" w:eastAsia="zh" w:bidi="ar"/>
          <w:woUserID w:val="5"/>
        </w:rPr>
        <w:t>since</w:t>
      </w:r>
      <w:r>
        <w:rPr>
          <w:rFonts w:hint="default" w:ascii="Times New Roman" w:hAnsi="Times New Roman" w:eastAsia="Tahoma" w:cs="Times New Roman"/>
          <w:b w:val="0"/>
          <w:bCs w:val="0"/>
          <w:kern w:val="2"/>
          <w:sz w:val="24"/>
          <w:szCs w:val="24"/>
          <w:lang w:val="en-US" w:eastAsia="zh-CN" w:bidi="ar"/>
          <w:woUserID w:val="5"/>
        </w:rPr>
        <w:t xml:space="preserve"> HEVs, PHEVs, BEVs and FCEVs have di</w:t>
      </w:r>
      <w:r>
        <w:rPr>
          <w:rFonts w:hint="eastAsia" w:ascii="Times New Roman" w:hAnsi="Times New Roman" w:eastAsia="Tahoma" w:cs="Times New Roman"/>
          <w:b w:val="0"/>
          <w:bCs w:val="0"/>
          <w:kern w:val="2"/>
          <w:sz w:val="24"/>
          <w:szCs w:val="24"/>
          <w:lang w:val="en-US" w:eastAsia="zh" w:bidi="ar"/>
          <w:woUserID w:val="5"/>
        </w:rPr>
        <w:t>verse</w:t>
      </w:r>
      <w:r>
        <w:rPr>
          <w:rFonts w:hint="default" w:ascii="Times New Roman" w:hAnsi="Times New Roman" w:eastAsia="Tahoma" w:cs="Times New Roman"/>
          <w:b w:val="0"/>
          <w:bCs w:val="0"/>
          <w:kern w:val="2"/>
          <w:sz w:val="24"/>
          <w:szCs w:val="24"/>
          <w:lang w:val="en-US" w:eastAsia="zh-CN" w:bidi="ar"/>
          <w:woUserID w:val="5"/>
        </w:rPr>
        <w:t xml:space="preserve"> emissions profiles, regulatory risks and capital needs. Toyota </w:t>
      </w:r>
      <w:r>
        <w:rPr>
          <w:rFonts w:hint="eastAsia" w:ascii="Times New Roman" w:hAnsi="Times New Roman" w:eastAsia="Tahoma" w:cs="Times New Roman"/>
          <w:b w:val="0"/>
          <w:bCs w:val="0"/>
          <w:kern w:val="2"/>
          <w:sz w:val="24"/>
          <w:szCs w:val="24"/>
          <w:lang w:val="en-US" w:eastAsia="zh" w:bidi="ar"/>
          <w:woUserID w:val="5"/>
        </w:rPr>
        <w:t>ought to isolate</w:t>
      </w:r>
      <w:r>
        <w:rPr>
          <w:rFonts w:hint="default" w:ascii="Times New Roman" w:hAnsi="Times New Roman" w:eastAsia="Tahoma" w:cs="Times New Roman"/>
          <w:b w:val="0"/>
          <w:bCs w:val="0"/>
          <w:kern w:val="2"/>
          <w:sz w:val="24"/>
          <w:szCs w:val="24"/>
          <w:lang w:val="en-US" w:eastAsia="zh-CN" w:bidi="ar"/>
          <w:woUserID w:val="5"/>
        </w:rPr>
        <w:t xml:space="preserve"> these groups and align each </w:t>
      </w:r>
      <w:r>
        <w:rPr>
          <w:rFonts w:hint="eastAsia" w:ascii="Times New Roman" w:hAnsi="Times New Roman" w:eastAsia="Tahoma" w:cs="Times New Roman"/>
          <w:b w:val="0"/>
          <w:bCs w:val="0"/>
          <w:kern w:val="2"/>
          <w:sz w:val="24"/>
          <w:szCs w:val="24"/>
          <w:lang w:val="en-US" w:eastAsia="zh" w:bidi="ar"/>
          <w:woUserID w:val="5"/>
        </w:rPr>
        <w:t xml:space="preserve">of the </w:t>
      </w:r>
      <w:r>
        <w:rPr>
          <w:rFonts w:hint="default" w:ascii="Times New Roman" w:hAnsi="Times New Roman" w:eastAsia="Tahoma" w:cs="Times New Roman"/>
          <w:b w:val="0"/>
          <w:bCs w:val="0"/>
          <w:kern w:val="2"/>
          <w:sz w:val="24"/>
          <w:szCs w:val="24"/>
          <w:lang w:val="en-US" w:eastAsia="zh-CN" w:bidi="ar"/>
          <w:woUserID w:val="5"/>
        </w:rPr>
        <w:t xml:space="preserve">pathway </w:t>
      </w:r>
      <w:r>
        <w:rPr>
          <w:rFonts w:hint="eastAsia" w:ascii="Times New Roman" w:hAnsi="Times New Roman" w:eastAsia="Tahoma" w:cs="Times New Roman"/>
          <w:b w:val="0"/>
          <w:bCs w:val="0"/>
          <w:kern w:val="2"/>
          <w:sz w:val="24"/>
          <w:szCs w:val="24"/>
          <w:lang w:val="en-US" w:eastAsia="zh" w:bidi="ar"/>
          <w:woUserID w:val="5"/>
        </w:rPr>
        <w:t>to</w:t>
      </w:r>
      <w:r>
        <w:rPr>
          <w:rFonts w:hint="default" w:ascii="Times New Roman" w:hAnsi="Times New Roman" w:eastAsia="Tahoma" w:cs="Times New Roman"/>
          <w:b w:val="0"/>
          <w:bCs w:val="0"/>
          <w:kern w:val="2"/>
          <w:sz w:val="24"/>
          <w:szCs w:val="24"/>
          <w:lang w:val="en-US" w:eastAsia="zh-CN" w:bidi="ar"/>
          <w:woUserID w:val="5"/>
        </w:rPr>
        <w:t xml:space="preserve"> Capex, R&amp;D allocation, regional milestones and emissions impact. Legal, sustainability, finance and IR teams are also advised to check consistency between public claims, lobbying positions and investment plans.</w:t>
      </w:r>
    </w:p>
    <w:p w14:paraId="1F9E5FB9">
      <w:pPr>
        <w:pStyle w:val="3"/>
        <w:keepNext w:val="0"/>
        <w:keepLines w:val="0"/>
        <w:widowControl w:val="0"/>
        <w:suppressLineNumbers w:val="0"/>
        <w:bidi w:val="0"/>
        <w:spacing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bookmarkStart w:id="24" w:name="_Toc503996773"/>
      <w:r>
        <w:rPr>
          <w:rFonts w:hint="default" w:ascii="Times New Roman" w:hAnsi="Times New Roman" w:eastAsia="Tahoma" w:cs="Times New Roman"/>
          <w:kern w:val="2"/>
          <w:lang w:val="en-US" w:eastAsia="zh-CN" w:bidi="ar"/>
          <w:woUserID w:val="5"/>
        </w:rPr>
        <w:t>4.4 Overall assessment</w:t>
      </w:r>
      <w:bookmarkEnd w:id="24"/>
    </w:p>
    <w:p w14:paraId="2E019B6A">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r>
        <w:rPr>
          <w:rFonts w:hint="default" w:ascii="Times New Roman" w:hAnsi="Times New Roman" w:eastAsia="Tahoma" w:cs="Times New Roman"/>
          <w:b w:val="0"/>
          <w:bCs w:val="0"/>
          <w:kern w:val="2"/>
          <w:sz w:val="24"/>
          <w:szCs w:val="24"/>
          <w:lang w:val="en-US" w:eastAsia="zh-CN" w:bidi="ar"/>
          <w:woUserID w:val="5"/>
        </w:rPr>
        <w:t>In general, the three cases show different types of disclosure and control risk, rather than the same level of inconsistency. Volkswagen reflects a serious say-do gap and compliance-control failure. BMW mainly faces claim-boundary risk in lifecycle-emissions wording, while Toyota faces selective-disclosure risk in presenting its multi-pathway strategy. Therefore, disclosure quality depends on clear claim boundaries, reliable evidence and assigned review responsibility. Companies also need to show that Capex, R&amp;D and capacity planning are consistent with their public transition claims.</w:t>
      </w:r>
    </w:p>
    <w:p w14:paraId="433A78DD">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p>
    <w:p w14:paraId="1228AAEB">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p>
    <w:p w14:paraId="5506EE0E">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val="0"/>
          <w:bCs w:val="0"/>
          <w:kern w:val="2"/>
          <w:sz w:val="24"/>
          <w:szCs w:val="24"/>
          <w:lang w:val="en-US" w:eastAsia="zh-CN" w:bidi="ar"/>
          <w:woUserID w:val="5"/>
        </w:rPr>
      </w:pPr>
    </w:p>
    <w:p w14:paraId="0B8B68C2">
      <w:pPr>
        <w:pStyle w:val="2"/>
        <w:keepNext w:val="0"/>
        <w:keepLines w:val="0"/>
        <w:widowControl w:val="0"/>
        <w:numPr>
          <w:ilvl w:val="0"/>
          <w:numId w:val="4"/>
        </w:numPr>
        <w:suppressLineNumbers w:val="0"/>
        <w:bidi w:val="0"/>
        <w:spacing w:line="240" w:lineRule="auto"/>
        <w:ind w:left="0" w:right="0"/>
        <w:jc w:val="both"/>
        <w:rPr>
          <w:rFonts w:hint="default" w:ascii="Times New Roman" w:hAnsi="Times New Roman" w:eastAsia="Tahoma" w:cs="Times New Roman"/>
          <w:b/>
          <w:bCs/>
          <w:kern w:val="2"/>
          <w:sz w:val="28"/>
          <w:szCs w:val="28"/>
          <w:lang w:val="en-US" w:eastAsia="zh" w:bidi="ar"/>
          <w:woUserID w:val="7"/>
        </w:rPr>
      </w:pPr>
      <w:bookmarkStart w:id="25" w:name="_Toc1941467300"/>
      <w:r>
        <w:rPr>
          <w:rFonts w:hint="default" w:ascii="Times New Roman" w:hAnsi="Times New Roman" w:eastAsia="Tahoma" w:cs="Times New Roman"/>
          <w:kern w:val="2"/>
          <w:sz w:val="28"/>
          <w:szCs w:val="28"/>
          <w:lang w:val="en-US" w:eastAsia="zh" w:bidi="ar"/>
          <w:woUserID w:val="7"/>
        </w:rPr>
        <w:t>Summary</w:t>
      </w:r>
      <w:r>
        <w:rPr>
          <w:rFonts w:hint="default" w:ascii="Times New Roman" w:hAnsi="Times New Roman" w:eastAsia="Tahoma" w:cs="Times New Roman"/>
          <w:kern w:val="2"/>
          <w:sz w:val="28"/>
          <w:szCs w:val="28"/>
          <w:lang w:val="en-US" w:eastAsia="zh" w:bidi="ar"/>
          <w:woUserID w:val="5"/>
        </w:rPr>
        <w:t xml:space="preserve"> of financial and ESG findings and further implications</w:t>
      </w:r>
      <w:bookmarkEnd w:id="25"/>
    </w:p>
    <w:p w14:paraId="2574CEE2">
      <w:pPr>
        <w:keepNext w:val="0"/>
        <w:keepLines w:val="0"/>
        <w:widowControl/>
        <w:suppressLineNumbers w:val="0"/>
        <w:bidi w:val="0"/>
        <w:rPr>
          <w:rFonts w:hint="default" w:ascii="Times New Roman" w:hAnsi="Times New Roman" w:cs="Times New Roman"/>
          <w:sz w:val="24"/>
          <w:szCs w:val="32"/>
          <w:woUserID w:val="5"/>
        </w:rPr>
      </w:pPr>
      <w:r>
        <w:rPr>
          <w:rFonts w:hint="default" w:ascii="Times New Roman" w:hAnsi="Times New Roman" w:cs="Times New Roman"/>
          <w:sz w:val="24"/>
          <w:szCs w:val="32"/>
          <w:woUserID w:val="5"/>
        </w:rPr>
        <w:t>In addressing the key financial ratios, the pressure experienced by Volkswagen is the most evident: its operating margin dropped to 5.87% in 2024, ROCE to 0.046, and its debt-to-equity ratio reached 2.217, the highest of the three companies. This re</w:t>
      </w:r>
      <w:r>
        <w:rPr>
          <w:rFonts w:hint="eastAsia" w:ascii="Times New Roman" w:hAnsi="Times New Roman" w:cs="Times New Roman"/>
          <w:sz w:val="24"/>
          <w:szCs w:val="32"/>
          <w:lang w:eastAsia="zh"/>
          <w:woUserID w:val="5"/>
        </w:rPr>
        <w:t>present</w:t>
      </w:r>
      <w:r>
        <w:rPr>
          <w:rFonts w:hint="default" w:ascii="Times New Roman" w:hAnsi="Times New Roman" w:cs="Times New Roman"/>
          <w:sz w:val="24"/>
          <w:szCs w:val="32"/>
          <w:woUserID w:val="5"/>
        </w:rPr>
        <w:t>s EV transition costs, capitalised spending on research and development, and investment financed by debt. Toyota remains relatively strong in profitability, but declining asset turnover and increasing receivable</w:t>
      </w:r>
      <w:r>
        <w:rPr>
          <w:rFonts w:hint="eastAsia" w:ascii="Times New Roman" w:hAnsi="Times New Roman" w:cs="Times New Roman"/>
          <w:sz w:val="24"/>
          <w:szCs w:val="32"/>
          <w:lang w:eastAsia="zh"/>
          <w:woUserID w:val="5"/>
        </w:rPr>
        <w:t xml:space="preserve"> collection days,</w:t>
      </w:r>
      <w:r>
        <w:rPr>
          <w:rFonts w:hint="default" w:ascii="Times New Roman" w:hAnsi="Times New Roman" w:cs="Times New Roman"/>
          <w:sz w:val="24"/>
          <w:szCs w:val="32"/>
          <w:woUserID w:val="5"/>
        </w:rPr>
        <w:t xml:space="preserve"> reflect pressure on capital efficiency and cash conversion. BMW has better receivables management and comparatively stable asset turnover, but its EBIT margin has been squeezed by spending on electrification.</w:t>
      </w:r>
    </w:p>
    <w:p w14:paraId="1C833B4D">
      <w:pPr>
        <w:keepNext w:val="0"/>
        <w:keepLines w:val="0"/>
        <w:widowControl/>
        <w:suppressLineNumbers w:val="0"/>
        <w:bidi w:val="0"/>
        <w:rPr>
          <w:rFonts w:hint="default" w:ascii="Times New Roman" w:hAnsi="Times New Roman" w:cs="Times New Roman"/>
          <w:sz w:val="24"/>
          <w:szCs w:val="32"/>
          <w:woUserID w:val="5"/>
        </w:rPr>
      </w:pPr>
    </w:p>
    <w:p w14:paraId="3E20CDA2">
      <w:pPr>
        <w:keepNext w:val="0"/>
        <w:keepLines w:val="0"/>
        <w:widowControl/>
        <w:suppressLineNumbers w:val="0"/>
        <w:bidi w:val="0"/>
        <w:rPr>
          <w:rFonts w:hint="default" w:ascii="Times New Roman" w:hAnsi="Times New Roman" w:cs="Times New Roman"/>
          <w:sz w:val="24"/>
          <w:szCs w:val="32"/>
          <w:woUserID w:val="5"/>
        </w:rPr>
      </w:pPr>
      <w:r>
        <w:rPr>
          <w:rFonts w:hint="default" w:ascii="Times New Roman" w:hAnsi="Times New Roman" w:cs="Times New Roman"/>
          <w:sz w:val="24"/>
          <w:szCs w:val="32"/>
          <w:woUserID w:val="5"/>
        </w:rPr>
        <w:t xml:space="preserve">In ESG and materiality terms, </w:t>
      </w:r>
      <w:r>
        <w:rPr>
          <w:rFonts w:hint="eastAsia" w:ascii="Times New Roman" w:hAnsi="Times New Roman" w:cs="Times New Roman"/>
          <w:sz w:val="24"/>
          <w:szCs w:val="32"/>
          <w:lang w:eastAsia="zh"/>
          <w:woUserID w:val="5"/>
        </w:rPr>
        <w:t xml:space="preserve">the </w:t>
      </w:r>
      <w:r>
        <w:rPr>
          <w:rFonts w:hint="default" w:ascii="Times New Roman" w:hAnsi="Times New Roman" w:cs="Times New Roman"/>
          <w:sz w:val="24"/>
          <w:szCs w:val="32"/>
          <w:woUserID w:val="5"/>
        </w:rPr>
        <w:t xml:space="preserve">Scope 3 use-phase emissions </w:t>
      </w:r>
      <w:r>
        <w:rPr>
          <w:rFonts w:hint="eastAsia" w:ascii="Times New Roman" w:hAnsi="Times New Roman" w:cs="Times New Roman"/>
          <w:sz w:val="24"/>
          <w:szCs w:val="32"/>
          <w:lang w:eastAsia="zh"/>
          <w:woUserID w:val="5"/>
        </w:rPr>
        <w:t>remain</w:t>
      </w:r>
      <w:r>
        <w:rPr>
          <w:rFonts w:hint="default" w:ascii="Times New Roman" w:hAnsi="Times New Roman" w:cs="Times New Roman"/>
          <w:sz w:val="24"/>
          <w:szCs w:val="32"/>
          <w:woUserID w:val="5"/>
        </w:rPr>
        <w:t xml:space="preserve"> the most financially material issue </w:t>
      </w:r>
      <w:r>
        <w:rPr>
          <w:rFonts w:hint="eastAsia" w:ascii="Times New Roman" w:hAnsi="Times New Roman" w:cs="Times New Roman"/>
          <w:sz w:val="24"/>
          <w:szCs w:val="32"/>
          <w:lang w:eastAsia="zh"/>
          <w:woUserID w:val="5"/>
        </w:rPr>
        <w:t xml:space="preserve">since </w:t>
      </w:r>
      <w:r>
        <w:rPr>
          <w:rFonts w:hint="default" w:ascii="Times New Roman" w:hAnsi="Times New Roman" w:cs="Times New Roman"/>
          <w:sz w:val="24"/>
          <w:szCs w:val="32"/>
          <w:woUserID w:val="5"/>
        </w:rPr>
        <w:t xml:space="preserve">they </w:t>
      </w:r>
      <w:r>
        <w:rPr>
          <w:rFonts w:hint="eastAsia" w:ascii="Times New Roman" w:hAnsi="Times New Roman" w:cs="Times New Roman"/>
          <w:sz w:val="24"/>
          <w:szCs w:val="32"/>
          <w:lang w:eastAsia="zh"/>
          <w:woUserID w:val="5"/>
        </w:rPr>
        <w:t>influences</w:t>
      </w:r>
      <w:r>
        <w:rPr>
          <w:rFonts w:hint="default" w:ascii="Times New Roman" w:hAnsi="Times New Roman" w:cs="Times New Roman"/>
          <w:sz w:val="24"/>
          <w:szCs w:val="32"/>
          <w:woUserID w:val="5"/>
        </w:rPr>
        <w:t xml:space="preserve"> compliance costs, Capex allocation, free cash flow and WACC. Relatively high fleet emissions at Volkswagen </w:t>
      </w:r>
      <w:r>
        <w:rPr>
          <w:rFonts w:hint="eastAsia" w:ascii="Times New Roman" w:hAnsi="Times New Roman" w:cs="Times New Roman"/>
          <w:sz w:val="24"/>
          <w:szCs w:val="32"/>
          <w:lang w:eastAsia="zh"/>
          <w:woUserID w:val="5"/>
        </w:rPr>
        <w:t>potentially</w:t>
      </w:r>
      <w:r>
        <w:rPr>
          <w:rFonts w:hint="default" w:ascii="Times New Roman" w:hAnsi="Times New Roman" w:cs="Times New Roman"/>
          <w:sz w:val="24"/>
          <w:szCs w:val="32"/>
          <w:woUserID w:val="5"/>
        </w:rPr>
        <w:t xml:space="preserve"> expose the company to EU CO₂ penalties, low BEV share </w:t>
      </w:r>
      <w:r>
        <w:rPr>
          <w:rFonts w:hint="eastAsia" w:ascii="Times New Roman" w:hAnsi="Times New Roman" w:cs="Times New Roman"/>
          <w:sz w:val="24"/>
          <w:szCs w:val="32"/>
          <w:lang w:eastAsia="zh"/>
          <w:woUserID w:val="5"/>
        </w:rPr>
        <w:t xml:space="preserve">at Toyota </w:t>
      </w:r>
      <w:r>
        <w:rPr>
          <w:rFonts w:hint="default" w:ascii="Times New Roman" w:hAnsi="Times New Roman" w:cs="Times New Roman"/>
          <w:sz w:val="24"/>
          <w:szCs w:val="32"/>
          <w:woUserID w:val="5"/>
        </w:rPr>
        <w:t xml:space="preserve">may increase reliance on credits or pooling arrangements, and BMW’s stronger BEV progress may lower compliance pressure. Battery minerals, steel/aluminium carbon costs and end-of-life recycling also influence cost of sales, procurement resilience, Capex and long-term value. </w:t>
      </w:r>
      <w:r>
        <w:rPr>
          <w:rFonts w:hint="eastAsia" w:ascii="Times New Roman" w:hAnsi="Times New Roman" w:cs="Times New Roman"/>
          <w:sz w:val="24"/>
          <w:szCs w:val="32"/>
          <w:lang w:eastAsia="zh"/>
          <w:woUserID w:val="5"/>
        </w:rPr>
        <w:t>The risk of g</w:t>
      </w:r>
      <w:r>
        <w:rPr>
          <w:rFonts w:hint="default" w:ascii="Times New Roman" w:hAnsi="Times New Roman" w:cs="Times New Roman"/>
          <w:sz w:val="24"/>
          <w:szCs w:val="32"/>
          <w:woUserID w:val="5"/>
        </w:rPr>
        <w:t xml:space="preserve">reenwashing also vary: Volkswagen reflects a historical say-do gap and compliance-control risk, BMW faces claim-boundary risk in </w:t>
      </w:r>
      <w:r>
        <w:rPr>
          <w:rFonts w:hint="eastAsia" w:ascii="Times New Roman" w:hAnsi="Times New Roman" w:cs="Times New Roman"/>
          <w:sz w:val="24"/>
          <w:szCs w:val="32"/>
          <w:lang w:eastAsia="zh"/>
          <w:woUserID w:val="5"/>
        </w:rPr>
        <w:t xml:space="preserve">its </w:t>
      </w:r>
      <w:r>
        <w:rPr>
          <w:rFonts w:hint="default" w:ascii="Times New Roman" w:hAnsi="Times New Roman" w:cs="Times New Roman"/>
          <w:sz w:val="24"/>
          <w:szCs w:val="32"/>
          <w:woUserID w:val="5"/>
        </w:rPr>
        <w:t>“zero emissions” wording, and Toyota faces selective-disclosure risk in its multi-pathway strategy.</w:t>
      </w:r>
    </w:p>
    <w:p w14:paraId="0569BF76">
      <w:pPr>
        <w:keepNext w:val="0"/>
        <w:keepLines w:val="0"/>
        <w:widowControl/>
        <w:suppressLineNumbers w:val="0"/>
        <w:bidi w:val="0"/>
        <w:rPr>
          <w:rFonts w:hint="default" w:ascii="Times New Roman" w:hAnsi="Times New Roman" w:cs="Times New Roman"/>
          <w:sz w:val="24"/>
          <w:szCs w:val="32"/>
          <w:woUserID w:val="5"/>
        </w:rPr>
      </w:pPr>
    </w:p>
    <w:p w14:paraId="5A0DF58E">
      <w:pPr>
        <w:keepNext w:val="0"/>
        <w:keepLines w:val="0"/>
        <w:widowControl/>
        <w:suppressLineNumbers w:val="0"/>
        <w:bidi w:val="0"/>
        <w:rPr>
          <w:rFonts w:hint="default" w:ascii="Times New Roman" w:hAnsi="Times New Roman" w:cs="Times New Roman"/>
          <w:sz w:val="24"/>
          <w:szCs w:val="32"/>
          <w:woUserID w:val="5"/>
        </w:rPr>
      </w:pPr>
      <w:r>
        <w:rPr>
          <w:rFonts w:hint="eastAsia" w:ascii="Times New Roman" w:hAnsi="Times New Roman" w:cs="Times New Roman"/>
          <w:sz w:val="24"/>
          <w:szCs w:val="32"/>
          <w:lang w:eastAsia="zh"/>
          <w:woUserID w:val="5"/>
        </w:rPr>
        <w:t xml:space="preserve">For </w:t>
      </w:r>
      <w:r>
        <w:rPr>
          <w:rFonts w:hint="default" w:ascii="Times New Roman" w:hAnsi="Times New Roman" w:cs="Times New Roman"/>
          <w:sz w:val="24"/>
          <w:szCs w:val="32"/>
          <w:woUserID w:val="5"/>
        </w:rPr>
        <w:t xml:space="preserve">investors, the findings imply that financial models should include Scope 3 emissions, carbon compliance costs, transition Capex and working-capital pressure, instead of </w:t>
      </w:r>
      <w:r>
        <w:rPr>
          <w:rFonts w:hint="eastAsia" w:ascii="Times New Roman" w:hAnsi="Times New Roman" w:cs="Times New Roman"/>
          <w:sz w:val="24"/>
          <w:szCs w:val="32"/>
          <w:lang w:eastAsia="zh"/>
          <w:woUserID w:val="5"/>
        </w:rPr>
        <w:t xml:space="preserve">just using </w:t>
      </w:r>
      <w:r>
        <w:rPr>
          <w:rFonts w:hint="default" w:ascii="Times New Roman" w:hAnsi="Times New Roman" w:cs="Times New Roman"/>
          <w:sz w:val="24"/>
          <w:szCs w:val="32"/>
          <w:woUserID w:val="5"/>
        </w:rPr>
        <w:t>traditional profitability ratios. The leverage and ROCE of Volkswagen, the</w:t>
      </w:r>
      <w:r>
        <w:rPr>
          <w:rFonts w:hint="eastAsia" w:ascii="Times New Roman" w:hAnsi="Times New Roman" w:cs="Times New Roman"/>
          <w:sz w:val="24"/>
          <w:szCs w:val="32"/>
          <w:lang w:eastAsia="zh"/>
          <w:woUserID w:val="5"/>
        </w:rPr>
        <w:t xml:space="preserve"> </w:t>
      </w:r>
      <w:r>
        <w:rPr>
          <w:rFonts w:hint="default" w:ascii="Times New Roman" w:hAnsi="Times New Roman" w:cs="Times New Roman"/>
          <w:sz w:val="24"/>
          <w:szCs w:val="32"/>
          <w:woUserID w:val="5"/>
        </w:rPr>
        <w:t>asset efficiency and the trend in receivables of Toyota, and whether the Capex and</w:t>
      </w:r>
      <w:r>
        <w:rPr>
          <w:rFonts w:hint="eastAsia" w:ascii="Times New Roman" w:hAnsi="Times New Roman" w:cs="Times New Roman"/>
          <w:sz w:val="24"/>
          <w:szCs w:val="32"/>
          <w:lang w:eastAsia="zh"/>
          <w:woUserID w:val="5"/>
        </w:rPr>
        <w:t xml:space="preserve"> </w:t>
      </w:r>
      <w:r>
        <w:rPr>
          <w:rFonts w:hint="default" w:ascii="Times New Roman" w:hAnsi="Times New Roman" w:cs="Times New Roman"/>
          <w:sz w:val="24"/>
          <w:szCs w:val="32"/>
          <w:woUserID w:val="5"/>
        </w:rPr>
        <w:t>R&amp;D allocation of each of the companies supports the transition narrative should be</w:t>
      </w:r>
      <w:r>
        <w:rPr>
          <w:rFonts w:hint="eastAsia" w:ascii="Times New Roman" w:hAnsi="Times New Roman" w:cs="Times New Roman"/>
          <w:sz w:val="24"/>
          <w:szCs w:val="32"/>
          <w:lang w:eastAsia="zh"/>
          <w:woUserID w:val="5"/>
        </w:rPr>
        <w:t xml:space="preserve"> </w:t>
      </w:r>
      <w:r>
        <w:rPr>
          <w:rFonts w:hint="default" w:ascii="Times New Roman" w:hAnsi="Times New Roman" w:cs="Times New Roman"/>
          <w:sz w:val="24"/>
          <w:szCs w:val="32"/>
          <w:woUserID w:val="5"/>
        </w:rPr>
        <w:t>given particular attention.</w:t>
      </w:r>
    </w:p>
    <w:p w14:paraId="265D1FDD">
      <w:pPr>
        <w:keepNext w:val="0"/>
        <w:keepLines w:val="0"/>
        <w:widowControl/>
        <w:suppressLineNumbers w:val="0"/>
        <w:bidi w:val="0"/>
        <w:rPr>
          <w:rFonts w:hint="eastAsia" w:ascii="Times New Roman" w:hAnsi="Times New Roman" w:cs="Times New Roman"/>
          <w:sz w:val="24"/>
          <w:szCs w:val="32"/>
          <w:lang w:eastAsia="zh"/>
          <w:woUserID w:val="5"/>
        </w:rPr>
      </w:pPr>
    </w:p>
    <w:p w14:paraId="2C6B9C11">
      <w:pPr>
        <w:keepNext w:val="0"/>
        <w:keepLines w:val="0"/>
        <w:widowControl/>
        <w:suppressLineNumbers w:val="0"/>
        <w:bidi w:val="0"/>
        <w:rPr>
          <w:rFonts w:hint="default" w:ascii="Times New Roman" w:hAnsi="Times New Roman" w:cs="Times New Roman"/>
          <w:sz w:val="24"/>
          <w:szCs w:val="32"/>
          <w:woUserID w:val="5"/>
        </w:rPr>
      </w:pPr>
      <w:r>
        <w:rPr>
          <w:rFonts w:hint="eastAsia" w:ascii="Times New Roman" w:hAnsi="Times New Roman" w:cs="Times New Roman"/>
          <w:sz w:val="24"/>
          <w:szCs w:val="32"/>
          <w:lang w:eastAsia="zh"/>
          <w:woUserID w:val="5"/>
        </w:rPr>
        <w:t>For</w:t>
      </w:r>
      <w:r>
        <w:rPr>
          <w:rFonts w:hint="default" w:ascii="Times New Roman" w:hAnsi="Times New Roman" w:cs="Times New Roman"/>
          <w:sz w:val="24"/>
          <w:szCs w:val="32"/>
          <w:woUserID w:val="5"/>
        </w:rPr>
        <w:t xml:space="preserve"> regulators, the analysis shows a need to strengthen the financial materiality linkage </w:t>
      </w:r>
      <w:r>
        <w:rPr>
          <w:rFonts w:hint="eastAsia" w:ascii="Times New Roman" w:hAnsi="Times New Roman" w:cs="Times New Roman"/>
          <w:sz w:val="24"/>
          <w:szCs w:val="32"/>
          <w:lang w:eastAsia="zh"/>
          <w:woUserID w:val="5"/>
        </w:rPr>
        <w:t xml:space="preserve">to </w:t>
      </w:r>
      <w:r>
        <w:rPr>
          <w:rFonts w:hint="default" w:ascii="Times New Roman" w:hAnsi="Times New Roman" w:cs="Times New Roman"/>
          <w:sz w:val="24"/>
          <w:szCs w:val="32"/>
          <w:woUserID w:val="5"/>
        </w:rPr>
        <w:t xml:space="preserve">IFRS S1/S2, ensure a clearer separation of BEV, PHEV, HEV and FCEV indicators, and </w:t>
      </w:r>
      <w:r>
        <w:rPr>
          <w:rFonts w:hint="eastAsia" w:ascii="Times New Roman" w:hAnsi="Times New Roman" w:cs="Times New Roman"/>
          <w:sz w:val="24"/>
          <w:szCs w:val="32"/>
          <w:lang w:eastAsia="zh"/>
          <w:woUserID w:val="5"/>
        </w:rPr>
        <w:t>provide a better understanding of</w:t>
      </w:r>
      <w:r>
        <w:rPr>
          <w:rFonts w:hint="default" w:ascii="Times New Roman" w:hAnsi="Times New Roman" w:cs="Times New Roman"/>
          <w:sz w:val="24"/>
          <w:szCs w:val="32"/>
          <w:woUserID w:val="5"/>
        </w:rPr>
        <w:t xml:space="preserve"> use-phase emissions and cross-border carbon cost allocation under CBAM and EU ETS. More </w:t>
      </w:r>
      <w:r>
        <w:rPr>
          <w:rFonts w:hint="eastAsia" w:ascii="Times New Roman" w:hAnsi="Times New Roman" w:cs="Times New Roman"/>
          <w:sz w:val="24"/>
          <w:szCs w:val="32"/>
          <w:lang w:eastAsia="zh"/>
          <w:woUserID w:val="5"/>
        </w:rPr>
        <w:t xml:space="preserve">open </w:t>
      </w:r>
      <w:r>
        <w:rPr>
          <w:rFonts w:hint="default" w:ascii="Times New Roman" w:hAnsi="Times New Roman" w:cs="Times New Roman"/>
          <w:sz w:val="24"/>
          <w:szCs w:val="32"/>
          <w:woUserID w:val="5"/>
        </w:rPr>
        <w:t xml:space="preserve">assumptions, boundaries and evidence trails would enhance comparability and </w:t>
      </w:r>
      <w:r>
        <w:rPr>
          <w:rFonts w:hint="eastAsia" w:ascii="Times New Roman" w:hAnsi="Times New Roman" w:cs="Times New Roman"/>
          <w:sz w:val="24"/>
          <w:szCs w:val="32"/>
          <w:lang w:eastAsia="zh"/>
          <w:woUserID w:val="5"/>
        </w:rPr>
        <w:t>mitigate the risk of</w:t>
      </w:r>
      <w:r>
        <w:rPr>
          <w:rFonts w:hint="default" w:ascii="Times New Roman" w:hAnsi="Times New Roman" w:cs="Times New Roman"/>
          <w:sz w:val="24"/>
          <w:szCs w:val="32"/>
          <w:woUserID w:val="5"/>
        </w:rPr>
        <w:t xml:space="preserve"> greenwashing.</w:t>
      </w:r>
    </w:p>
    <w:p w14:paraId="19CA5F05">
      <w:pPr>
        <w:keepNext w:val="0"/>
        <w:keepLines w:val="0"/>
        <w:widowControl/>
        <w:suppressLineNumbers w:val="0"/>
        <w:bidi w:val="0"/>
        <w:rPr>
          <w:rFonts w:hint="default" w:ascii="Times New Roman" w:hAnsi="Times New Roman" w:cs="Times New Roman"/>
          <w:sz w:val="24"/>
          <w:szCs w:val="32"/>
          <w:woUserID w:val="5"/>
        </w:rPr>
      </w:pPr>
    </w:p>
    <w:p w14:paraId="78A7A37A">
      <w:pPr>
        <w:keepNext w:val="0"/>
        <w:keepLines w:val="0"/>
        <w:widowControl/>
        <w:suppressLineNumbers w:val="0"/>
        <w:bidi w:val="0"/>
        <w:rPr>
          <w:rFonts w:hint="eastAsia" w:ascii="Times New Roman" w:hAnsi="Times New Roman" w:cs="Times New Roman" w:eastAsiaTheme="minorEastAsia"/>
          <w:sz w:val="24"/>
          <w:szCs w:val="32"/>
          <w:lang w:eastAsia="zh"/>
          <w:woUserID w:val="5"/>
        </w:rPr>
      </w:pPr>
      <w:r>
        <w:rPr>
          <w:rFonts w:hint="default" w:ascii="Times New Roman" w:hAnsi="Times New Roman" w:cs="Times New Roman"/>
          <w:sz w:val="24"/>
          <w:szCs w:val="32"/>
          <w:woUserID w:val="5"/>
        </w:rPr>
        <w:t xml:space="preserve">Structured extraction, preliminary calculation and </w:t>
      </w:r>
      <w:r>
        <w:rPr>
          <w:rFonts w:hint="eastAsia" w:ascii="Times New Roman" w:hAnsi="Times New Roman" w:cs="Times New Roman"/>
          <w:sz w:val="24"/>
          <w:szCs w:val="32"/>
          <w:lang w:eastAsia="zh"/>
          <w:woUserID w:val="5"/>
        </w:rPr>
        <w:t>wording refinement</w:t>
      </w:r>
      <w:r>
        <w:rPr>
          <w:rFonts w:hint="default" w:ascii="Times New Roman" w:hAnsi="Times New Roman" w:cs="Times New Roman"/>
          <w:sz w:val="24"/>
          <w:szCs w:val="32"/>
          <w:woUserID w:val="5"/>
        </w:rPr>
        <w:t xml:space="preserve"> can be supported by GenAI, but results </w:t>
      </w:r>
      <w:r>
        <w:rPr>
          <w:rFonts w:hint="eastAsia" w:ascii="Times New Roman" w:hAnsi="Times New Roman" w:cs="Times New Roman"/>
          <w:sz w:val="24"/>
          <w:szCs w:val="32"/>
          <w:lang w:eastAsia="zh"/>
          <w:woUserID w:val="5"/>
        </w:rPr>
        <w:t>must</w:t>
      </w:r>
      <w:r>
        <w:rPr>
          <w:rFonts w:hint="default" w:ascii="Times New Roman" w:hAnsi="Times New Roman" w:cs="Times New Roman"/>
          <w:sz w:val="24"/>
          <w:szCs w:val="32"/>
          <w:woUserID w:val="5"/>
        </w:rPr>
        <w:t xml:space="preserve"> be verified </w:t>
      </w:r>
      <w:r>
        <w:rPr>
          <w:rFonts w:hint="eastAsia" w:ascii="Times New Roman" w:hAnsi="Times New Roman" w:cs="Times New Roman"/>
          <w:sz w:val="24"/>
          <w:szCs w:val="32"/>
          <w:lang w:eastAsia="zh"/>
          <w:woUserID w:val="5"/>
        </w:rPr>
        <w:t xml:space="preserve">against </w:t>
      </w:r>
      <w:r>
        <w:rPr>
          <w:rFonts w:hint="default" w:ascii="Times New Roman" w:hAnsi="Times New Roman" w:cs="Times New Roman"/>
          <w:sz w:val="24"/>
          <w:szCs w:val="32"/>
          <w:woUserID w:val="5"/>
        </w:rPr>
        <w:t xml:space="preserve">original reports and reliable sources. As demonstrated in this project, professional judgement is </w:t>
      </w:r>
      <w:r>
        <w:rPr>
          <w:rFonts w:hint="eastAsia" w:ascii="Times New Roman" w:hAnsi="Times New Roman" w:cs="Times New Roman"/>
          <w:sz w:val="24"/>
          <w:szCs w:val="32"/>
          <w:lang w:eastAsia="zh"/>
          <w:woUserID w:val="5"/>
        </w:rPr>
        <w:t>crucial</w:t>
      </w:r>
      <w:r>
        <w:rPr>
          <w:rFonts w:hint="default" w:ascii="Times New Roman" w:hAnsi="Times New Roman" w:cs="Times New Roman"/>
          <w:sz w:val="24"/>
          <w:szCs w:val="32"/>
          <w:woUserID w:val="5"/>
        </w:rPr>
        <w:t xml:space="preserve"> in </w:t>
      </w:r>
      <w:r>
        <w:rPr>
          <w:rFonts w:hint="eastAsia" w:ascii="Times New Roman" w:hAnsi="Times New Roman" w:cs="Times New Roman"/>
          <w:sz w:val="24"/>
          <w:szCs w:val="32"/>
          <w:lang w:eastAsia="zh"/>
          <w:woUserID w:val="5"/>
        </w:rPr>
        <w:t xml:space="preserve">defining the </w:t>
      </w:r>
      <w:r>
        <w:rPr>
          <w:rFonts w:hint="default" w:ascii="Times New Roman" w:hAnsi="Times New Roman" w:cs="Times New Roman"/>
          <w:sz w:val="24"/>
          <w:szCs w:val="32"/>
          <w:woUserID w:val="5"/>
        </w:rPr>
        <w:t>boundaries</w:t>
      </w:r>
      <w:r>
        <w:rPr>
          <w:rFonts w:hint="eastAsia" w:ascii="Times New Roman" w:hAnsi="Times New Roman" w:cs="Times New Roman"/>
          <w:sz w:val="24"/>
          <w:szCs w:val="32"/>
          <w:lang w:eastAsia="zh"/>
          <w:woUserID w:val="5"/>
        </w:rPr>
        <w:t xml:space="preserve"> of claims</w:t>
      </w:r>
      <w:r>
        <w:rPr>
          <w:rFonts w:hint="default" w:ascii="Times New Roman" w:hAnsi="Times New Roman" w:cs="Times New Roman"/>
          <w:sz w:val="24"/>
          <w:szCs w:val="32"/>
          <w:woUserID w:val="5"/>
        </w:rPr>
        <w:t xml:space="preserve">, </w:t>
      </w:r>
      <w:r>
        <w:rPr>
          <w:rFonts w:hint="eastAsia" w:ascii="Times New Roman" w:hAnsi="Times New Roman" w:cs="Times New Roman"/>
          <w:sz w:val="24"/>
          <w:szCs w:val="32"/>
          <w:lang w:eastAsia="zh"/>
          <w:woUserID w:val="5"/>
        </w:rPr>
        <w:t xml:space="preserve">verifying </w:t>
      </w:r>
      <w:r>
        <w:rPr>
          <w:rFonts w:hint="default" w:ascii="Times New Roman" w:hAnsi="Times New Roman" w:cs="Times New Roman"/>
          <w:sz w:val="24"/>
          <w:szCs w:val="32"/>
          <w:woUserID w:val="5"/>
        </w:rPr>
        <w:t>evidence and translating non-financial information into</w:t>
      </w:r>
      <w:r>
        <w:rPr>
          <w:rFonts w:hint="eastAsia" w:ascii="Times New Roman" w:hAnsi="Times New Roman" w:cs="Times New Roman"/>
          <w:sz w:val="24"/>
          <w:szCs w:val="32"/>
          <w:lang w:eastAsia="zh"/>
          <w:woUserID w:val="5"/>
        </w:rPr>
        <w:t xml:space="preserve"> </w:t>
      </w:r>
      <w:r>
        <w:rPr>
          <w:rFonts w:hint="default" w:ascii="Times New Roman" w:hAnsi="Times New Roman" w:cs="Times New Roman"/>
          <w:sz w:val="24"/>
          <w:szCs w:val="32"/>
          <w:woUserID w:val="5"/>
        </w:rPr>
        <w:t>auditable disclosures.</w:t>
      </w:r>
    </w:p>
    <w:p w14:paraId="446633D0">
      <w:pPr>
        <w:rPr>
          <w:rFonts w:hint="default" w:ascii="Times New Roman" w:hAnsi="Times New Roman" w:eastAsia="Tahoma" w:cs="Times New Roman"/>
          <w:kern w:val="2"/>
          <w:lang w:val="en-US" w:eastAsia="zh-CN" w:bidi="ar"/>
          <w:woUserID w:val="5"/>
        </w:rPr>
      </w:pPr>
      <w:r>
        <w:rPr>
          <w:rFonts w:hint="default" w:ascii="Times New Roman" w:hAnsi="Times New Roman" w:eastAsia="Tahoma" w:cs="Times New Roman"/>
          <w:kern w:val="2"/>
          <w:lang w:val="en-US" w:eastAsia="zh-CN" w:bidi="ar"/>
          <w:woUserID w:val="5"/>
        </w:rPr>
        <w:br w:type="page"/>
      </w:r>
    </w:p>
    <w:p w14:paraId="69021FBC">
      <w:pPr>
        <w:pStyle w:val="2"/>
        <w:keepNext w:val="0"/>
        <w:keepLines w:val="0"/>
        <w:widowControl w:val="0"/>
        <w:numPr>
          <w:ilvl w:val="0"/>
          <w:numId w:val="0"/>
        </w:numPr>
        <w:suppressLineNumbers w:val="0"/>
        <w:bidi w:val="0"/>
        <w:spacing w:line="240" w:lineRule="auto"/>
        <w:ind w:right="0" w:rightChars="0"/>
        <w:jc w:val="both"/>
        <w:rPr>
          <w:rFonts w:hint="default" w:ascii="Times New Roman" w:hAnsi="Times New Roman" w:eastAsia="Tahoma" w:cs="Times New Roman"/>
          <w:kern w:val="2"/>
          <w:lang w:val="en-US" w:eastAsia="zh" w:bidi="ar"/>
          <w:woUserID w:val="5"/>
        </w:rPr>
      </w:pPr>
      <w:bookmarkStart w:id="26" w:name="_Toc1186319462"/>
      <w:r>
        <w:rPr>
          <w:rFonts w:hint="default" w:ascii="Times New Roman" w:hAnsi="Times New Roman" w:eastAsia="Tahoma" w:cs="Times New Roman"/>
          <w:kern w:val="2"/>
          <w:lang w:val="en-US" w:eastAsia="zh-CN" w:bidi="ar"/>
          <w:woUserID w:val="5"/>
        </w:rPr>
        <w:t>Reference</w:t>
      </w:r>
      <w:r>
        <w:rPr>
          <w:rFonts w:hint="default" w:ascii="Times New Roman" w:hAnsi="Times New Roman" w:eastAsia="Tahoma" w:cs="Times New Roman"/>
          <w:kern w:val="2"/>
          <w:lang w:val="en-US" w:eastAsia="zh" w:bidi="ar"/>
          <w:woUserID w:val="5"/>
        </w:rPr>
        <w:t>s</w:t>
      </w:r>
      <w:bookmarkEnd w:id="26"/>
    </w:p>
    <w:p w14:paraId="5A7F9477">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Advertising Standards Authority (ASA) (2024) </w:t>
      </w:r>
      <w:r>
        <w:rPr>
          <w:rStyle w:val="14"/>
          <w:rFonts w:hint="default" w:ascii="Times New Roman" w:hAnsi="Times New Roman" w:cs="Times New Roman"/>
          <w:sz w:val="24"/>
          <w:szCs w:val="24"/>
          <w:woUserID w:val="5"/>
        </w:rPr>
        <w:t>ASA Ruling on BMW (UK) Ltd</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"https://www.asa.org.uk/rulings/bmw--uk--ltd-a23-1209400-bmw--uk--ltd.html"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https://www.asa.org.uk/rulings/bmw--uk--ltd-a23-1209400-bmw--uk--ltd.html</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7ED5810B">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BloombergNEF (2025) </w:t>
      </w:r>
      <w:r>
        <w:rPr>
          <w:rStyle w:val="14"/>
          <w:rFonts w:hint="default" w:ascii="Times New Roman" w:hAnsi="Times New Roman" w:cs="Times New Roman"/>
          <w:sz w:val="24"/>
          <w:szCs w:val="24"/>
          <w:woUserID w:val="5"/>
        </w:rPr>
        <w:t>EU ETS II pricing scenarios</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"https://about.bnef.com/insights/commodities/eu-ets-ii-pricing-scenarios/"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https://about.bnef.com/insights/commodities/eu-ets-ii-pricing-scenarios/</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6BD59ED7">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BMW Group (2024) </w:t>
      </w:r>
      <w:r>
        <w:rPr>
          <w:rStyle w:val="14"/>
          <w:rFonts w:hint="default" w:ascii="Times New Roman" w:hAnsi="Times New Roman" w:cs="Times New Roman"/>
          <w:sz w:val="24"/>
          <w:szCs w:val="24"/>
          <w:woUserID w:val="5"/>
        </w:rPr>
        <w:t>BMW Group Report 2023</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"https://www.bmwgroup.com/en/report/2023/downloads/BMW-Group-Report-2023-en.pdf?utm_source=chatgpt.com"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https://www.bmwgroup.com/en/report/2023/downloads/BMW-Group-Report-2023-en.pdf</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748AAA6C">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BMW Group (2025) </w:t>
      </w:r>
      <w:r>
        <w:rPr>
          <w:rStyle w:val="14"/>
          <w:rFonts w:hint="default" w:ascii="Times New Roman" w:hAnsi="Times New Roman" w:cs="Times New Roman"/>
          <w:sz w:val="24"/>
          <w:szCs w:val="24"/>
          <w:woUserID w:val="5"/>
        </w:rPr>
        <w:t>BMW Group Report 2024</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"https://www.bmwgroup.com/en/report/2024/downloads/BMW-Group-Report-2024-en.pdf?utm_source=chatgpt.com"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https://www.bmwgroup.com/en/report/2024/downloads/BMW-Group-Report-2024-en.pdf</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3A08F208">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BMW Group (2026) </w:t>
      </w:r>
      <w:r>
        <w:rPr>
          <w:rStyle w:val="14"/>
          <w:rFonts w:hint="default" w:ascii="Times New Roman" w:hAnsi="Times New Roman" w:cs="Times New Roman"/>
          <w:sz w:val="24"/>
          <w:szCs w:val="24"/>
          <w:woUserID w:val="5"/>
        </w:rPr>
        <w:t>BMW Group Report 2025</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"https://www.bmwgroup.com/content/dam/grpw/websites/bmwgroup_com/ir/downloads/en/2026/bericht/BMW-Group-Report-2025-en.pdf?utm_source=chatgpt.com"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https://www.bmwgroup.com/content/dam/grpw/websites/bmwgroup_com/ir/downloads/en/2026/bericht/BMW-Group-Report-2025-en.pdf</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10A4D524">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Boston Consulting Group (BCG) (2023) </w:t>
      </w:r>
      <w:r>
        <w:rPr>
          <w:rStyle w:val="14"/>
          <w:rFonts w:hint="default" w:ascii="Times New Roman" w:hAnsi="Times New Roman" w:cs="Times New Roman"/>
          <w:sz w:val="24"/>
          <w:szCs w:val="24"/>
          <w:woUserID w:val="5"/>
        </w:rPr>
        <w:t>The art of capital allocation</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"https://www.bcg.com/publications/2023/corporate-development-finance-function-excellence-art-of-capital-allocation"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https://www.bcg.com/publications/2023/corporate-development-finance-function-excellence-art-of-capital-allocation</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03437836">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CCTV (2016) </w:t>
      </w:r>
      <w:r>
        <w:rPr>
          <w:rStyle w:val="14"/>
          <w:rFonts w:hint="default" w:ascii="Times New Roman" w:hAnsi="Times New Roman" w:cs="Times New Roman"/>
          <w:sz w:val="24"/>
          <w:szCs w:val="24"/>
          <w:woUserID w:val="5"/>
        </w:rPr>
        <w:t>Volkswagen “排放门”147 亿和解协议获法官批准</w:t>
      </w:r>
      <w:r>
        <w:rPr>
          <w:rStyle w:val="14"/>
          <w:rFonts w:hint="default" w:ascii="Times New Roman" w:hAnsi="Times New Roman" w:cs="Times New Roman"/>
          <w:sz w:val="24"/>
          <w:szCs w:val="24"/>
          <w:lang w:eastAsia="zh"/>
          <w:woUserID w:val="5"/>
        </w:rPr>
        <w:t xml:space="preserve"> </w:t>
      </w:r>
      <w:r>
        <w:rPr>
          <w:rStyle w:val="14"/>
          <w:rFonts w:hint="default" w:ascii="Times New Roman" w:hAnsi="Times New Roman" w:cs="Times New Roman"/>
          <w:i w:val="0"/>
          <w:iCs w:val="0"/>
          <w:sz w:val="24"/>
          <w:szCs w:val="24"/>
          <w:lang w:eastAsia="zh"/>
          <w:woUserID w:val="5"/>
        </w:rPr>
        <w:t>[Volkswagen “emissions scandal” RMB 14.7 billion settlement agreement approved by judge]</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"https://m.news.cctv.com/2016/10/26/ARTI4GkBVEaiMaqn3l38uyl7161026.shtml"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https://m.news.cctv.com/2016/10/26/ARTI4GkBVEaiMaqn3l38uyl7161026.shtml</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06A3B260">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Climease (2025) </w:t>
      </w:r>
      <w:r>
        <w:rPr>
          <w:rStyle w:val="14"/>
          <w:rFonts w:hint="default" w:ascii="Times New Roman" w:hAnsi="Times New Roman" w:cs="Times New Roman"/>
          <w:sz w:val="24"/>
          <w:szCs w:val="24"/>
          <w:woUserID w:val="5"/>
        </w:rPr>
        <w:t xml:space="preserve">The CBAM scope expansion </w:t>
      </w:r>
      <w:r>
        <w:rPr>
          <w:rStyle w:val="14"/>
          <w:rFonts w:hint="default" w:ascii="Times New Roman" w:hAnsi="Times New Roman" w:cs="Times New Roman"/>
          <w:sz w:val="24"/>
          <w:szCs w:val="24"/>
          <w:lang w:eastAsia="zh"/>
          <w:woUserID w:val="5"/>
        </w:rPr>
        <w:t>-</w:t>
      </w:r>
      <w:r>
        <w:rPr>
          <w:rStyle w:val="14"/>
          <w:rFonts w:hint="default" w:ascii="Times New Roman" w:hAnsi="Times New Roman" w:cs="Times New Roman"/>
          <w:sz w:val="24"/>
          <w:szCs w:val="24"/>
          <w:woUserID w:val="5"/>
        </w:rPr>
        <w:t xml:space="preserve"> what to expect next</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"https://climease.com/en/the-cbam-scope-expansion-what-to-expect-next/"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https://climease.com/en/the-cbam-scope-expansion-what-to-expect-next/</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4BBE2D63">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European Commission (n.d.) </w:t>
      </w:r>
      <w:r>
        <w:rPr>
          <w:rStyle w:val="14"/>
          <w:rFonts w:hint="default" w:ascii="Times New Roman" w:hAnsi="Times New Roman" w:cs="Times New Roman"/>
          <w:sz w:val="24"/>
          <w:szCs w:val="24"/>
          <w:woUserID w:val="5"/>
        </w:rPr>
        <w:t>EU action: transport decarbonisation, road transport, cars and vans</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"https://climate.ec.europa.eu/eu-action/transport-decarbonisation/road-transport/cars-and-vans_en"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https://climate.ec.europa.eu/eu-action/transport-decarbonisation/road-transport/cars-and-vans_en</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30E64DDB">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European Hydrogen Observatory (2025) </w:t>
      </w:r>
      <w:r>
        <w:rPr>
          <w:rStyle w:val="14"/>
          <w:rFonts w:hint="default" w:ascii="Times New Roman" w:hAnsi="Times New Roman" w:cs="Times New Roman"/>
          <w:sz w:val="24"/>
          <w:szCs w:val="24"/>
          <w:woUserID w:val="5"/>
        </w:rPr>
        <w:t>CO2 emission performance standards for passenger cars and light duty vehicles</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"https://observatory.clean-hydrogen.europa.eu/eu-policy/co2-emission-performance-standards-passenger-cars-and-light-duty-vehicles"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https://observatory.clean-hydrogen.europa.eu/eu-policy/co2-emission-performance-standards-passenger-cars-and-light-duty-vehicles</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2C0FC4FB">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Graf-Vlachy, L. and Hettler, M. (2024) </w:t>
      </w:r>
      <w:r>
        <w:rPr>
          <w:rStyle w:val="14"/>
          <w:rFonts w:hint="default" w:ascii="Times New Roman" w:hAnsi="Times New Roman" w:cs="Times New Roman"/>
          <w:sz w:val="24"/>
          <w:szCs w:val="24"/>
          <w:woUserID w:val="5"/>
        </w:rPr>
        <w:t>Why firms are not reporting their Scope 3 CO2 emissions</w:t>
      </w:r>
      <w:r>
        <w:rPr>
          <w:rFonts w:hint="default" w:ascii="Times New Roman" w:hAnsi="Times New Roman" w:cs="Times New Roman"/>
          <w:sz w:val="24"/>
          <w:szCs w:val="24"/>
          <w:woUserID w:val="5"/>
        </w:rPr>
        <w:t xml:space="preserve">. California Management Review.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"https://cmr.berkeley.edu/2024/03/why-firms-are-not-reporting-their-scope-3-co2-emissions/"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https://cmr.berkeley.edu/2024/03/why-firms-are-not-reporting-their-scope-3-co2-emissions/</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79325811">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Greenpeace Australia Pacific (2023) </w:t>
      </w:r>
      <w:r>
        <w:rPr>
          <w:rStyle w:val="14"/>
          <w:rFonts w:hint="default" w:ascii="Times New Roman" w:hAnsi="Times New Roman" w:cs="Times New Roman"/>
          <w:sz w:val="24"/>
          <w:szCs w:val="24"/>
          <w:woUserID w:val="5"/>
        </w:rPr>
        <w:t>Greenpeace files ACCC greenwashing complaint against Toyota</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"https://www.greenpeace.org.au/news/greenpeace-files-accc-greenwashing-complaint-against-toyota/"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https://www.greenpeace.org.au/news/greenpeace-files-accc-greenwashing-complaint-against-toyota/</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4BAE4C86">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Home, A. (2024) </w:t>
      </w:r>
      <w:r>
        <w:rPr>
          <w:rFonts w:hint="default" w:ascii="Times New Roman" w:hAnsi="Times New Roman" w:cs="Times New Roman"/>
          <w:i/>
          <w:iCs/>
          <w:sz w:val="24"/>
          <w:szCs w:val="24"/>
          <w:woUserID w:val="5"/>
        </w:rPr>
        <w:t>Electric dreams turn into a nightmare for battery metals</w:t>
      </w:r>
      <w:r>
        <w:rPr>
          <w:rFonts w:hint="default" w:ascii="Times New Roman" w:hAnsi="Times New Roman" w:cs="Times New Roman"/>
          <w:sz w:val="24"/>
          <w:szCs w:val="24"/>
          <w:woUserID w:val="5"/>
        </w:rPr>
        <w:t xml:space="preserve">. Reuters, 23 December.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"https://www.reuters.com/markets/commodities/electric-dreams-turn-into-nightmare-battery-metals-andy-home-2024-12-20/"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https://www.reuters.com/markets/commodities/electric-dreams-turn-into-nightmare-battery-metals-andy-home-2024-12-20/</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lang w:eastAsia="zh"/>
          <w:woUserID w:val="5"/>
        </w:rPr>
        <w:t xml:space="preserve"> </w:t>
      </w:r>
      <w:r>
        <w:rPr>
          <w:rFonts w:hint="default" w:ascii="Times New Roman" w:hAnsi="Times New Roman" w:cs="Times New Roman"/>
          <w:sz w:val="24"/>
          <w:szCs w:val="24"/>
          <w:woUserID w:val="5"/>
        </w:rPr>
        <w:t>(Accessed: 3 May 2026).</w:t>
      </w:r>
    </w:p>
    <w:p w14:paraId="6C894247">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Huang, X. (2022) </w:t>
      </w:r>
      <w:r>
        <w:rPr>
          <w:rFonts w:hint="default" w:ascii="Times New Roman" w:hAnsi="Times New Roman" w:cs="Times New Roman"/>
          <w:i/>
          <w:iCs/>
          <w:sz w:val="24"/>
          <w:szCs w:val="24"/>
          <w:woUserID w:val="5"/>
        </w:rPr>
        <w:t>一体压铸方兴未艾，推动车身制造变革</w:t>
      </w:r>
      <w:r>
        <w:rPr>
          <w:rFonts w:hint="default" w:ascii="Times New Roman" w:hAnsi="Times New Roman" w:cs="Times New Roman"/>
          <w:sz w:val="24"/>
          <w:szCs w:val="24"/>
          <w:woUserID w:val="5"/>
        </w:rPr>
        <w:t xml:space="preserve"> [Integrated die-casting is emerging and promoting transformation in vehicle body manufacturing]. Dongguan Securities.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"https://pdf.dfcfw.com/pdf/H3_AP202210311579673450_1.pdf"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https://pdf.dfcfw.com/pdf/H3_AP202210311579673450_1.pdf</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lang w:eastAsia="zh"/>
          <w:woUserID w:val="5"/>
        </w:rPr>
        <w:t xml:space="preserve"> </w:t>
      </w:r>
      <w:r>
        <w:rPr>
          <w:rFonts w:hint="default" w:ascii="Times New Roman" w:hAnsi="Times New Roman" w:cs="Times New Roman"/>
          <w:sz w:val="24"/>
          <w:szCs w:val="24"/>
          <w:woUserID w:val="5"/>
        </w:rPr>
        <w:t>(Accessed: 3 May 2026).</w:t>
      </w:r>
    </w:p>
    <w:p w14:paraId="0DAFC4FD">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IEA (2025) </w:t>
      </w:r>
      <w:r>
        <w:rPr>
          <w:rStyle w:val="14"/>
          <w:rFonts w:hint="default" w:ascii="Times New Roman" w:hAnsi="Times New Roman" w:cs="Times New Roman"/>
          <w:sz w:val="24"/>
          <w:szCs w:val="24"/>
          <w:woUserID w:val="5"/>
        </w:rPr>
        <w:t>Global EV Outlook 2025</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"https://www.iea.org/reports/global-ev-outlook-2025?utm_source=chatgpt.com"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https://www.iea.org/reports/global-ev-outlook-2025</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537929F3">
      <w:pPr>
        <w:keepNext w:val="0"/>
        <w:keepLines w:val="0"/>
        <w:widowControl/>
        <w:suppressLineNumbers w:val="0"/>
        <w:spacing w:line="240" w:lineRule="auto"/>
        <w:jc w:val="left"/>
        <w:rPr>
          <w:rFonts w:hint="default" w:ascii="Times New Roman" w:hAnsi="Times New Roman" w:cs="Times New Roman"/>
          <w:sz w:val="24"/>
          <w:szCs w:val="24"/>
          <w:woUserID w:val="5"/>
        </w:rPr>
      </w:pPr>
      <w:r>
        <w:rPr>
          <w:rFonts w:hint="default" w:ascii="Times New Roman" w:hAnsi="Times New Roman" w:eastAsia="宋体" w:cs="Times New Roman"/>
          <w:kern w:val="0"/>
          <w:sz w:val="24"/>
          <w:szCs w:val="24"/>
          <w:lang w:val="en-US" w:eastAsia="zh-CN" w:bidi="ar"/>
          <w:woUserID w:val="5"/>
        </w:rPr>
        <w:t xml:space="preserve">IFRS Foundation (2023a) </w:t>
      </w:r>
      <w:r>
        <w:rPr>
          <w:rFonts w:hint="default" w:ascii="Times New Roman" w:hAnsi="Times New Roman" w:eastAsia="宋体" w:cs="Times New Roman"/>
          <w:i/>
          <w:iCs/>
          <w:kern w:val="0"/>
          <w:sz w:val="24"/>
          <w:szCs w:val="24"/>
          <w:lang w:val="en-US" w:eastAsia="zh-CN" w:bidi="ar"/>
          <w:woUserID w:val="5"/>
        </w:rPr>
        <w:t>IFRS S1 General Requirements for Disclosure of Sustainability-related Financial Information</w:t>
      </w:r>
      <w:r>
        <w:rPr>
          <w:rFonts w:hint="default" w:ascii="Times New Roman" w:hAnsi="Times New Roman" w:eastAsia="宋体" w:cs="Times New Roman"/>
          <w:kern w:val="0"/>
          <w:sz w:val="24"/>
          <w:szCs w:val="24"/>
          <w:lang w:val="en-US" w:eastAsia="zh-CN" w:bidi="ar"/>
          <w:woUserID w:val="5"/>
        </w:rPr>
        <w:t xml:space="preserve">. Available at: </w:t>
      </w:r>
      <w:r>
        <w:rPr>
          <w:rFonts w:hint="default" w:ascii="Times New Roman" w:hAnsi="Times New Roman" w:eastAsia="宋体" w:cs="Times New Roman"/>
          <w:kern w:val="0"/>
          <w:sz w:val="24"/>
          <w:szCs w:val="24"/>
          <w:lang w:val="en-US" w:eastAsia="zh-CN" w:bidi="ar"/>
          <w:woUserID w:val="5"/>
        </w:rPr>
        <w:fldChar w:fldCharType="begin"/>
      </w:r>
      <w:r>
        <w:rPr>
          <w:rFonts w:hint="default" w:ascii="Times New Roman" w:hAnsi="Times New Roman" w:eastAsia="宋体" w:cs="Times New Roman"/>
          <w:kern w:val="0"/>
          <w:sz w:val="24"/>
          <w:szCs w:val="24"/>
          <w:lang w:val="en-US" w:eastAsia="zh-CN" w:bidi="ar"/>
          <w:woUserID w:val="5"/>
        </w:rPr>
        <w:instrText xml:space="preserve"> HYPERLINK "https://www.ifrs.org/issued-standards/ifrs-sustainability-standards-navigator/ifrs-s1-general-requirements/" \t "_new" </w:instrText>
      </w:r>
      <w:r>
        <w:rPr>
          <w:rFonts w:hint="default" w:ascii="Times New Roman" w:hAnsi="Times New Roman" w:eastAsia="宋体" w:cs="Times New Roman"/>
          <w:kern w:val="0"/>
          <w:sz w:val="24"/>
          <w:szCs w:val="24"/>
          <w:lang w:val="en-US" w:eastAsia="zh-CN" w:bidi="ar"/>
          <w:woUserID w:val="5"/>
        </w:rPr>
        <w:fldChar w:fldCharType="separate"/>
      </w:r>
      <w:r>
        <w:rPr>
          <w:rStyle w:val="15"/>
          <w:rFonts w:hint="default" w:ascii="Times New Roman" w:hAnsi="Times New Roman" w:eastAsia="宋体" w:cs="Times New Roman"/>
          <w:sz w:val="24"/>
          <w:szCs w:val="24"/>
          <w:woUserID w:val="5"/>
        </w:rPr>
        <w:t>https://www.ifrs.org/issued-standards/ifrs-sustainability-standards-navigator/ifrs-s1-general-requirements/</w:t>
      </w:r>
      <w:r>
        <w:rPr>
          <w:rFonts w:hint="default" w:ascii="Times New Roman" w:hAnsi="Times New Roman" w:eastAsia="宋体" w:cs="Times New Roman"/>
          <w:kern w:val="0"/>
          <w:sz w:val="24"/>
          <w:szCs w:val="24"/>
          <w:lang w:val="en-US" w:eastAsia="zh-CN" w:bidi="ar"/>
          <w:woUserID w:val="5"/>
        </w:rPr>
        <w:fldChar w:fldCharType="end"/>
      </w:r>
      <w:r>
        <w:rPr>
          <w:rFonts w:hint="default" w:ascii="Times New Roman" w:hAnsi="Times New Roman" w:eastAsia="宋体" w:cs="Times New Roman"/>
          <w:kern w:val="0"/>
          <w:sz w:val="24"/>
          <w:szCs w:val="24"/>
          <w:lang w:val="en-US" w:eastAsia="zh-CN" w:bidi="ar"/>
          <w:woUserID w:val="5"/>
        </w:rPr>
        <w:t xml:space="preserve"> (Accessed: 3 May 2026).</w:t>
      </w:r>
    </w:p>
    <w:p w14:paraId="269BCF92">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IFRS Foundation (2023b) </w:t>
      </w:r>
      <w:r>
        <w:rPr>
          <w:rFonts w:hint="default" w:ascii="Times New Roman" w:hAnsi="Times New Roman" w:cs="Times New Roman"/>
          <w:i/>
          <w:iCs/>
          <w:sz w:val="24"/>
          <w:szCs w:val="24"/>
          <w:woUserID w:val="5"/>
        </w:rPr>
        <w:t>IFRS S2 Climate-related Disclosures</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"https://www.ifrs.org/issued-standards/ifrs-sustainability-standards-navigator/ifrs-s2-climate-related-disclosures/"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https://www.ifrs.org/issued-standards/ifrs-sustainability-standards-navigator/ifrs-s2-climate-related-disclosures/</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lang w:eastAsia="zh"/>
          <w:woUserID w:val="5"/>
        </w:rPr>
        <w:t xml:space="preserve"> </w:t>
      </w:r>
      <w:r>
        <w:rPr>
          <w:rFonts w:hint="default" w:ascii="Times New Roman" w:hAnsi="Times New Roman" w:cs="Times New Roman"/>
          <w:sz w:val="24"/>
          <w:szCs w:val="24"/>
          <w:woUserID w:val="5"/>
        </w:rPr>
        <w:t>(Accessed: 3 May 2026).</w:t>
      </w:r>
    </w:p>
    <w:p w14:paraId="1BA1D17B">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IPCC (2022) </w:t>
      </w:r>
      <w:r>
        <w:rPr>
          <w:rStyle w:val="14"/>
          <w:rFonts w:hint="default" w:ascii="Times New Roman" w:hAnsi="Times New Roman" w:cs="Times New Roman"/>
          <w:sz w:val="24"/>
          <w:szCs w:val="24"/>
          <w:woUserID w:val="5"/>
        </w:rPr>
        <w:t>Climate Change 2022: Mitigation of Climate Change. Contribution of Working Group III to the Sixth Assessment Report of the Intergovernmental Panel on Climate Change</w:t>
      </w:r>
      <w:r>
        <w:rPr>
          <w:rFonts w:hint="default" w:ascii="Times New Roman" w:hAnsi="Times New Roman" w:cs="Times New Roman"/>
          <w:sz w:val="24"/>
          <w:szCs w:val="24"/>
          <w:woUserID w:val="5"/>
        </w:rPr>
        <w:t xml:space="preserve">. Cambridge: Cambridge University Press.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"https://www.ipcc.ch/report/ar6/wg3/chapter/chapter-10/"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https://www.ipcc.ch/report/ar6/wg3/chapter/chapter-10/</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156F9426">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Li, M., Zhu, Z. and Ding, S. (2025) </w:t>
      </w:r>
      <w:r>
        <w:rPr>
          <w:rFonts w:hint="default" w:ascii="Times New Roman" w:hAnsi="Times New Roman" w:cs="Times New Roman"/>
          <w:i/>
          <w:iCs/>
          <w:sz w:val="24"/>
          <w:szCs w:val="24"/>
          <w:woUserID w:val="5"/>
        </w:rPr>
        <w:t>电动车制造离“绿”还远</w:t>
      </w:r>
      <w:r>
        <w:rPr>
          <w:rFonts w:hint="default" w:ascii="Times New Roman" w:hAnsi="Times New Roman" w:cs="Times New Roman"/>
          <w:i/>
          <w:iCs/>
          <w:sz w:val="24"/>
          <w:szCs w:val="24"/>
          <w:lang w:eastAsia="zh"/>
          <w:woUserID w:val="5"/>
        </w:rPr>
        <w:t xml:space="preserve"> </w:t>
      </w:r>
      <w:r>
        <w:rPr>
          <w:rFonts w:hint="default" w:ascii="Times New Roman" w:hAnsi="Times New Roman" w:cs="Times New Roman"/>
          <w:b w:val="0"/>
          <w:bCs w:val="0"/>
          <w:i w:val="0"/>
          <w:iCs w:val="0"/>
          <w:sz w:val="24"/>
          <w:szCs w:val="24"/>
          <w:lang w:eastAsia="zh"/>
          <w:woUserID w:val="5"/>
        </w:rPr>
        <w:t>[</w:t>
      </w:r>
      <w:r>
        <w:rPr>
          <w:rStyle w:val="14"/>
          <w:rFonts w:hint="default" w:ascii="Times New Roman" w:hAnsi="Times New Roman" w:cs="Times New Roman"/>
          <w:b w:val="0"/>
          <w:bCs w:val="0"/>
          <w:i w:val="0"/>
          <w:iCs w:val="0"/>
          <w:sz w:val="24"/>
          <w:szCs w:val="24"/>
          <w:woUserID w:val="5"/>
        </w:rPr>
        <w:t>Electric vehicle manufacturing is still far from being green</w:t>
      </w:r>
      <w:r>
        <w:rPr>
          <w:rStyle w:val="14"/>
          <w:rFonts w:hint="default" w:ascii="Times New Roman" w:hAnsi="Times New Roman" w:cs="Times New Roman"/>
          <w:b w:val="0"/>
          <w:bCs w:val="0"/>
          <w:i w:val="0"/>
          <w:iCs w:val="0"/>
          <w:sz w:val="24"/>
          <w:szCs w:val="24"/>
          <w:lang w:eastAsia="zh"/>
          <w:woUserID w:val="5"/>
        </w:rPr>
        <w:t>]</w:t>
      </w:r>
      <w:r>
        <w:rPr>
          <w:rFonts w:hint="default" w:ascii="Times New Roman" w:hAnsi="Times New Roman" w:cs="Times New Roman"/>
          <w:sz w:val="24"/>
          <w:szCs w:val="24"/>
          <w:woUserID w:val="5"/>
        </w:rPr>
        <w:t xml:space="preserve">. The Paper.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"https://m.thepaper.cn/newsDetail_forward_31534907"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https://m.thepaper.cn/newsDetail_forward_31534907</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378CD735">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McKinsey &amp; Company (2022) </w:t>
      </w:r>
      <w:r>
        <w:rPr>
          <w:rStyle w:val="14"/>
          <w:rFonts w:hint="default" w:ascii="Times New Roman" w:hAnsi="Times New Roman" w:cs="Times New Roman"/>
          <w:sz w:val="24"/>
          <w:szCs w:val="24"/>
          <w:woUserID w:val="5"/>
        </w:rPr>
        <w:t>How capital expenditure management can drive performance</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"https://www.mckinsey.com/capabilities/strategy-and-corporate-finance/our-insights/how-capital-expenditure-management-can-drive-performance"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https://www.mckinsey.com/capabilities/strategy-and-corporate-finance/our-insights/how-capital-expenditure-management-can-drive-performance</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57956F72">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PwC (2024) </w:t>
      </w:r>
      <w:r>
        <w:rPr>
          <w:rStyle w:val="14"/>
          <w:rFonts w:hint="default" w:ascii="Times New Roman" w:hAnsi="Times New Roman" w:cs="Times New Roman"/>
          <w:sz w:val="24"/>
          <w:szCs w:val="24"/>
          <w:woUserID w:val="5"/>
        </w:rPr>
        <w:t>Working capital study 24/25</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"https://www.pwc.co.uk/services/value-creation/insights/working-capital-study/2024.html?utm_source=chatgpt.com"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https://www.pwc.co.uk/services/value-creation/insights/working-capital-study/2024.html</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553F711E">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Tesla, Inc. (2025) </w:t>
      </w:r>
      <w:r>
        <w:rPr>
          <w:rStyle w:val="14"/>
          <w:rFonts w:hint="default" w:ascii="Times New Roman" w:hAnsi="Times New Roman" w:cs="Times New Roman"/>
          <w:sz w:val="24"/>
          <w:szCs w:val="24"/>
          <w:woUserID w:val="5"/>
        </w:rPr>
        <w:t>Tesla 2025 10-K filing</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"https://www.sec.gov/Archives/edgar/data/1318605/000162828026003952/tsla-20251231.htm?utm_source=chatgpt.com"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https://www.sec.gov/Archives/edgar/data/1318605/000162828026003952/tsla-20251231.htm</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612EC1DD">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Toyota Motor Corporation (2024) </w:t>
      </w:r>
      <w:r>
        <w:rPr>
          <w:rStyle w:val="14"/>
          <w:rFonts w:hint="default" w:ascii="Times New Roman" w:hAnsi="Times New Roman" w:cs="Times New Roman"/>
          <w:sz w:val="24"/>
          <w:szCs w:val="24"/>
          <w:woUserID w:val="5"/>
        </w:rPr>
        <w:t>Integrated Report 2024</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"https://global.toyota/pages/global_toyota/ir/library/annual/2024_001_integrated_en.pdf?utm_source=chatgpt.com"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https://global.toyota/pages/global_toyota/ir/library/annual/2024_001_integrated_en.pdf</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7E86C086">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Toyota Motor Corporation (2025a) </w:t>
      </w:r>
      <w:r>
        <w:rPr>
          <w:rStyle w:val="14"/>
          <w:rFonts w:hint="default" w:ascii="Times New Roman" w:hAnsi="Times New Roman" w:cs="Times New Roman"/>
          <w:sz w:val="24"/>
          <w:szCs w:val="24"/>
          <w:woUserID w:val="5"/>
        </w:rPr>
        <w:t>Integrated Report 2025</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"https://global.toyota/pages/global_toyota/ir/library/annual/2025_001_integrated_en.pdf?utm_source=chatgpt.com"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https://global.toyota/pages/global_toyota/ir/library/annual/2025_001_integrated_en.pdf</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3B71C421">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Toyota Motor Corporation (2025b) </w:t>
      </w:r>
      <w:r>
        <w:rPr>
          <w:rStyle w:val="14"/>
          <w:rFonts w:hint="default" w:ascii="Times New Roman" w:hAnsi="Times New Roman" w:cs="Times New Roman"/>
          <w:sz w:val="24"/>
          <w:szCs w:val="24"/>
          <w:woUserID w:val="5"/>
        </w:rPr>
        <w:t>Sustainability Data Book 2025</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"https://global.toyota/pages/global_toyota/sustainability/report/sdb/sdb25_en.pdf?utm_source=chatgpt.com"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https://global.toyota/pages/global_toyota/sustainability/report/sdb/sdb25_en.pdf</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70BB8A13">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Toyota Motor Corporation (2026) </w:t>
      </w:r>
      <w:r>
        <w:rPr>
          <w:rStyle w:val="14"/>
          <w:rFonts w:hint="default" w:ascii="Times New Roman" w:hAnsi="Times New Roman" w:cs="Times New Roman"/>
          <w:sz w:val="24"/>
          <w:szCs w:val="24"/>
          <w:woUserID w:val="5"/>
        </w:rPr>
        <w:t>Toyota Production System</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"https://global.toyota/en/company/vision-and-philosophy/production-system/index.html?utm_source=chatgpt.com"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https://global.toyota/en/company/vision-and-philosophy/production-system/index.html</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7D89814C">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lang w:val="en-US" w:eastAsia="zh-CN"/>
          <w:woUserID w:val="5"/>
        </w:rPr>
        <w:t>Treasury Today (</w:t>
      </w:r>
      <w:r>
        <w:rPr>
          <w:rFonts w:hint="default" w:ascii="Times New Roman" w:hAnsi="Times New Roman" w:cs="Times New Roman"/>
          <w:sz w:val="24"/>
          <w:szCs w:val="24"/>
          <w:lang w:val="en-US" w:eastAsia="zh"/>
          <w:woUserID w:val="2"/>
        </w:rPr>
        <w:t>2020</w:t>
      </w:r>
      <w:r>
        <w:rPr>
          <w:rFonts w:hint="default" w:ascii="Times New Roman" w:hAnsi="Times New Roman" w:cs="Times New Roman"/>
          <w:sz w:val="24"/>
          <w:szCs w:val="24"/>
          <w:lang w:val="en-US" w:eastAsia="zh-CN"/>
          <w:woUserID w:val="5"/>
        </w:rPr>
        <w:t xml:space="preserve">) </w:t>
      </w:r>
      <w:r>
        <w:rPr>
          <w:rFonts w:hint="default" w:ascii="Times New Roman" w:hAnsi="Times New Roman" w:cs="Times New Roman"/>
          <w:i/>
          <w:iCs/>
          <w:sz w:val="24"/>
          <w:szCs w:val="24"/>
          <w:lang w:val="en-US" w:eastAsia="zh-CN"/>
          <w:woUserID w:val="5"/>
        </w:rPr>
        <w:t>Managing capital structure</w:t>
      </w:r>
      <w:r>
        <w:rPr>
          <w:rFonts w:hint="default" w:ascii="Times New Roman" w:hAnsi="Times New Roman" w:cs="Times New Roman"/>
          <w:sz w:val="24"/>
          <w:szCs w:val="24"/>
          <w:lang w:val="en-US" w:eastAsia="zh-CN"/>
          <w:woUserID w:val="5"/>
        </w:rPr>
        <w:t xml:space="preserve">. Available at: </w:t>
      </w:r>
      <w:r>
        <w:rPr>
          <w:rFonts w:hint="default" w:ascii="Times New Roman" w:hAnsi="Times New Roman" w:cs="Times New Roman"/>
          <w:sz w:val="24"/>
          <w:szCs w:val="24"/>
          <w:lang w:val="en-US" w:eastAsia="zh-CN"/>
          <w:woUserID w:val="5"/>
        </w:rPr>
        <w:fldChar w:fldCharType="begin"/>
      </w:r>
      <w:r>
        <w:rPr>
          <w:rFonts w:hint="default" w:ascii="Times New Roman" w:hAnsi="Times New Roman" w:cs="Times New Roman"/>
          <w:sz w:val="24"/>
          <w:szCs w:val="24"/>
          <w:lang w:val="en-US" w:eastAsia="zh-CN"/>
          <w:woUserID w:val="5"/>
        </w:rPr>
        <w:instrText xml:space="preserve"> HYPERLINK "https://treasurytoday.com/treasury-practice/managing-capital-structure/" </w:instrText>
      </w:r>
      <w:r>
        <w:rPr>
          <w:rFonts w:hint="default" w:ascii="Times New Roman" w:hAnsi="Times New Roman" w:cs="Times New Roman"/>
          <w:sz w:val="24"/>
          <w:szCs w:val="24"/>
          <w:lang w:val="en-US" w:eastAsia="zh-CN"/>
          <w:woUserID w:val="5"/>
        </w:rPr>
        <w:fldChar w:fldCharType="separate"/>
      </w:r>
      <w:r>
        <w:rPr>
          <w:rStyle w:val="15"/>
          <w:rFonts w:hint="default" w:ascii="Times New Roman" w:hAnsi="Times New Roman" w:cs="Times New Roman"/>
          <w:sz w:val="24"/>
          <w:szCs w:val="24"/>
          <w:lang w:val="en-US" w:eastAsia="zh-CN"/>
          <w:woUserID w:val="5"/>
        </w:rPr>
        <w:t>https://treasurytoday.com/treasury-practice/managing-capital-structure/</w:t>
      </w:r>
      <w:r>
        <w:rPr>
          <w:rFonts w:hint="default" w:ascii="Times New Roman" w:hAnsi="Times New Roman" w:cs="Times New Roman"/>
          <w:sz w:val="24"/>
          <w:szCs w:val="24"/>
          <w:lang w:val="en-US" w:eastAsia="zh-CN"/>
          <w:woUserID w:val="5"/>
        </w:rPr>
        <w:fldChar w:fldCharType="end"/>
      </w:r>
      <w:r>
        <w:rPr>
          <w:rFonts w:hint="default" w:ascii="Times New Roman" w:hAnsi="Times New Roman" w:cs="Times New Roman"/>
          <w:sz w:val="24"/>
          <w:szCs w:val="24"/>
          <w:lang w:val="en-US" w:eastAsia="zh-CN"/>
          <w:woUserID w:val="5"/>
        </w:rPr>
        <w:t xml:space="preserve"> </w:t>
      </w:r>
      <w:r>
        <w:rPr>
          <w:rFonts w:hint="default" w:ascii="Times New Roman" w:hAnsi="Times New Roman" w:cs="Times New Roman"/>
          <w:sz w:val="24"/>
          <w:szCs w:val="24"/>
          <w:lang w:val="en-US" w:eastAsia="zh"/>
          <w:woUserID w:val="5"/>
        </w:rPr>
        <w:t>(</w:t>
      </w:r>
      <w:r>
        <w:rPr>
          <w:rFonts w:hint="default" w:ascii="Times New Roman" w:hAnsi="Times New Roman" w:cs="Times New Roman"/>
          <w:sz w:val="24"/>
          <w:szCs w:val="24"/>
          <w:lang w:val="en-US" w:eastAsia="zh-CN"/>
          <w:woUserID w:val="5"/>
        </w:rPr>
        <w:t>Accessed</w:t>
      </w:r>
      <w:r>
        <w:rPr>
          <w:rFonts w:hint="default" w:ascii="Times New Roman" w:hAnsi="Times New Roman" w:cs="Times New Roman"/>
          <w:sz w:val="24"/>
          <w:szCs w:val="24"/>
          <w:lang w:val="en-US" w:eastAsia="zh"/>
          <w:woUserID w:val="5"/>
        </w:rPr>
        <w:t>:</w:t>
      </w:r>
      <w:r>
        <w:rPr>
          <w:rFonts w:hint="default" w:ascii="Times New Roman" w:hAnsi="Times New Roman" w:cs="Times New Roman"/>
          <w:sz w:val="24"/>
          <w:szCs w:val="24"/>
          <w:lang w:val="en-US" w:eastAsia="zh-CN"/>
          <w:woUserID w:val="5"/>
        </w:rPr>
        <w:t xml:space="preserve"> </w:t>
      </w:r>
      <w:r>
        <w:rPr>
          <w:rFonts w:hint="default" w:ascii="Times New Roman" w:hAnsi="Times New Roman" w:cs="Times New Roman"/>
          <w:sz w:val="24"/>
          <w:szCs w:val="24"/>
          <w:lang w:val="en-US" w:eastAsia="zh"/>
          <w:woUserID w:val="2"/>
        </w:rPr>
        <w:t>3</w:t>
      </w:r>
      <w:r>
        <w:rPr>
          <w:rFonts w:hint="default" w:ascii="Times New Roman" w:hAnsi="Times New Roman" w:cs="Times New Roman"/>
          <w:sz w:val="24"/>
          <w:szCs w:val="24"/>
          <w:lang w:val="en-US" w:eastAsia="zh-CN"/>
          <w:woUserID w:val="5"/>
        </w:rPr>
        <w:t xml:space="preserve"> </w:t>
      </w:r>
      <w:r>
        <w:rPr>
          <w:rFonts w:hint="default" w:ascii="Times New Roman" w:hAnsi="Times New Roman" w:cs="Times New Roman"/>
          <w:sz w:val="24"/>
          <w:szCs w:val="24"/>
          <w:lang w:val="en-US" w:eastAsia="zh"/>
          <w:woUserID w:val="2"/>
        </w:rPr>
        <w:t>May</w:t>
      </w:r>
      <w:r>
        <w:rPr>
          <w:rFonts w:hint="default" w:ascii="Times New Roman" w:hAnsi="Times New Roman" w:cs="Times New Roman"/>
          <w:sz w:val="24"/>
          <w:szCs w:val="24"/>
          <w:lang w:val="en-US" w:eastAsia="zh-CN"/>
          <w:woUserID w:val="5"/>
        </w:rPr>
        <w:t xml:space="preserve"> 2026</w:t>
      </w:r>
      <w:r>
        <w:rPr>
          <w:rFonts w:hint="default" w:ascii="Times New Roman" w:hAnsi="Times New Roman" w:cs="Times New Roman"/>
          <w:sz w:val="24"/>
          <w:szCs w:val="24"/>
          <w:lang w:val="en-US" w:eastAsia="zh"/>
          <w:woUserID w:val="5"/>
        </w:rPr>
        <w:t>)</w:t>
      </w:r>
      <w:r>
        <w:rPr>
          <w:rFonts w:hint="default" w:ascii="Times New Roman" w:hAnsi="Times New Roman" w:cs="Times New Roman"/>
          <w:sz w:val="24"/>
          <w:szCs w:val="24"/>
          <w:lang w:val="en-US" w:eastAsia="zh-CN"/>
          <w:woUserID w:val="5"/>
        </w:rPr>
        <w:t>.</w:t>
      </w:r>
    </w:p>
    <w:p w14:paraId="6DD85915">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Volkswagen AG (2017a) </w:t>
      </w:r>
      <w:r>
        <w:rPr>
          <w:rStyle w:val="14"/>
          <w:rFonts w:hint="default" w:ascii="Times New Roman" w:hAnsi="Times New Roman" w:cs="Times New Roman"/>
          <w:sz w:val="24"/>
          <w:szCs w:val="24"/>
          <w:woUserID w:val="5"/>
        </w:rPr>
        <w:t>Annual Report 2017</w:t>
      </w:r>
      <w:r>
        <w:rPr>
          <w:rFonts w:hint="default" w:ascii="Times New Roman" w:hAnsi="Times New Roman" w:cs="Times New Roman"/>
          <w:sz w:val="24"/>
          <w:szCs w:val="24"/>
          <w:woUserID w:val="5"/>
        </w:rPr>
        <w:t xml:space="preserve">. Wolfsburg: Volkswagen AG. Available at: </w:t>
      </w:r>
      <w:r>
        <w:rPr>
          <w:rFonts w:hint="default" w:ascii="Times New Roman" w:hAnsi="Times New Roman" w:cs="Times New Roman"/>
          <w:sz w:val="24"/>
          <w:szCs w:val="24"/>
          <w:lang w:eastAsia="zh"/>
          <w:woUserID w:val="6"/>
        </w:rPr>
        <w:fldChar w:fldCharType="begin"/>
      </w:r>
      <w:r>
        <w:rPr>
          <w:rFonts w:hint="default" w:ascii="Times New Roman" w:hAnsi="Times New Roman" w:cs="Times New Roman"/>
          <w:sz w:val="24"/>
          <w:szCs w:val="24"/>
          <w:lang w:eastAsia="zh"/>
          <w:woUserID w:val="6"/>
        </w:rPr>
        <w:instrText xml:space="preserve"> HYPERLINK "https://www.volkswagen-group.com/en/publications/more/annual-report-2017-2397" </w:instrText>
      </w:r>
      <w:r>
        <w:rPr>
          <w:rFonts w:hint="default" w:ascii="Times New Roman" w:hAnsi="Times New Roman" w:cs="Times New Roman"/>
          <w:sz w:val="24"/>
          <w:szCs w:val="24"/>
          <w:lang w:eastAsia="zh"/>
          <w:woUserID w:val="6"/>
        </w:rPr>
        <w:fldChar w:fldCharType="separate"/>
      </w:r>
      <w:r>
        <w:rPr>
          <w:rStyle w:val="15"/>
          <w:rFonts w:hint="default" w:ascii="Times New Roman" w:hAnsi="Times New Roman" w:cs="Times New Roman"/>
          <w:sz w:val="24"/>
          <w:szCs w:val="24"/>
          <w:lang w:eastAsia="zh"/>
          <w:woUserID w:val="6"/>
        </w:rPr>
        <w:t>https://www.volkswagen-group.com/en/publications/more/annual-report-2017-2397</w:t>
      </w:r>
      <w:r>
        <w:rPr>
          <w:rFonts w:hint="default" w:ascii="Times New Roman" w:hAnsi="Times New Roman" w:cs="Times New Roman"/>
          <w:sz w:val="24"/>
          <w:szCs w:val="24"/>
          <w:lang w:eastAsia="zh"/>
          <w:woUserID w:val="6"/>
        </w:rPr>
        <w:fldChar w:fldCharType="end"/>
      </w:r>
      <w:r>
        <w:rPr>
          <w:rFonts w:hint="default" w:ascii="Times New Roman" w:hAnsi="Times New Roman" w:cs="Times New Roman"/>
          <w:sz w:val="24"/>
          <w:szCs w:val="24"/>
          <w:woUserID w:val="5"/>
        </w:rPr>
        <w:t xml:space="preserve"> (Accessed: 3 May 2026).</w:t>
      </w:r>
    </w:p>
    <w:p w14:paraId="7F25EBE7">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Volkswagen AG (2017b) </w:t>
      </w:r>
      <w:r>
        <w:rPr>
          <w:rStyle w:val="14"/>
          <w:rFonts w:hint="default" w:ascii="Times New Roman" w:hAnsi="Times New Roman" w:cs="Times New Roman"/>
          <w:sz w:val="24"/>
          <w:szCs w:val="24"/>
          <w:woUserID w:val="5"/>
        </w:rPr>
        <w:t>Sustainability Report 2017</w:t>
      </w:r>
      <w:r>
        <w:rPr>
          <w:rFonts w:hint="default" w:ascii="Times New Roman" w:hAnsi="Times New Roman" w:cs="Times New Roman"/>
          <w:sz w:val="24"/>
          <w:szCs w:val="24"/>
          <w:woUserID w:val="5"/>
        </w:rPr>
        <w:t>. Wolfsburg: Volkswagen AG. Available at:</w:t>
      </w:r>
      <w:r>
        <w:rPr>
          <w:rFonts w:hint="eastAsia" w:ascii="Times New Roman" w:hAnsi="Times New Roman" w:cs="Times New Roman"/>
          <w:sz w:val="24"/>
          <w:szCs w:val="24"/>
          <w:lang w:eastAsia="zh"/>
          <w:woUserID w:val="5"/>
        </w:rPr>
        <w:t xml:space="preserve"> </w:t>
      </w:r>
      <w:r>
        <w:rPr>
          <w:rFonts w:hint="default" w:ascii="Times New Roman" w:hAnsi="Times New Roman" w:cs="Times New Roman"/>
          <w:sz w:val="24"/>
          <w:szCs w:val="24"/>
          <w:lang w:eastAsia="zh"/>
          <w:woUserID w:val="6"/>
        </w:rPr>
        <w:fldChar w:fldCharType="begin"/>
      </w:r>
      <w:r>
        <w:rPr>
          <w:rFonts w:hint="default" w:ascii="Times New Roman" w:hAnsi="Times New Roman" w:cs="Times New Roman"/>
          <w:sz w:val="24"/>
          <w:szCs w:val="24"/>
          <w:lang w:eastAsia="zh"/>
          <w:woUserID w:val="6"/>
        </w:rPr>
        <w:instrText xml:space="preserve"> HYPERLINK "https://www.volkswagen-group.com/en/publications/corporate/sustainability-report-2017-2355" </w:instrText>
      </w:r>
      <w:r>
        <w:rPr>
          <w:rFonts w:hint="default" w:ascii="Times New Roman" w:hAnsi="Times New Roman" w:cs="Times New Roman"/>
          <w:sz w:val="24"/>
          <w:szCs w:val="24"/>
          <w:lang w:eastAsia="zh"/>
          <w:woUserID w:val="6"/>
        </w:rPr>
        <w:fldChar w:fldCharType="separate"/>
      </w:r>
      <w:r>
        <w:rPr>
          <w:rStyle w:val="15"/>
          <w:rFonts w:hint="default" w:ascii="Times New Roman" w:hAnsi="Times New Roman" w:cs="Times New Roman"/>
          <w:sz w:val="24"/>
          <w:szCs w:val="24"/>
          <w:lang w:eastAsia="zh"/>
          <w:woUserID w:val="6"/>
        </w:rPr>
        <w:t>https://www.volkswagen-group.com/en/publications/corporate/sustainability-report-2017-2355</w:t>
      </w:r>
      <w:r>
        <w:rPr>
          <w:rFonts w:hint="default" w:ascii="Times New Roman" w:hAnsi="Times New Roman" w:cs="Times New Roman"/>
          <w:sz w:val="24"/>
          <w:szCs w:val="24"/>
          <w:lang w:eastAsia="zh"/>
          <w:woUserID w:val="6"/>
        </w:rPr>
        <w:fldChar w:fldCharType="end"/>
      </w:r>
      <w:r>
        <w:rPr>
          <w:rFonts w:hint="default" w:ascii="Times New Roman" w:hAnsi="Times New Roman" w:cs="Times New Roman"/>
          <w:sz w:val="24"/>
          <w:szCs w:val="24"/>
          <w:woUserID w:val="5"/>
        </w:rPr>
        <w:t xml:space="preserve"> (Accessed: 3 May 2026).</w:t>
      </w:r>
    </w:p>
    <w:p w14:paraId="61662752">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Volkswagen Group (2025) </w:t>
      </w:r>
      <w:r>
        <w:rPr>
          <w:rStyle w:val="14"/>
          <w:rFonts w:hint="default" w:ascii="Times New Roman" w:hAnsi="Times New Roman" w:cs="Times New Roman"/>
          <w:sz w:val="24"/>
          <w:szCs w:val="24"/>
          <w:woUserID w:val="5"/>
        </w:rPr>
        <w:t>Annual Report 2024</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"https://annualreport2024.volkswagen-group.com/?utm_source=chatgpt.com"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https://annualreport2024.volkswagen-group.com/</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25170BC8">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Voltbahn Editor (2026) </w:t>
      </w:r>
      <w:r>
        <w:rPr>
          <w:rStyle w:val="14"/>
          <w:rFonts w:hint="default" w:ascii="Times New Roman" w:hAnsi="Times New Roman" w:cs="Times New Roman"/>
          <w:sz w:val="24"/>
          <w:szCs w:val="24"/>
          <w:woUserID w:val="5"/>
        </w:rPr>
        <w:t>CBAM impact EV prices Europe 2026: why your next car will cost more</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"https://voltbahn.com/cbam-impact-ev-prices-europe-2026/"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https://voltbahn.com/cbam-impact-ev-prices-europe-2026/</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07197940">
      <w:pPr>
        <w:pStyle w:val="8"/>
        <w:keepNext w:val="0"/>
        <w:keepLines w:val="0"/>
        <w:widowControl/>
        <w:suppressLineNumbers w:val="0"/>
        <w:spacing w:line="240" w:lineRule="auto"/>
        <w:rPr>
          <w:rFonts w:hint="default" w:ascii="Times New Roman" w:hAnsi="Times New Roman" w:cs="Times New Roman"/>
          <w:sz w:val="24"/>
          <w:szCs w:val="24"/>
          <w:woUserID w:val="5"/>
        </w:rPr>
      </w:pPr>
      <w:r>
        <w:rPr>
          <w:rFonts w:hint="default" w:ascii="Times New Roman" w:hAnsi="Times New Roman" w:cs="Times New Roman"/>
          <w:sz w:val="24"/>
          <w:szCs w:val="24"/>
          <w:woUserID w:val="5"/>
        </w:rPr>
        <w:t xml:space="preserve">Wang, D. (2026) </w:t>
      </w:r>
      <w:r>
        <w:rPr>
          <w:rFonts w:hint="default" w:ascii="Times New Roman" w:hAnsi="Times New Roman" w:cs="Times New Roman"/>
          <w:i/>
          <w:iCs/>
          <w:sz w:val="24"/>
          <w:szCs w:val="24"/>
          <w:woUserID w:val="5"/>
        </w:rPr>
        <w:t>CBAM会影响汽车行业吗？——碳边境调节机制下的产业链重构与汽车产业的战略选择</w:t>
      </w:r>
      <w:r>
        <w:rPr>
          <w:rFonts w:hint="default" w:ascii="Times New Roman" w:hAnsi="Times New Roman" w:cs="Times New Roman"/>
          <w:sz w:val="24"/>
          <w:szCs w:val="24"/>
          <w:lang w:eastAsia="zh"/>
          <w:woUserID w:val="5"/>
        </w:rPr>
        <w:t xml:space="preserve"> [</w:t>
      </w:r>
      <w:r>
        <w:rPr>
          <w:rStyle w:val="14"/>
          <w:rFonts w:hint="default" w:ascii="Times New Roman" w:hAnsi="Times New Roman" w:cs="Times New Roman"/>
          <w:i w:val="0"/>
          <w:iCs w:val="0"/>
          <w:sz w:val="24"/>
          <w:szCs w:val="24"/>
          <w:woUserID w:val="5"/>
        </w:rPr>
        <w:t>Will CBAM affect the automotive industry? Industrial chain restructuring under the Carbon Border Adjustment Mechanism and strategic choices for the automotive sector</w:t>
      </w:r>
      <w:r>
        <w:rPr>
          <w:rStyle w:val="14"/>
          <w:rFonts w:hint="default" w:ascii="Times New Roman" w:hAnsi="Times New Roman" w:cs="Times New Roman"/>
          <w:i w:val="0"/>
          <w:iCs w:val="0"/>
          <w:sz w:val="24"/>
          <w:szCs w:val="24"/>
          <w:lang w:eastAsia="zh"/>
          <w:woUserID w:val="5"/>
        </w:rPr>
        <w:t>]</w:t>
      </w:r>
      <w:r>
        <w:rPr>
          <w:rFonts w:hint="default" w:ascii="Times New Roman" w:hAnsi="Times New Roman" w:cs="Times New Roman"/>
          <w:sz w:val="24"/>
          <w:szCs w:val="24"/>
          <w:woUserID w:val="5"/>
        </w:rPr>
        <w:t xml:space="preserve">. Available at: </w:t>
      </w:r>
      <w:r>
        <w:rPr>
          <w:rFonts w:hint="default" w:ascii="Times New Roman" w:hAnsi="Times New Roman" w:cs="Times New Roman"/>
          <w:sz w:val="24"/>
          <w:szCs w:val="24"/>
          <w:woUserID w:val="5"/>
        </w:rPr>
        <w:fldChar w:fldCharType="begin"/>
      </w:r>
      <w:r>
        <w:rPr>
          <w:rFonts w:hint="default" w:ascii="Times New Roman" w:hAnsi="Times New Roman" w:cs="Times New Roman"/>
          <w:sz w:val="24"/>
          <w:szCs w:val="24"/>
          <w:woUserID w:val="5"/>
        </w:rPr>
        <w:instrText xml:space="preserve"> HYPERLINK "https://res.cenews.com.cn/hjw/news.html?aid=1781657" \t "_new" </w:instrText>
      </w:r>
      <w:r>
        <w:rPr>
          <w:rFonts w:hint="default" w:ascii="Times New Roman" w:hAnsi="Times New Roman" w:cs="Times New Roman"/>
          <w:sz w:val="24"/>
          <w:szCs w:val="24"/>
          <w:woUserID w:val="5"/>
        </w:rPr>
        <w:fldChar w:fldCharType="separate"/>
      </w:r>
      <w:r>
        <w:rPr>
          <w:rStyle w:val="15"/>
          <w:rFonts w:hint="default" w:ascii="Times New Roman" w:hAnsi="Times New Roman" w:cs="Times New Roman"/>
          <w:sz w:val="24"/>
          <w:szCs w:val="24"/>
          <w:woUserID w:val="5"/>
        </w:rPr>
        <w:t>https://res.cenews.com.cn/hjw/news.html?aid=1781657</w:t>
      </w:r>
      <w:r>
        <w:rPr>
          <w:rFonts w:hint="default" w:ascii="Times New Roman" w:hAnsi="Times New Roman" w:cs="Times New Roman"/>
          <w:sz w:val="24"/>
          <w:szCs w:val="24"/>
          <w:woUserID w:val="5"/>
        </w:rPr>
        <w:fldChar w:fldCharType="end"/>
      </w:r>
      <w:r>
        <w:rPr>
          <w:rFonts w:hint="default" w:ascii="Times New Roman" w:hAnsi="Times New Roman" w:cs="Times New Roman"/>
          <w:sz w:val="24"/>
          <w:szCs w:val="24"/>
          <w:woUserID w:val="5"/>
        </w:rPr>
        <w:t xml:space="preserve"> (Accessed: 3 May 2026).</w:t>
      </w:r>
    </w:p>
    <w:p w14:paraId="291C210B">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7744CD2E">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25380C01">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7B797DE2">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4B0CC4A2">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2A9D9733">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2A277B57">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6E291417">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61C38F09">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6C827C86">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629CD009">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637757C6">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1F70FCA9">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517AE903">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4D8AB282">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4877B8D6">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0BD0ADAB">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31C0BDDC">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270B8960">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2A2D3532">
      <w:pPr>
        <w:pStyle w:val="8"/>
        <w:keepNext w:val="0"/>
        <w:keepLines w:val="0"/>
        <w:widowControl/>
        <w:suppressLineNumbers w:val="0"/>
        <w:spacing w:line="240" w:lineRule="auto"/>
        <w:rPr>
          <w:rFonts w:hint="default" w:ascii="Times New Roman" w:hAnsi="Times New Roman" w:cs="Times New Roman"/>
          <w:sz w:val="24"/>
          <w:szCs w:val="24"/>
          <w:woUserID w:val="5"/>
        </w:rPr>
      </w:pPr>
    </w:p>
    <w:p w14:paraId="75C2B4F1">
      <w:pPr>
        <w:pStyle w:val="8"/>
        <w:keepNext w:val="0"/>
        <w:keepLines w:val="0"/>
        <w:widowControl/>
        <w:suppressLineNumbers w:val="0"/>
        <w:spacing w:line="240" w:lineRule="auto"/>
        <w:rPr>
          <w:rFonts w:hint="default" w:ascii="Times New Roman" w:hAnsi="Times New Roman" w:cs="Times New Roman"/>
          <w:sz w:val="24"/>
          <w:szCs w:val="24"/>
          <w:lang w:val="en-US" w:eastAsia="zh-CN"/>
          <w:woUserID w:val="5"/>
        </w:rPr>
      </w:pPr>
    </w:p>
    <w:p w14:paraId="490D57A3">
      <w:pPr>
        <w:pStyle w:val="2"/>
        <w:keepNext w:val="0"/>
        <w:keepLines w:val="0"/>
        <w:widowControl w:val="0"/>
        <w:suppressLineNumbers w:val="0"/>
        <w:bidi w:val="0"/>
        <w:spacing w:line="240" w:lineRule="auto"/>
        <w:ind w:left="0" w:right="0"/>
        <w:jc w:val="left"/>
        <w:rPr>
          <w:rFonts w:hint="default" w:ascii="Times New Roman" w:hAnsi="Times New Roman" w:eastAsia="Tahoma" w:cs="Times New Roman"/>
          <w:kern w:val="2"/>
          <w:lang w:val="en-US" w:eastAsia="zh" w:bidi="ar"/>
          <w:woUserID w:val="5"/>
        </w:rPr>
      </w:pPr>
      <w:bookmarkStart w:id="27" w:name="_Toc635951500"/>
      <w:r>
        <w:rPr>
          <w:rFonts w:hint="default" w:ascii="Times New Roman" w:hAnsi="Times New Roman" w:eastAsia="Tahoma" w:cs="Times New Roman"/>
          <w:kern w:val="2"/>
          <w:lang w:val="en-US" w:eastAsia="zh" w:bidi="ar"/>
          <w:woUserID w:val="5"/>
        </w:rPr>
        <w:t>Appendix</w:t>
      </w:r>
      <w:bookmarkEnd w:id="27"/>
    </w:p>
    <w:p w14:paraId="5955056D">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CN" w:bidi="ar"/>
          <w:woUserID w:val="1"/>
        </w:rPr>
      </w:pPr>
      <w:r>
        <w:rPr>
          <w:rFonts w:hint="default" w:ascii="Times New Roman" w:hAnsi="Times New Roman" w:eastAsia="Tahoma" w:cs="Times New Roman"/>
          <w:b/>
          <w:bCs/>
          <w:kern w:val="2"/>
          <w:sz w:val="24"/>
          <w:szCs w:val="24"/>
          <w:lang w:val="en-US" w:eastAsia="zh-CN" w:bidi="ar"/>
          <w:woUserID w:val="1"/>
        </w:rPr>
        <w:t>Table Q1-1: AI tool-prompt-output</w:t>
      </w:r>
    </w:p>
    <w:p w14:paraId="51C9BF7A">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CN" w:bidi="ar"/>
          <w:woUserID w:val="1"/>
        </w:rPr>
      </w:pPr>
    </w:p>
    <w:tbl>
      <w:tblPr>
        <w:tblStyle w:val="10"/>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23"/>
        <w:gridCol w:w="1123"/>
        <w:gridCol w:w="3017"/>
        <w:gridCol w:w="3809"/>
      </w:tblGrid>
      <w:tr w14:paraId="581B4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0C816A2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1"/>
              </w:rPr>
            </w:pPr>
            <w:r>
              <w:rPr>
                <w:rFonts w:hint="default" w:ascii="Times New Roman" w:hAnsi="Times New Roman" w:eastAsia="Tahoma" w:cs="Times New Roman"/>
                <w:b/>
                <w:bCs/>
                <w:kern w:val="2"/>
                <w:sz w:val="24"/>
                <w:szCs w:val="24"/>
                <w:lang w:val="en-US" w:eastAsia="zh-CN" w:bidi="ar"/>
                <w:woUserID w:val="1"/>
              </w:rPr>
              <w:t>Example</w:t>
            </w:r>
          </w:p>
        </w:tc>
        <w:tc>
          <w:tcPr>
            <w:tcW w:w="611" w:type="pct"/>
            <w:tcBorders>
              <w:top w:val="single" w:color="auto" w:sz="4" w:space="0"/>
              <w:left w:val="nil"/>
              <w:bottom w:val="single" w:color="auto" w:sz="4" w:space="0"/>
              <w:right w:val="single" w:color="auto" w:sz="4" w:space="0"/>
            </w:tcBorders>
            <w:shd w:val="clear" w:color="auto" w:fill="auto"/>
            <w:vAlign w:val="center"/>
          </w:tcPr>
          <w:p w14:paraId="19E3EFD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1"/>
              </w:rPr>
            </w:pPr>
            <w:r>
              <w:rPr>
                <w:rFonts w:hint="default" w:ascii="Times New Roman" w:hAnsi="Times New Roman" w:eastAsia="Tahoma" w:cs="Times New Roman"/>
                <w:b/>
                <w:bCs/>
                <w:kern w:val="2"/>
                <w:sz w:val="24"/>
                <w:szCs w:val="24"/>
                <w:lang w:val="en-US" w:eastAsia="zh-CN" w:bidi="ar"/>
                <w:woUserID w:val="1"/>
              </w:rPr>
              <w:t>AI Tool</w:t>
            </w:r>
          </w:p>
        </w:tc>
        <w:tc>
          <w:tcPr>
            <w:tcW w:w="1670" w:type="pct"/>
            <w:tcBorders>
              <w:top w:val="single" w:color="auto" w:sz="4" w:space="0"/>
              <w:left w:val="nil"/>
              <w:bottom w:val="single" w:color="auto" w:sz="4" w:space="0"/>
              <w:right w:val="single" w:color="auto" w:sz="4" w:space="0"/>
            </w:tcBorders>
            <w:shd w:val="clear" w:color="auto" w:fill="auto"/>
            <w:vAlign w:val="center"/>
          </w:tcPr>
          <w:p w14:paraId="55C32AF6">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1"/>
              </w:rPr>
            </w:pPr>
            <w:r>
              <w:rPr>
                <w:rFonts w:hint="default" w:ascii="Times New Roman" w:hAnsi="Times New Roman" w:eastAsia="Tahoma" w:cs="Times New Roman"/>
                <w:b/>
                <w:bCs/>
                <w:kern w:val="2"/>
                <w:sz w:val="24"/>
                <w:szCs w:val="24"/>
                <w:lang w:val="en-US" w:eastAsia="zh-CN" w:bidi="ar"/>
                <w:woUserID w:val="1"/>
              </w:rPr>
              <w:t>Prompt</w:t>
            </w:r>
          </w:p>
        </w:tc>
        <w:tc>
          <w:tcPr>
            <w:tcW w:w="2106" w:type="pct"/>
            <w:tcBorders>
              <w:top w:val="single" w:color="auto" w:sz="4" w:space="0"/>
              <w:left w:val="nil"/>
              <w:bottom w:val="single" w:color="auto" w:sz="4" w:space="0"/>
              <w:right w:val="single" w:color="auto" w:sz="4" w:space="0"/>
            </w:tcBorders>
            <w:shd w:val="clear" w:color="auto" w:fill="auto"/>
            <w:vAlign w:val="center"/>
          </w:tcPr>
          <w:p w14:paraId="1A5C6E01">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1"/>
              </w:rPr>
            </w:pPr>
            <w:r>
              <w:rPr>
                <w:rFonts w:hint="default" w:ascii="Times New Roman" w:hAnsi="Times New Roman" w:eastAsia="Tahoma" w:cs="Times New Roman"/>
                <w:b/>
                <w:bCs/>
                <w:kern w:val="2"/>
                <w:sz w:val="24"/>
                <w:szCs w:val="24"/>
                <w:lang w:val="en-US" w:eastAsia="zh-CN" w:bidi="ar"/>
                <w:woUserID w:val="1"/>
              </w:rPr>
              <w:t>Key AI output</w:t>
            </w:r>
          </w:p>
        </w:tc>
      </w:tr>
      <w:tr w14:paraId="3175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42AE4DF4">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 xml:space="preserve">1 </w:t>
            </w:r>
          </w:p>
        </w:tc>
        <w:tc>
          <w:tcPr>
            <w:tcW w:w="611" w:type="pct"/>
            <w:tcBorders>
              <w:top w:val="single" w:color="auto" w:sz="4" w:space="0"/>
              <w:left w:val="nil"/>
              <w:bottom w:val="single" w:color="auto" w:sz="4" w:space="0"/>
              <w:right w:val="single" w:color="auto" w:sz="4" w:space="0"/>
            </w:tcBorders>
            <w:shd w:val="clear" w:color="auto" w:fill="auto"/>
            <w:vAlign w:val="center"/>
          </w:tcPr>
          <w:p w14:paraId="3CEBF9AB">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 xml:space="preserve">ChatGPT </w:t>
            </w:r>
          </w:p>
        </w:tc>
        <w:tc>
          <w:tcPr>
            <w:tcW w:w="1670" w:type="pct"/>
            <w:tcBorders>
              <w:top w:val="single" w:color="auto" w:sz="4" w:space="0"/>
              <w:left w:val="nil"/>
              <w:bottom w:val="single" w:color="auto" w:sz="4" w:space="0"/>
              <w:right w:val="single" w:color="auto" w:sz="4" w:space="0"/>
            </w:tcBorders>
            <w:shd w:val="clear" w:color="auto" w:fill="auto"/>
            <w:vAlign w:val="center"/>
          </w:tcPr>
          <w:p w14:paraId="0D787302">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 xml:space="preserve">List some common sustainability risk areas that may be relevant to the automotive industry for my reference. </w:t>
            </w:r>
          </w:p>
        </w:tc>
        <w:tc>
          <w:tcPr>
            <w:tcW w:w="2106" w:type="pct"/>
            <w:tcBorders>
              <w:top w:val="single" w:color="auto" w:sz="4" w:space="0"/>
              <w:left w:val="nil"/>
              <w:bottom w:val="single" w:color="auto" w:sz="4" w:space="0"/>
              <w:right w:val="single" w:color="auto" w:sz="4" w:space="0"/>
            </w:tcBorders>
            <w:shd w:val="clear" w:color="auto" w:fill="auto"/>
            <w:vAlign w:val="center"/>
          </w:tcPr>
          <w:p w14:paraId="069D0DC8">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AI provided several possible sustainability risk areas for the automotive industry, including climate transition, product emissions, manufacturing energy use, battery supply-chain risks and physical climate risks.</w:t>
            </w:r>
          </w:p>
        </w:tc>
      </w:tr>
      <w:tr w14:paraId="1B815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3AF18E67">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 xml:space="preserve">2 </w:t>
            </w:r>
          </w:p>
        </w:tc>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156F2409">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 xml:space="preserve">ChatGPT </w:t>
            </w:r>
          </w:p>
        </w:tc>
        <w:tc>
          <w:tcPr>
            <w:tcW w:w="1670" w:type="pct"/>
            <w:tcBorders>
              <w:top w:val="single" w:color="auto" w:sz="4" w:space="0"/>
              <w:left w:val="single" w:color="auto" w:sz="4" w:space="0"/>
              <w:bottom w:val="single" w:color="auto" w:sz="4" w:space="0"/>
              <w:right w:val="single" w:color="auto" w:sz="4" w:space="0"/>
            </w:tcBorders>
            <w:shd w:val="clear" w:color="auto" w:fill="auto"/>
            <w:vAlign w:val="center"/>
          </w:tcPr>
          <w:p w14:paraId="5D2174B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Explain how sustainability risks can be linked to financial materiality from investors’ perspective.</w:t>
            </w:r>
          </w:p>
        </w:tc>
        <w:tc>
          <w:tcPr>
            <w:tcW w:w="2106" w:type="pct"/>
            <w:tcBorders>
              <w:top w:val="single" w:color="auto" w:sz="4" w:space="0"/>
              <w:left w:val="single" w:color="auto" w:sz="4" w:space="0"/>
              <w:bottom w:val="single" w:color="auto" w:sz="4" w:space="0"/>
              <w:right w:val="single" w:color="auto" w:sz="4" w:space="0"/>
            </w:tcBorders>
            <w:shd w:val="clear" w:color="auto" w:fill="auto"/>
            <w:vAlign w:val="center"/>
          </w:tcPr>
          <w:p w14:paraId="37E7D6EB">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AI explained that sustainability risks may be linked to financial materiality through costs, capital expenditure, asset values, liabilities, WACC and investor confidence.</w:t>
            </w:r>
          </w:p>
        </w:tc>
      </w:tr>
      <w:tr w14:paraId="2320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05736ED7">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 xml:space="preserve">3 </w:t>
            </w:r>
          </w:p>
        </w:tc>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4D2B5506">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 xml:space="preserve">ChatGPT </w:t>
            </w:r>
          </w:p>
        </w:tc>
        <w:tc>
          <w:tcPr>
            <w:tcW w:w="1670" w:type="pct"/>
            <w:tcBorders>
              <w:top w:val="single" w:color="auto" w:sz="4" w:space="0"/>
              <w:left w:val="single" w:color="auto" w:sz="4" w:space="0"/>
              <w:bottom w:val="single" w:color="auto" w:sz="4" w:space="0"/>
              <w:right w:val="single" w:color="auto" w:sz="4" w:space="0"/>
            </w:tcBorders>
            <w:shd w:val="clear" w:color="auto" w:fill="auto"/>
            <w:vAlign w:val="center"/>
          </w:tcPr>
          <w:p w14:paraId="759D7D9D">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 xml:space="preserve">Check whether my existing disclosure checklist headings are clear and relevant to IFRS S1/S2, and whether they deviate from the assignment requirements. </w:t>
            </w:r>
          </w:p>
        </w:tc>
        <w:tc>
          <w:tcPr>
            <w:tcW w:w="2106" w:type="pct"/>
            <w:tcBorders>
              <w:top w:val="single" w:color="auto" w:sz="4" w:space="0"/>
              <w:left w:val="single" w:color="auto" w:sz="4" w:space="0"/>
              <w:bottom w:val="single" w:color="auto" w:sz="4" w:space="0"/>
              <w:right w:val="single" w:color="auto" w:sz="4" w:space="0"/>
            </w:tcBorders>
            <w:shd w:val="clear" w:color="auto" w:fill="auto"/>
            <w:vAlign w:val="center"/>
          </w:tcPr>
          <w:p w14:paraId="7515FFD7">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AI suggested that the checklist headings were generally aligned with IFRS S1/S2 and should focus on governance, strategy, risk management, metrics and targets, while also linking disclosure evidence to investor relevance.</w:t>
            </w:r>
          </w:p>
        </w:tc>
      </w:tr>
    </w:tbl>
    <w:p w14:paraId="5A8068F5">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Tahoma" w:cs="Times New Roman"/>
          <w:b/>
          <w:bCs/>
          <w:kern w:val="2"/>
          <w:sz w:val="24"/>
          <w:szCs w:val="24"/>
          <w:lang w:val="en-US" w:eastAsia="zh-CN" w:bidi="ar"/>
          <w:woUserID w:val="1"/>
        </w:rPr>
      </w:pPr>
      <w:r>
        <w:rPr>
          <w:rFonts w:hint="default" w:ascii="Times New Roman" w:hAnsi="Times New Roman" w:eastAsia="宋体" w:cs="Times New Roman"/>
          <w:i w:val="0"/>
          <w:iCs w:val="0"/>
          <w:caps w:val="0"/>
          <w:color w:val="000000"/>
          <w:spacing w:val="0"/>
          <w:kern w:val="0"/>
          <w:sz w:val="24"/>
          <w:szCs w:val="24"/>
          <w:lang w:val="en-US" w:eastAsia="zh-CN" w:bidi="ar"/>
          <w:woUserID w:val="1"/>
        </w:rPr>
        <w:br w:type="textWrapping"/>
      </w:r>
      <w:r>
        <w:rPr>
          <w:rFonts w:hint="default" w:ascii="Times New Roman" w:hAnsi="Times New Roman" w:eastAsia="Tahoma" w:cs="Times New Roman"/>
          <w:b/>
          <w:bCs/>
          <w:kern w:val="2"/>
          <w:sz w:val="24"/>
          <w:szCs w:val="24"/>
          <w:lang w:val="en-US" w:eastAsia="zh-CN" w:bidi="ar"/>
          <w:woUserID w:val="1"/>
        </w:rPr>
        <w:t>Table Q1-2: Human revision-rationale-final usable version</w:t>
      </w:r>
    </w:p>
    <w:p w14:paraId="6462E544">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Tahoma" w:cs="Times New Roman"/>
          <w:b/>
          <w:bCs/>
          <w:kern w:val="2"/>
          <w:sz w:val="24"/>
          <w:szCs w:val="24"/>
          <w:lang w:val="en-US" w:eastAsia="zh" w:bidi="ar"/>
          <w:woUserID w:val="1"/>
        </w:rPr>
      </w:pPr>
    </w:p>
    <w:tbl>
      <w:tblPr>
        <w:tblStyle w:val="10"/>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94"/>
        <w:gridCol w:w="1950"/>
        <w:gridCol w:w="1449"/>
        <w:gridCol w:w="1193"/>
        <w:gridCol w:w="1472"/>
        <w:gridCol w:w="1714"/>
      </w:tblGrid>
      <w:tr w14:paraId="7C73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13" w:type="pct"/>
            <w:tcBorders>
              <w:top w:val="single" w:color="auto" w:sz="4" w:space="0"/>
              <w:left w:val="single" w:color="auto" w:sz="4" w:space="0"/>
              <w:bottom w:val="single" w:color="auto" w:sz="4" w:space="0"/>
              <w:right w:val="single" w:color="auto" w:sz="4" w:space="0"/>
            </w:tcBorders>
            <w:shd w:val="clear" w:color="auto" w:fill="auto"/>
            <w:vAlign w:val="center"/>
          </w:tcPr>
          <w:p w14:paraId="53CCDDF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1"/>
              </w:rPr>
            </w:pPr>
            <w:r>
              <w:rPr>
                <w:rFonts w:hint="default" w:ascii="Times New Roman" w:hAnsi="Times New Roman" w:eastAsia="Tahoma" w:cs="Times New Roman"/>
                <w:b/>
                <w:bCs/>
                <w:kern w:val="2"/>
                <w:sz w:val="24"/>
                <w:szCs w:val="24"/>
                <w:lang w:val="en-US" w:eastAsia="zh-CN" w:bidi="ar"/>
                <w:woUserID w:val="1"/>
              </w:rPr>
              <w:t>Item</w:t>
            </w:r>
          </w:p>
        </w:tc>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609A83E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1"/>
              </w:rPr>
            </w:pPr>
            <w:r>
              <w:rPr>
                <w:rFonts w:hint="default" w:ascii="Times New Roman" w:hAnsi="Times New Roman" w:eastAsia="Tahoma" w:cs="Times New Roman"/>
                <w:b/>
                <w:bCs/>
                <w:kern w:val="2"/>
                <w:sz w:val="24"/>
                <w:szCs w:val="24"/>
                <w:lang w:val="en-US" w:eastAsia="zh-CN" w:bidi="ar"/>
                <w:woUserID w:val="1"/>
              </w:rPr>
              <w:t>AI original statement</w:t>
            </w:r>
          </w:p>
        </w:tc>
        <w:tc>
          <w:tcPr>
            <w:tcW w:w="798" w:type="pct"/>
            <w:tcBorders>
              <w:top w:val="single" w:color="auto" w:sz="4" w:space="0"/>
              <w:left w:val="single" w:color="auto" w:sz="4" w:space="0"/>
              <w:bottom w:val="single" w:color="auto" w:sz="4" w:space="0"/>
              <w:right w:val="single" w:color="auto" w:sz="4" w:space="0"/>
            </w:tcBorders>
            <w:shd w:val="clear" w:color="auto" w:fill="auto"/>
            <w:vAlign w:val="center"/>
          </w:tcPr>
          <w:p w14:paraId="214E45F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1"/>
              </w:rPr>
            </w:pPr>
            <w:r>
              <w:rPr>
                <w:rFonts w:hint="default" w:ascii="Times New Roman" w:hAnsi="Times New Roman" w:eastAsia="Tahoma" w:cs="Times New Roman"/>
                <w:b/>
                <w:bCs/>
                <w:kern w:val="2"/>
                <w:sz w:val="24"/>
                <w:szCs w:val="24"/>
                <w:lang w:val="en-US" w:eastAsia="zh-CN" w:bidi="ar"/>
                <w:woUserID w:val="1"/>
              </w:rPr>
              <w:t>Problem identified</w:t>
            </w:r>
          </w:p>
        </w:tc>
        <w:tc>
          <w:tcPr>
            <w:tcW w:w="657" w:type="pct"/>
            <w:tcBorders>
              <w:top w:val="single" w:color="auto" w:sz="4" w:space="0"/>
              <w:left w:val="single" w:color="auto" w:sz="4" w:space="0"/>
              <w:bottom w:val="single" w:color="auto" w:sz="4" w:space="0"/>
              <w:right w:val="single" w:color="auto" w:sz="4" w:space="0"/>
            </w:tcBorders>
            <w:shd w:val="clear" w:color="auto" w:fill="auto"/>
            <w:vAlign w:val="center"/>
          </w:tcPr>
          <w:p w14:paraId="57FF07D2">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1"/>
              </w:rPr>
            </w:pPr>
            <w:r>
              <w:rPr>
                <w:rFonts w:hint="default" w:ascii="Times New Roman" w:hAnsi="Times New Roman" w:eastAsia="Tahoma" w:cs="Times New Roman"/>
                <w:b/>
                <w:bCs/>
                <w:kern w:val="2"/>
                <w:sz w:val="24"/>
                <w:szCs w:val="24"/>
                <w:lang w:val="en-US" w:eastAsia="zh-CN" w:bidi="ar"/>
                <w:woUserID w:val="1"/>
              </w:rPr>
              <w:t>Evidence source</w:t>
            </w:r>
          </w:p>
        </w:tc>
        <w:tc>
          <w:tcPr>
            <w:tcW w:w="811" w:type="pct"/>
            <w:tcBorders>
              <w:top w:val="single" w:color="auto" w:sz="4" w:space="0"/>
              <w:left w:val="single" w:color="auto" w:sz="4" w:space="0"/>
              <w:bottom w:val="single" w:color="auto" w:sz="4" w:space="0"/>
              <w:right w:val="single" w:color="auto" w:sz="4" w:space="0"/>
            </w:tcBorders>
            <w:shd w:val="clear" w:color="auto" w:fill="auto"/>
            <w:vAlign w:val="center"/>
          </w:tcPr>
          <w:p w14:paraId="75B59E48">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1"/>
              </w:rPr>
            </w:pPr>
            <w:r>
              <w:rPr>
                <w:rFonts w:hint="default" w:ascii="Times New Roman" w:hAnsi="Times New Roman" w:eastAsia="Tahoma" w:cs="Times New Roman"/>
                <w:b/>
                <w:bCs/>
                <w:kern w:val="2"/>
                <w:sz w:val="24"/>
                <w:szCs w:val="24"/>
                <w:lang w:val="en-US" w:eastAsia="zh-CN" w:bidi="ar"/>
                <w:woUserID w:val="1"/>
              </w:rPr>
              <w:t>How you revised</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38B2896A">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1"/>
              </w:rPr>
            </w:pPr>
            <w:r>
              <w:rPr>
                <w:rFonts w:hint="default" w:ascii="Times New Roman" w:hAnsi="Times New Roman" w:eastAsia="Tahoma" w:cs="Times New Roman"/>
                <w:b/>
                <w:bCs/>
                <w:kern w:val="2"/>
                <w:sz w:val="24"/>
                <w:szCs w:val="24"/>
                <w:lang w:val="en-US" w:eastAsia="zh-CN" w:bidi="ar"/>
                <w:woUserID w:val="1"/>
              </w:rPr>
              <w:t>Final sentence usable in main text</w:t>
            </w:r>
          </w:p>
        </w:tc>
      </w:tr>
      <w:tr w14:paraId="4854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13" w:type="pct"/>
            <w:tcBorders>
              <w:top w:val="single" w:color="auto" w:sz="4" w:space="0"/>
              <w:left w:val="single" w:color="auto" w:sz="4" w:space="0"/>
              <w:bottom w:val="single" w:color="auto" w:sz="4" w:space="0"/>
              <w:right w:val="single" w:color="auto" w:sz="4" w:space="0"/>
            </w:tcBorders>
            <w:shd w:val="clear" w:color="auto" w:fill="auto"/>
            <w:vAlign w:val="center"/>
          </w:tcPr>
          <w:p w14:paraId="0DBB886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1. Sustainability risk areas</w:t>
            </w:r>
          </w:p>
        </w:tc>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62F673F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AI suggested several common sustainability risk areas for the automotive industry, such as climate transition, product emissions, manufacturing energy use, battery supply-chain risks and physical climate risks.</w:t>
            </w:r>
          </w:p>
        </w:tc>
        <w:tc>
          <w:tcPr>
            <w:tcW w:w="798" w:type="pct"/>
            <w:tcBorders>
              <w:top w:val="single" w:color="auto" w:sz="4" w:space="0"/>
              <w:left w:val="single" w:color="auto" w:sz="4" w:space="0"/>
              <w:bottom w:val="single" w:color="auto" w:sz="4" w:space="0"/>
              <w:right w:val="single" w:color="auto" w:sz="4" w:space="0"/>
            </w:tcBorders>
            <w:shd w:val="clear" w:color="auto" w:fill="auto"/>
            <w:vAlign w:val="center"/>
          </w:tcPr>
          <w:p w14:paraId="3DE39F8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The output was useful as a reference, but it was still too broad and needed to be linked more clearly to the automotive sector and the selected companies.</w:t>
            </w:r>
          </w:p>
        </w:tc>
        <w:tc>
          <w:tcPr>
            <w:tcW w:w="657" w:type="pct"/>
            <w:tcBorders>
              <w:top w:val="single" w:color="auto" w:sz="4" w:space="0"/>
              <w:left w:val="single" w:color="auto" w:sz="4" w:space="0"/>
              <w:bottom w:val="single" w:color="auto" w:sz="4" w:space="0"/>
              <w:right w:val="single" w:color="auto" w:sz="4" w:space="0"/>
            </w:tcBorders>
            <w:shd w:val="clear" w:color="auto" w:fill="auto"/>
            <w:vAlign w:val="center"/>
          </w:tcPr>
          <w:p w14:paraId="08D63F44">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 xml:space="preserve">IFRS Foundation </w:t>
            </w:r>
            <w:r>
              <w:rPr>
                <w:rFonts w:hint="default" w:ascii="Times New Roman" w:hAnsi="Times New Roman" w:eastAsia="Tahoma" w:cs="Times New Roman"/>
                <w:b w:val="0"/>
                <w:bCs w:val="0"/>
                <w:kern w:val="2"/>
                <w:sz w:val="24"/>
                <w:szCs w:val="24"/>
                <w:lang w:val="en-US" w:eastAsia="zh" w:bidi="ar"/>
                <w:woUserID w:val="5"/>
              </w:rPr>
              <w:t xml:space="preserve">(2023a; 2023b), </w:t>
            </w:r>
            <w:r>
              <w:rPr>
                <w:rFonts w:hint="default" w:ascii="Times New Roman" w:hAnsi="Times New Roman" w:eastAsia="Tahoma" w:cs="Times New Roman"/>
                <w:b w:val="0"/>
                <w:bCs w:val="0"/>
                <w:kern w:val="2"/>
                <w:sz w:val="24"/>
                <w:szCs w:val="24"/>
                <w:lang w:val="en-US" w:eastAsia="zh-CN" w:bidi="ar"/>
                <w:woUserID w:val="1"/>
              </w:rPr>
              <w:t>Volkswagen Group, BMW Group and Toyota Motor Corporation reports.</w:t>
            </w:r>
          </w:p>
        </w:tc>
        <w:tc>
          <w:tcPr>
            <w:tcW w:w="811" w:type="pct"/>
            <w:tcBorders>
              <w:top w:val="single" w:color="auto" w:sz="4" w:space="0"/>
              <w:left w:val="single" w:color="auto" w:sz="4" w:space="0"/>
              <w:bottom w:val="single" w:color="auto" w:sz="4" w:space="0"/>
              <w:right w:val="single" w:color="auto" w:sz="4" w:space="0"/>
            </w:tcBorders>
            <w:shd w:val="clear" w:color="auto" w:fill="auto"/>
            <w:vAlign w:val="center"/>
          </w:tcPr>
          <w:p w14:paraId="530273BC">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We selected the most relevant risk areas and grouped them into a concise industry risk map, rather than using all suggested points directly.</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28860A5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Table 1 shows the key sustainability risks for Volkswagen, BMW and Toyota by linking each risk area to its potential financial impact and disclosure evidence.</w:t>
            </w:r>
          </w:p>
        </w:tc>
      </w:tr>
      <w:tr w14:paraId="5DCE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13" w:type="pct"/>
            <w:tcBorders>
              <w:top w:val="single" w:color="auto" w:sz="4" w:space="0"/>
              <w:left w:val="single" w:color="auto" w:sz="4" w:space="0"/>
              <w:bottom w:val="single" w:color="auto" w:sz="4" w:space="0"/>
              <w:right w:val="single" w:color="auto" w:sz="4" w:space="0"/>
            </w:tcBorders>
            <w:shd w:val="clear" w:color="auto" w:fill="auto"/>
            <w:vAlign w:val="center"/>
          </w:tcPr>
          <w:p w14:paraId="7B798D03">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2. Financial materiality</w:t>
            </w:r>
          </w:p>
        </w:tc>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7560580D">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AI explained that sustainability risks may affect costs, capital expenditure, asset values, liabilities, WACC and investor confidence.</w:t>
            </w:r>
          </w:p>
        </w:tc>
        <w:tc>
          <w:tcPr>
            <w:tcW w:w="798" w:type="pct"/>
            <w:tcBorders>
              <w:top w:val="single" w:color="auto" w:sz="4" w:space="0"/>
              <w:left w:val="single" w:color="auto" w:sz="4" w:space="0"/>
              <w:bottom w:val="single" w:color="auto" w:sz="4" w:space="0"/>
              <w:right w:val="single" w:color="auto" w:sz="4" w:space="0"/>
            </w:tcBorders>
            <w:shd w:val="clear" w:color="auto" w:fill="auto"/>
            <w:vAlign w:val="center"/>
          </w:tcPr>
          <w:p w14:paraId="002E8C9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The explanation was general and did not show clearly how these impacts should be used in an investor-focused risk map.</w:t>
            </w:r>
          </w:p>
        </w:tc>
        <w:tc>
          <w:tcPr>
            <w:tcW w:w="657" w:type="pct"/>
            <w:tcBorders>
              <w:top w:val="single" w:color="auto" w:sz="4" w:space="0"/>
              <w:left w:val="single" w:color="auto" w:sz="4" w:space="0"/>
              <w:bottom w:val="single" w:color="auto" w:sz="4" w:space="0"/>
              <w:right w:val="single" w:color="auto" w:sz="4" w:space="0"/>
            </w:tcBorders>
            <w:shd w:val="clear" w:color="auto" w:fill="auto"/>
            <w:vAlign w:val="center"/>
          </w:tcPr>
          <w:p w14:paraId="3DFF4AB6">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IFRS Foundation</w:t>
            </w:r>
            <w:r>
              <w:rPr>
                <w:rFonts w:hint="default" w:ascii="Times New Roman" w:hAnsi="Times New Roman" w:eastAsia="Tahoma" w:cs="Times New Roman"/>
                <w:b w:val="0"/>
                <w:bCs w:val="0"/>
                <w:kern w:val="2"/>
                <w:sz w:val="24"/>
                <w:szCs w:val="24"/>
                <w:lang w:val="en-US" w:eastAsia="zh" w:bidi="ar"/>
                <w:woUserID w:val="5"/>
              </w:rPr>
              <w:t xml:space="preserve"> (2023a; 2023b)</w:t>
            </w:r>
            <w:r>
              <w:rPr>
                <w:rFonts w:hint="default" w:ascii="Times New Roman" w:hAnsi="Times New Roman" w:eastAsia="Tahoma" w:cs="Times New Roman"/>
                <w:b w:val="0"/>
                <w:bCs w:val="0"/>
                <w:kern w:val="2"/>
                <w:sz w:val="24"/>
                <w:szCs w:val="24"/>
                <w:lang w:val="en-US" w:eastAsia="zh" w:bidi="ar"/>
                <w:woUserID w:val="1"/>
              </w:rPr>
              <w:t xml:space="preserve">； </w:t>
            </w:r>
            <w:r>
              <w:rPr>
                <w:rFonts w:hint="default" w:ascii="Times New Roman" w:hAnsi="Times New Roman" w:eastAsia="Tahoma" w:cs="Times New Roman"/>
                <w:b w:val="0"/>
                <w:bCs w:val="0"/>
                <w:kern w:val="2"/>
                <w:sz w:val="24"/>
                <w:szCs w:val="24"/>
                <w:lang w:val="en-US" w:eastAsia="zh-CN" w:bidi="ar"/>
                <w:woUserID w:val="1"/>
              </w:rPr>
              <w:t>company annual and sustainability reports reviewed for Q1.</w:t>
            </w:r>
          </w:p>
        </w:tc>
        <w:tc>
          <w:tcPr>
            <w:tcW w:w="811" w:type="pct"/>
            <w:tcBorders>
              <w:top w:val="single" w:color="auto" w:sz="4" w:space="0"/>
              <w:left w:val="single" w:color="auto" w:sz="4" w:space="0"/>
              <w:bottom w:val="single" w:color="auto" w:sz="4" w:space="0"/>
              <w:right w:val="single" w:color="auto" w:sz="4" w:space="0"/>
            </w:tcBorders>
            <w:shd w:val="clear" w:color="auto" w:fill="auto"/>
            <w:vAlign w:val="center"/>
          </w:tcPr>
          <w:p w14:paraId="13B561D3">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We revised the wording to focus more directly on financial materiality, especially costs, Capex, asset values, liabilities and investor confidence.</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45770C0B">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Overall, these risks may not only affect costs, Capex, asset values, liabilities and investor confidence, but also shape the companies’ long-term competitiveness in the transition to low-carbon mobility.</w:t>
            </w:r>
          </w:p>
        </w:tc>
      </w:tr>
      <w:tr w14:paraId="2E0D6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713" w:type="pct"/>
            <w:tcBorders>
              <w:top w:val="single" w:color="auto" w:sz="4" w:space="0"/>
              <w:left w:val="single" w:color="auto" w:sz="4" w:space="0"/>
              <w:bottom w:val="single" w:color="auto" w:sz="4" w:space="0"/>
              <w:right w:val="single" w:color="auto" w:sz="4" w:space="0"/>
            </w:tcBorders>
            <w:shd w:val="clear" w:color="auto" w:fill="auto"/>
            <w:vAlign w:val="center"/>
          </w:tcPr>
          <w:p w14:paraId="3B3FED1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3. Disclosure checklist headings</w:t>
            </w:r>
          </w:p>
        </w:tc>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2B95339C">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AI suggested that the checklist should be organised around governance, strategy, risk management, metrics and targets, with links to disclosure evidence and investor relevance.</w:t>
            </w:r>
          </w:p>
        </w:tc>
        <w:tc>
          <w:tcPr>
            <w:tcW w:w="798" w:type="pct"/>
            <w:tcBorders>
              <w:top w:val="single" w:color="auto" w:sz="4" w:space="0"/>
              <w:left w:val="single" w:color="auto" w:sz="4" w:space="0"/>
              <w:bottom w:val="single" w:color="auto" w:sz="4" w:space="0"/>
              <w:right w:val="single" w:color="auto" w:sz="4" w:space="0"/>
            </w:tcBorders>
            <w:shd w:val="clear" w:color="auto" w:fill="auto"/>
            <w:vAlign w:val="center"/>
          </w:tcPr>
          <w:p w14:paraId="0F8A722F">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The headings were relevant, but they were too close to a general IFRS structure and needed to be made more automotive-specific.</w:t>
            </w:r>
          </w:p>
        </w:tc>
        <w:tc>
          <w:tcPr>
            <w:tcW w:w="657" w:type="pct"/>
            <w:tcBorders>
              <w:top w:val="single" w:color="auto" w:sz="4" w:space="0"/>
              <w:left w:val="single" w:color="auto" w:sz="4" w:space="0"/>
              <w:bottom w:val="single" w:color="auto" w:sz="4" w:space="0"/>
              <w:right w:val="single" w:color="auto" w:sz="4" w:space="0"/>
            </w:tcBorders>
            <w:shd w:val="clear" w:color="auto" w:fill="auto"/>
            <w:vAlign w:val="center"/>
          </w:tcPr>
          <w:p w14:paraId="2675DA26">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IFRS Foundation</w:t>
            </w:r>
            <w:r>
              <w:rPr>
                <w:rFonts w:hint="default" w:ascii="Times New Roman" w:hAnsi="Times New Roman" w:eastAsia="Tahoma" w:cs="Times New Roman"/>
                <w:b w:val="0"/>
                <w:bCs w:val="0"/>
                <w:kern w:val="2"/>
                <w:sz w:val="24"/>
                <w:szCs w:val="24"/>
                <w:lang w:val="en-US" w:eastAsia="zh" w:bidi="ar"/>
                <w:woUserID w:val="5"/>
              </w:rPr>
              <w:t xml:space="preserve"> (2023a; 2023b)</w:t>
            </w:r>
            <w:r>
              <w:rPr>
                <w:rFonts w:hint="default" w:ascii="Times New Roman" w:hAnsi="Times New Roman" w:eastAsia="Tahoma" w:cs="Times New Roman"/>
                <w:b w:val="0"/>
                <w:bCs w:val="0"/>
                <w:kern w:val="2"/>
                <w:sz w:val="24"/>
                <w:szCs w:val="24"/>
                <w:lang w:val="en-US" w:eastAsia="zh" w:bidi="ar"/>
                <w:woUserID w:val="1"/>
              </w:rPr>
              <w:t>；</w:t>
            </w:r>
            <w:r>
              <w:rPr>
                <w:rFonts w:hint="default" w:ascii="Times New Roman" w:hAnsi="Times New Roman" w:eastAsia="Tahoma" w:cs="Times New Roman"/>
                <w:b w:val="0"/>
                <w:bCs w:val="0"/>
                <w:kern w:val="2"/>
                <w:sz w:val="24"/>
                <w:szCs w:val="24"/>
                <w:lang w:val="en-US" w:eastAsia="zh-CN" w:bidi="ar"/>
                <w:woUserID w:val="1"/>
              </w:rPr>
              <w:t>Volkswagen Group, BMW Group and Toyota Motor Corporation sustainability disclosures.</w:t>
            </w:r>
          </w:p>
        </w:tc>
        <w:tc>
          <w:tcPr>
            <w:tcW w:w="811" w:type="pct"/>
            <w:tcBorders>
              <w:top w:val="single" w:color="auto" w:sz="4" w:space="0"/>
              <w:left w:val="single" w:color="auto" w:sz="4" w:space="0"/>
              <w:bottom w:val="single" w:color="auto" w:sz="4" w:space="0"/>
              <w:right w:val="single" w:color="auto" w:sz="4" w:space="0"/>
            </w:tcBorders>
            <w:shd w:val="clear" w:color="auto" w:fill="auto"/>
            <w:vAlign w:val="center"/>
          </w:tcPr>
          <w:p w14:paraId="15FEB714">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We kept the main IFRS areas but added automotive-specific focus areas, such as Scope 3 use-phase emissions, EV transition, battery sourcing, manufacturing emissions, recycling and product safety.</w:t>
            </w:r>
          </w:p>
        </w:tc>
        <w:tc>
          <w:tcPr>
            <w:tcW w:w="944" w:type="pct"/>
            <w:tcBorders>
              <w:top w:val="single" w:color="auto" w:sz="4" w:space="0"/>
              <w:left w:val="single" w:color="auto" w:sz="4" w:space="0"/>
              <w:bottom w:val="single" w:color="auto" w:sz="4" w:space="0"/>
              <w:right w:val="single" w:color="auto" w:sz="4" w:space="0"/>
            </w:tcBorders>
            <w:shd w:val="clear" w:color="auto" w:fill="auto"/>
            <w:vAlign w:val="center"/>
          </w:tcPr>
          <w:p w14:paraId="4FC01574">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1"/>
              </w:rPr>
            </w:pPr>
            <w:r>
              <w:rPr>
                <w:rFonts w:hint="default" w:ascii="Times New Roman" w:hAnsi="Times New Roman" w:eastAsia="Tahoma" w:cs="Times New Roman"/>
                <w:b w:val="0"/>
                <w:bCs w:val="0"/>
                <w:kern w:val="2"/>
                <w:sz w:val="24"/>
                <w:szCs w:val="24"/>
                <w:lang w:val="en-US" w:eastAsia="zh-CN" w:bidi="ar"/>
                <w:woUserID w:val="1"/>
              </w:rPr>
              <w:t>In the automotive sector, these areas should be applied to industry-specific issues such as Scope 3 use-phase emissions, EV transition, battery sourcing, manufacturing emissions, recycling and product safety.</w:t>
            </w:r>
          </w:p>
        </w:tc>
      </w:tr>
    </w:tbl>
    <w:p w14:paraId="559C8109">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Tahoma" w:cs="Times New Roman"/>
          <w:b/>
          <w:bCs/>
          <w:kern w:val="2"/>
          <w:sz w:val="24"/>
          <w:szCs w:val="24"/>
          <w:lang w:val="en-US" w:eastAsia="zh-CN" w:bidi="ar"/>
          <w:woUserID w:val="1"/>
        </w:rPr>
      </w:pPr>
    </w:p>
    <w:p w14:paraId="552F638A">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Tahoma" w:cs="Times New Roman"/>
          <w:b/>
          <w:bCs/>
          <w:kern w:val="2"/>
          <w:sz w:val="24"/>
          <w:szCs w:val="24"/>
          <w:lang w:val="en-US" w:eastAsia="zh-CN" w:bidi="ar"/>
          <w:woUserID w:val="1"/>
        </w:rPr>
      </w:pPr>
      <w:r>
        <w:rPr>
          <w:rFonts w:hint="default" w:ascii="Times New Roman" w:hAnsi="Times New Roman" w:eastAsia="Tahoma" w:cs="Times New Roman"/>
          <w:b/>
          <w:bCs/>
          <w:kern w:val="2"/>
          <w:sz w:val="24"/>
          <w:szCs w:val="24"/>
          <w:lang w:val="en-US" w:eastAsia="zh-CN" w:bidi="ar"/>
          <w:woUserID w:val="1"/>
        </w:rPr>
        <w:t>Q1 AI Reflection</w:t>
      </w:r>
    </w:p>
    <w:p w14:paraId="59D1BE28">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Tahoma" w:cs="Times New Roman"/>
          <w:b/>
          <w:bCs/>
          <w:kern w:val="2"/>
          <w:sz w:val="24"/>
          <w:szCs w:val="24"/>
          <w:lang w:val="en-US" w:eastAsia="zh-CN" w:bidi="ar"/>
          <w:woUserID w:val="1"/>
        </w:rPr>
      </w:pPr>
    </w:p>
    <w:p w14:paraId="7D2E2DC9">
      <w:pPr>
        <w:keepNext w:val="0"/>
        <w:keepLines w:val="0"/>
        <w:widowControl/>
        <w:suppressLineNumbers w:val="0"/>
        <w:spacing w:before="0" w:beforeAutospacing="0" w:after="0" w:afterAutospacing="0"/>
        <w:ind w:left="0" w:right="0"/>
        <w:jc w:val="left"/>
        <w:rPr>
          <w:rFonts w:hint="default" w:ascii="Times New Roman" w:hAnsi="Times New Roman" w:eastAsia="Tahoma" w:cs="Times New Roman"/>
          <w:b/>
          <w:bCs/>
          <w:kern w:val="2"/>
          <w:sz w:val="24"/>
          <w:szCs w:val="24"/>
          <w:lang w:val="en-US" w:eastAsia="zh-CN" w:bidi="ar"/>
          <w:woUserID w:val="2"/>
        </w:rPr>
      </w:pPr>
      <w:r>
        <w:rPr>
          <w:rFonts w:hint="default" w:ascii="Times New Roman" w:hAnsi="Times New Roman" w:eastAsia="Tahoma" w:cs="Times New Roman"/>
          <w:kern w:val="2"/>
          <w:sz w:val="24"/>
          <w:szCs w:val="24"/>
          <w:lang w:val="en-US" w:eastAsia="zh-CN" w:bidi="ar"/>
          <w:woUserID w:val="5"/>
        </w:rPr>
        <w:t>In Q1, we used GPT as a supporting tool mainly to organise initial ideas and check the structure of the tables. The AI provided some reference points on sustainability risks in the automotive industry and the disclosure areas under IFRS S1/S2, but the output was relatively general and could not be used directly as the final answer.</w:t>
      </w:r>
      <w:r>
        <w:rPr>
          <w:rFonts w:hint="default" w:ascii="Times New Roman" w:hAnsi="Times New Roman" w:eastAsia="Tahoma" w:cs="Times New Roman"/>
          <w:kern w:val="2"/>
          <w:sz w:val="24"/>
          <w:szCs w:val="24"/>
          <w:lang w:val="en-US" w:eastAsia="zh-CN" w:bidi="ar"/>
          <w:woUserID w:val="5"/>
        </w:rPr>
        <w:br w:type="textWrapping"/>
      </w:r>
      <w:r>
        <w:rPr>
          <w:rFonts w:hint="default" w:ascii="Times New Roman" w:hAnsi="Times New Roman" w:eastAsia="等线" w:cs="Times New Roman"/>
          <w:kern w:val="2"/>
          <w:sz w:val="24"/>
          <w:szCs w:val="28"/>
          <w:lang w:val="en-US" w:eastAsia="zh-CN" w:bidi="ar"/>
          <w:woUserID w:val="5"/>
        </w:rPr>
        <w:t>Therefore, we reviewed and revised the AI output based on IFRS, the IFRS S2 industry-based guidance for automobiles, and the relevant reports of Volkswagen, BMW and Toyota. This process helped us understand that sustainability disclosure should not remain at the level of general ESG description. Instead, it should explain why these issues matter to investors’ judgement and companies’ future performance.</w:t>
      </w:r>
    </w:p>
    <w:p w14:paraId="1B0BEE70">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CN" w:bidi="ar"/>
          <w:woUserID w:val="2"/>
        </w:rPr>
      </w:pPr>
    </w:p>
    <w:p w14:paraId="275406EE">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CN" w:bidi="ar"/>
          <w:woUserID w:val="2"/>
        </w:rPr>
      </w:pPr>
      <w:r>
        <w:rPr>
          <w:rFonts w:hint="default" w:ascii="Times New Roman" w:hAnsi="Times New Roman" w:eastAsia="Tahoma" w:cs="Times New Roman"/>
          <w:b/>
          <w:bCs/>
          <w:kern w:val="2"/>
          <w:sz w:val="24"/>
          <w:szCs w:val="24"/>
          <w:lang w:val="en-US" w:eastAsia="zh-CN" w:bidi="ar"/>
          <w:woUserID w:val="2"/>
        </w:rPr>
        <w:t>Table Q</w:t>
      </w:r>
      <w:r>
        <w:rPr>
          <w:rFonts w:hint="default" w:ascii="Times New Roman" w:hAnsi="Times New Roman" w:eastAsia="Tahoma" w:cs="Times New Roman"/>
          <w:b/>
          <w:bCs/>
          <w:kern w:val="2"/>
          <w:sz w:val="24"/>
          <w:szCs w:val="24"/>
          <w:lang w:val="en-US" w:eastAsia="zh" w:bidi="ar"/>
          <w:woUserID w:val="2"/>
        </w:rPr>
        <w:t>2</w:t>
      </w:r>
      <w:r>
        <w:rPr>
          <w:rFonts w:hint="default" w:ascii="Times New Roman" w:hAnsi="Times New Roman" w:eastAsia="Tahoma" w:cs="Times New Roman"/>
          <w:b/>
          <w:bCs/>
          <w:kern w:val="2"/>
          <w:sz w:val="24"/>
          <w:szCs w:val="24"/>
          <w:lang w:val="en-US" w:eastAsia="zh-CN" w:bidi="ar"/>
          <w:woUserID w:val="2"/>
        </w:rPr>
        <w:t>-1: AI tool-prompt-output</w:t>
      </w:r>
    </w:p>
    <w:p w14:paraId="1012576C">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2"/>
        </w:rPr>
      </w:pPr>
    </w:p>
    <w:tbl>
      <w:tblPr>
        <w:tblStyle w:val="10"/>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23"/>
        <w:gridCol w:w="1123"/>
        <w:gridCol w:w="3749"/>
        <w:gridCol w:w="3077"/>
      </w:tblGrid>
      <w:tr w14:paraId="3963C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4F70F72D">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2"/>
              </w:rPr>
            </w:pPr>
            <w:r>
              <w:rPr>
                <w:rFonts w:hint="default" w:ascii="Times New Roman" w:hAnsi="Times New Roman" w:eastAsia="Tahoma" w:cs="Times New Roman"/>
                <w:b/>
                <w:bCs/>
                <w:kern w:val="2"/>
                <w:sz w:val="24"/>
                <w:szCs w:val="24"/>
                <w:lang w:val="en-US" w:eastAsia="zh-CN" w:bidi="ar"/>
                <w:woUserID w:val="2"/>
              </w:rPr>
              <w:t>Example</w:t>
            </w:r>
          </w:p>
        </w:tc>
        <w:tc>
          <w:tcPr>
            <w:tcW w:w="611" w:type="pct"/>
            <w:tcBorders>
              <w:top w:val="single" w:color="auto" w:sz="4" w:space="0"/>
              <w:left w:val="nil"/>
              <w:bottom w:val="single" w:color="auto" w:sz="4" w:space="0"/>
              <w:right w:val="single" w:color="auto" w:sz="4" w:space="0"/>
            </w:tcBorders>
            <w:shd w:val="clear" w:color="auto" w:fill="auto"/>
            <w:vAlign w:val="center"/>
          </w:tcPr>
          <w:p w14:paraId="20FB670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2"/>
              </w:rPr>
            </w:pPr>
            <w:r>
              <w:rPr>
                <w:rFonts w:hint="default" w:ascii="Times New Roman" w:hAnsi="Times New Roman" w:eastAsia="Tahoma" w:cs="Times New Roman"/>
                <w:b/>
                <w:bCs/>
                <w:kern w:val="2"/>
                <w:sz w:val="24"/>
                <w:szCs w:val="24"/>
                <w:lang w:val="en-US" w:eastAsia="zh-CN" w:bidi="ar"/>
                <w:woUserID w:val="2"/>
              </w:rPr>
              <w:t>AI Tool</w:t>
            </w:r>
          </w:p>
        </w:tc>
        <w:tc>
          <w:tcPr>
            <w:tcW w:w="2074" w:type="pct"/>
            <w:tcBorders>
              <w:top w:val="single" w:color="auto" w:sz="4" w:space="0"/>
              <w:left w:val="nil"/>
              <w:bottom w:val="single" w:color="auto" w:sz="4" w:space="0"/>
              <w:right w:val="single" w:color="auto" w:sz="4" w:space="0"/>
            </w:tcBorders>
            <w:shd w:val="clear" w:color="auto" w:fill="auto"/>
            <w:vAlign w:val="center"/>
          </w:tcPr>
          <w:p w14:paraId="53A54CF5">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2"/>
              </w:rPr>
            </w:pPr>
            <w:r>
              <w:rPr>
                <w:rFonts w:hint="default" w:ascii="Times New Roman" w:hAnsi="Times New Roman" w:eastAsia="Tahoma" w:cs="Times New Roman"/>
                <w:b/>
                <w:bCs/>
                <w:kern w:val="2"/>
                <w:sz w:val="24"/>
                <w:szCs w:val="24"/>
                <w:lang w:val="en-US" w:eastAsia="zh-CN" w:bidi="ar"/>
                <w:woUserID w:val="2"/>
              </w:rPr>
              <w:t>Prompt</w:t>
            </w:r>
          </w:p>
        </w:tc>
        <w:tc>
          <w:tcPr>
            <w:tcW w:w="1703" w:type="pct"/>
            <w:tcBorders>
              <w:top w:val="single" w:color="auto" w:sz="4" w:space="0"/>
              <w:left w:val="nil"/>
              <w:bottom w:val="single" w:color="auto" w:sz="4" w:space="0"/>
              <w:right w:val="single" w:color="auto" w:sz="4" w:space="0"/>
            </w:tcBorders>
            <w:shd w:val="clear" w:color="auto" w:fill="auto"/>
            <w:vAlign w:val="center"/>
          </w:tcPr>
          <w:p w14:paraId="28446FB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2"/>
              </w:rPr>
            </w:pPr>
            <w:r>
              <w:rPr>
                <w:rFonts w:hint="default" w:ascii="Times New Roman" w:hAnsi="Times New Roman" w:eastAsia="Tahoma" w:cs="Times New Roman"/>
                <w:b/>
                <w:bCs/>
                <w:kern w:val="2"/>
                <w:sz w:val="24"/>
                <w:szCs w:val="24"/>
                <w:lang w:val="en-US" w:eastAsia="zh-CN" w:bidi="ar"/>
                <w:woUserID w:val="2"/>
              </w:rPr>
              <w:t>Key AI output</w:t>
            </w:r>
          </w:p>
        </w:tc>
      </w:tr>
      <w:tr w14:paraId="7A5B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6E75295E">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2"/>
              </w:rPr>
            </w:pPr>
            <w:r>
              <w:rPr>
                <w:rFonts w:hint="default" w:ascii="Times New Roman" w:hAnsi="Times New Roman" w:eastAsia="Tahoma" w:cs="Times New Roman"/>
                <w:b w:val="0"/>
                <w:bCs w:val="0"/>
                <w:kern w:val="2"/>
                <w:sz w:val="24"/>
                <w:szCs w:val="24"/>
                <w:lang w:val="en-US" w:eastAsia="zh-CN" w:bidi="ar"/>
                <w:woUserID w:val="2"/>
              </w:rPr>
              <w:t xml:space="preserve">1 </w:t>
            </w:r>
          </w:p>
        </w:tc>
        <w:tc>
          <w:tcPr>
            <w:tcW w:w="611" w:type="pct"/>
            <w:tcBorders>
              <w:top w:val="single" w:color="auto" w:sz="4" w:space="0"/>
              <w:left w:val="nil"/>
              <w:bottom w:val="single" w:color="auto" w:sz="4" w:space="0"/>
              <w:right w:val="single" w:color="auto" w:sz="4" w:space="0"/>
            </w:tcBorders>
            <w:shd w:val="clear" w:color="auto" w:fill="auto"/>
            <w:vAlign w:val="center"/>
          </w:tcPr>
          <w:p w14:paraId="4C3A6943">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2"/>
              </w:rPr>
            </w:pPr>
            <w:r>
              <w:rPr>
                <w:rFonts w:hint="default" w:ascii="Times New Roman" w:hAnsi="Times New Roman" w:eastAsia="Tahoma" w:cs="Times New Roman"/>
                <w:b w:val="0"/>
                <w:bCs w:val="0"/>
                <w:kern w:val="2"/>
                <w:sz w:val="24"/>
                <w:szCs w:val="24"/>
                <w:lang w:val="en-US" w:eastAsia="zh-CN" w:bidi="ar"/>
                <w:woUserID w:val="2"/>
              </w:rPr>
              <w:t xml:space="preserve">ChatGPT </w:t>
            </w:r>
          </w:p>
        </w:tc>
        <w:tc>
          <w:tcPr>
            <w:tcW w:w="2074" w:type="pct"/>
            <w:tcBorders>
              <w:top w:val="single" w:color="auto" w:sz="4" w:space="0"/>
              <w:left w:val="nil"/>
              <w:bottom w:val="single" w:color="auto" w:sz="4" w:space="0"/>
              <w:right w:val="single" w:color="auto" w:sz="4" w:space="0"/>
            </w:tcBorders>
            <w:shd w:val="clear" w:color="auto" w:fill="auto"/>
            <w:vAlign w:val="center"/>
          </w:tcPr>
          <w:p w14:paraId="4DF5782E">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lang w:eastAsia="zh"/>
                <w:woUserID w:val="2"/>
              </w:rPr>
            </w:pPr>
            <w:r>
              <w:rPr>
                <w:rFonts w:hint="default" w:ascii="Times New Roman" w:hAnsi="Times New Roman" w:eastAsia="Tahoma" w:cs="Times New Roman"/>
                <w:b w:val="0"/>
                <w:bCs w:val="0"/>
                <w:kern w:val="2"/>
                <w:sz w:val="24"/>
                <w:szCs w:val="24"/>
                <w:lang w:eastAsia="zh"/>
                <w:woUserID w:val="2"/>
              </w:rPr>
              <w:t>What kinds of data do I need if I would like to analyse cash flow of one company?</w:t>
            </w:r>
          </w:p>
        </w:tc>
        <w:tc>
          <w:tcPr>
            <w:tcW w:w="1703" w:type="pct"/>
            <w:tcBorders>
              <w:top w:val="single" w:color="auto" w:sz="4" w:space="0"/>
              <w:left w:val="nil"/>
              <w:bottom w:val="single" w:color="auto" w:sz="4" w:space="0"/>
              <w:right w:val="single" w:color="auto" w:sz="4" w:space="0"/>
            </w:tcBorders>
            <w:shd w:val="clear" w:color="auto" w:fill="auto"/>
            <w:vAlign w:val="center"/>
          </w:tcPr>
          <w:p w14:paraId="7957257E">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lang w:eastAsia="zh"/>
                <w:woUserID w:val="2"/>
              </w:rPr>
            </w:pPr>
            <w:r>
              <w:rPr>
                <w:rFonts w:hint="default" w:ascii="Times New Roman" w:hAnsi="Times New Roman" w:eastAsia="Tahoma" w:cs="Times New Roman"/>
                <w:b w:val="0"/>
                <w:bCs w:val="0"/>
                <w:kern w:val="2"/>
                <w:sz w:val="24"/>
                <w:szCs w:val="24"/>
                <w:lang w:eastAsia="zh"/>
                <w:woUserID w:val="2"/>
              </w:rPr>
              <w:t>Revenue and sales, Cost and outflow, Capex, Working capital, fund-raising activities, etc.</w:t>
            </w:r>
          </w:p>
        </w:tc>
      </w:tr>
      <w:tr w14:paraId="1A6B7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1D67851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2"/>
              </w:rPr>
            </w:pPr>
            <w:r>
              <w:rPr>
                <w:rFonts w:hint="default" w:ascii="Times New Roman" w:hAnsi="Times New Roman" w:eastAsia="Tahoma" w:cs="Times New Roman"/>
                <w:b w:val="0"/>
                <w:bCs w:val="0"/>
                <w:kern w:val="2"/>
                <w:sz w:val="24"/>
                <w:szCs w:val="24"/>
                <w:lang w:val="en-US" w:eastAsia="zh-CN" w:bidi="ar"/>
                <w:woUserID w:val="2"/>
              </w:rPr>
              <w:t xml:space="preserve">2 </w:t>
            </w:r>
          </w:p>
        </w:tc>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3439F868">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2"/>
              </w:rPr>
            </w:pPr>
            <w:r>
              <w:rPr>
                <w:rFonts w:hint="default" w:ascii="Times New Roman" w:hAnsi="Times New Roman" w:eastAsia="Tahoma" w:cs="Times New Roman"/>
                <w:b w:val="0"/>
                <w:bCs w:val="0"/>
                <w:kern w:val="2"/>
                <w:sz w:val="24"/>
                <w:szCs w:val="24"/>
                <w:lang w:val="en-US" w:eastAsia="zh" w:bidi="ar"/>
                <w:woUserID w:val="2"/>
              </w:rPr>
              <w:t>ChatGPT</w:t>
            </w:r>
            <w:r>
              <w:rPr>
                <w:rFonts w:hint="default" w:ascii="Times New Roman" w:hAnsi="Times New Roman" w:eastAsia="Tahoma" w:cs="Times New Roman"/>
                <w:b w:val="0"/>
                <w:bCs w:val="0"/>
                <w:kern w:val="2"/>
                <w:sz w:val="24"/>
                <w:szCs w:val="24"/>
                <w:lang w:val="en-US" w:eastAsia="zh-CN" w:bidi="ar"/>
                <w:woUserID w:val="2"/>
              </w:rPr>
              <w:t xml:space="preserve"> </w:t>
            </w:r>
          </w:p>
        </w:tc>
        <w:tc>
          <w:tcPr>
            <w:tcW w:w="2074" w:type="pct"/>
            <w:tcBorders>
              <w:top w:val="single" w:color="auto" w:sz="4" w:space="0"/>
              <w:left w:val="single" w:color="auto" w:sz="4" w:space="0"/>
              <w:bottom w:val="single" w:color="auto" w:sz="4" w:space="0"/>
              <w:right w:val="single" w:color="auto" w:sz="4" w:space="0"/>
            </w:tcBorders>
            <w:shd w:val="clear" w:color="auto" w:fill="auto"/>
            <w:vAlign w:val="center"/>
          </w:tcPr>
          <w:p w14:paraId="06F383C1">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lang w:eastAsia="zh"/>
                <w:woUserID w:val="2"/>
              </w:rPr>
            </w:pPr>
            <w:r>
              <w:rPr>
                <w:rFonts w:hint="default" w:ascii="Times New Roman" w:hAnsi="Times New Roman" w:eastAsia="Tahoma" w:cs="Times New Roman"/>
                <w:b w:val="0"/>
                <w:bCs w:val="0"/>
                <w:kern w:val="2"/>
                <w:sz w:val="24"/>
                <w:szCs w:val="24"/>
                <w:lang w:eastAsia="zh"/>
                <w:woUserID w:val="2"/>
              </w:rPr>
              <w:t>When analysing ROCE, what potential improvements could I discover with data of financial statements?</w:t>
            </w:r>
          </w:p>
        </w:tc>
        <w:tc>
          <w:tcPr>
            <w:tcW w:w="1703" w:type="pct"/>
            <w:tcBorders>
              <w:top w:val="single" w:color="auto" w:sz="4" w:space="0"/>
              <w:left w:val="single" w:color="auto" w:sz="4" w:space="0"/>
              <w:bottom w:val="single" w:color="auto" w:sz="4" w:space="0"/>
              <w:right w:val="single" w:color="auto" w:sz="4" w:space="0"/>
            </w:tcBorders>
            <w:shd w:val="clear" w:color="auto" w:fill="auto"/>
            <w:vAlign w:val="center"/>
          </w:tcPr>
          <w:p w14:paraId="2D7812A7">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lang w:eastAsia="zh"/>
                <w:woUserID w:val="2"/>
              </w:rPr>
            </w:pPr>
            <w:r>
              <w:rPr>
                <w:rFonts w:hint="default" w:ascii="Times New Roman" w:hAnsi="Times New Roman" w:eastAsia="Tahoma" w:cs="Times New Roman"/>
                <w:b w:val="0"/>
                <w:bCs w:val="0"/>
                <w:kern w:val="2"/>
                <w:sz w:val="24"/>
                <w:szCs w:val="24"/>
                <w:lang w:eastAsia="zh"/>
                <w:woUserID w:val="2"/>
              </w:rPr>
              <w:t>Capital structure optimisation by balance sheet, Inventory management and account receivable optimisation, Capex efficiency, Control of working capital, Cash flow management.</w:t>
            </w:r>
          </w:p>
        </w:tc>
      </w:tr>
      <w:tr w14:paraId="2FFF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0325F0DC">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2"/>
              </w:rPr>
            </w:pPr>
            <w:r>
              <w:rPr>
                <w:rFonts w:hint="default" w:ascii="Times New Roman" w:hAnsi="Times New Roman" w:eastAsia="Tahoma" w:cs="Times New Roman"/>
                <w:b w:val="0"/>
                <w:bCs w:val="0"/>
                <w:kern w:val="2"/>
                <w:sz w:val="24"/>
                <w:szCs w:val="24"/>
                <w:lang w:val="en-US" w:eastAsia="zh-CN" w:bidi="ar"/>
                <w:woUserID w:val="2"/>
              </w:rPr>
              <w:t xml:space="preserve">3 </w:t>
            </w:r>
          </w:p>
        </w:tc>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210ACD6D">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2"/>
              </w:rPr>
            </w:pPr>
            <w:r>
              <w:rPr>
                <w:rFonts w:hint="default" w:ascii="Times New Roman" w:hAnsi="Times New Roman" w:eastAsia="Tahoma" w:cs="Times New Roman"/>
                <w:b w:val="0"/>
                <w:bCs w:val="0"/>
                <w:kern w:val="2"/>
                <w:sz w:val="24"/>
                <w:szCs w:val="24"/>
                <w:lang w:val="en-US" w:eastAsia="zh-CN" w:bidi="ar"/>
                <w:woUserID w:val="2"/>
              </w:rPr>
              <w:t xml:space="preserve">ChatGPT </w:t>
            </w:r>
          </w:p>
        </w:tc>
        <w:tc>
          <w:tcPr>
            <w:tcW w:w="2074" w:type="pct"/>
            <w:tcBorders>
              <w:top w:val="single" w:color="auto" w:sz="4" w:space="0"/>
              <w:left w:val="single" w:color="auto" w:sz="4" w:space="0"/>
              <w:bottom w:val="single" w:color="auto" w:sz="4" w:space="0"/>
              <w:right w:val="single" w:color="auto" w:sz="4" w:space="0"/>
            </w:tcBorders>
            <w:shd w:val="clear" w:color="auto" w:fill="auto"/>
            <w:vAlign w:val="center"/>
          </w:tcPr>
          <w:p w14:paraId="6A4B44A8">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lang w:eastAsia="zh"/>
                <w:woUserID w:val="2"/>
              </w:rPr>
            </w:pPr>
            <w:r>
              <w:rPr>
                <w:rFonts w:hint="default" w:ascii="Times New Roman" w:hAnsi="Times New Roman" w:eastAsia="Tahoma" w:cs="Times New Roman"/>
                <w:b w:val="0"/>
                <w:bCs w:val="0"/>
                <w:kern w:val="2"/>
                <w:sz w:val="24"/>
                <w:szCs w:val="24"/>
                <w:lang w:eastAsia="zh"/>
                <w:woUserID w:val="2"/>
              </w:rPr>
              <w:t>How to demonstrate one company's ROCE is relatively low when the company may not use its capital efficiently, or that excessive capital investment has been made without generating expected returns?</w:t>
            </w:r>
          </w:p>
        </w:tc>
        <w:tc>
          <w:tcPr>
            <w:tcW w:w="1703" w:type="pct"/>
            <w:tcBorders>
              <w:top w:val="single" w:color="auto" w:sz="4" w:space="0"/>
              <w:left w:val="single" w:color="auto" w:sz="4" w:space="0"/>
              <w:bottom w:val="single" w:color="auto" w:sz="4" w:space="0"/>
              <w:right w:val="single" w:color="auto" w:sz="4" w:space="0"/>
            </w:tcBorders>
            <w:shd w:val="clear" w:color="auto" w:fill="auto"/>
            <w:vAlign w:val="center"/>
          </w:tcPr>
          <w:p w14:paraId="0726F18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eastAsiaTheme="minorEastAsia"/>
                <w:color w:val="000000"/>
                <w:sz w:val="24"/>
                <w:szCs w:val="24"/>
                <w:lang w:eastAsia="zh"/>
                <w:woUserID w:val="2"/>
              </w:rPr>
            </w:pPr>
            <w:r>
              <w:rPr>
                <w:rFonts w:hint="default" w:ascii="Times New Roman" w:hAnsi="Times New Roman" w:eastAsia="Tahoma" w:cs="Times New Roman"/>
                <w:b w:val="0"/>
                <w:bCs w:val="0"/>
                <w:kern w:val="2"/>
                <w:sz w:val="24"/>
                <w:szCs w:val="24"/>
                <w:lang w:eastAsia="zh"/>
                <w:woUserID w:val="2"/>
              </w:rPr>
              <w:t>capital utilization efficiency, waste of resources, irrational capital expenditure, excessive expansion, poor, incorrect investment decisions, low short-term returns, long-term capital occupation.</w:t>
            </w:r>
          </w:p>
          <w:p w14:paraId="7B3F8DAA">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val="0"/>
                <w:bCs w:val="0"/>
                <w:kern w:val="2"/>
                <w:sz w:val="24"/>
                <w:szCs w:val="24"/>
                <w:woUserID w:val="2"/>
              </w:rPr>
            </w:pPr>
          </w:p>
        </w:tc>
      </w:tr>
    </w:tbl>
    <w:p w14:paraId="3A724069">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Tahoma" w:cs="Times New Roman"/>
          <w:b/>
          <w:bCs/>
          <w:kern w:val="2"/>
          <w:sz w:val="24"/>
          <w:szCs w:val="24"/>
          <w:lang w:val="en-US" w:eastAsia="zh-CN" w:bidi="ar"/>
          <w:woUserID w:val="2"/>
        </w:rPr>
      </w:pPr>
    </w:p>
    <w:p w14:paraId="714FF300">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Tahoma" w:cs="Times New Roman"/>
          <w:b/>
          <w:bCs/>
          <w:kern w:val="2"/>
          <w:sz w:val="24"/>
          <w:szCs w:val="24"/>
          <w:lang w:val="en-US" w:eastAsia="zh-CN" w:bidi="ar"/>
          <w:woUserID w:val="2"/>
        </w:rPr>
      </w:pPr>
      <w:r>
        <w:rPr>
          <w:rFonts w:hint="default" w:ascii="Times New Roman" w:hAnsi="Times New Roman" w:eastAsia="Tahoma" w:cs="Times New Roman"/>
          <w:b/>
          <w:bCs/>
          <w:kern w:val="2"/>
          <w:sz w:val="24"/>
          <w:szCs w:val="24"/>
          <w:lang w:val="en-US" w:eastAsia="zh-CN" w:bidi="ar"/>
          <w:woUserID w:val="2"/>
        </w:rPr>
        <w:t>Table Q</w:t>
      </w:r>
      <w:r>
        <w:rPr>
          <w:rFonts w:hint="default" w:ascii="Times New Roman" w:hAnsi="Times New Roman" w:eastAsia="Tahoma" w:cs="Times New Roman"/>
          <w:b/>
          <w:bCs/>
          <w:kern w:val="2"/>
          <w:sz w:val="24"/>
          <w:szCs w:val="24"/>
          <w:lang w:val="en-US" w:eastAsia="zh" w:bidi="ar"/>
          <w:woUserID w:val="2"/>
        </w:rPr>
        <w:t>2</w:t>
      </w:r>
      <w:r>
        <w:rPr>
          <w:rFonts w:hint="default" w:ascii="Times New Roman" w:hAnsi="Times New Roman" w:eastAsia="Tahoma" w:cs="Times New Roman"/>
          <w:b/>
          <w:bCs/>
          <w:kern w:val="2"/>
          <w:sz w:val="24"/>
          <w:szCs w:val="24"/>
          <w:lang w:val="en-US" w:eastAsia="zh-CN" w:bidi="ar"/>
          <w:woUserID w:val="2"/>
        </w:rPr>
        <w:t>-2: Human revision-rationale-final usable version</w:t>
      </w:r>
    </w:p>
    <w:p w14:paraId="686AD294">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Tahoma" w:cs="Times New Roman"/>
          <w:b/>
          <w:bCs/>
          <w:kern w:val="2"/>
          <w:sz w:val="24"/>
          <w:szCs w:val="24"/>
          <w:lang w:val="en-US" w:eastAsia="zh-CN" w:bidi="ar"/>
          <w:woUserID w:val="2"/>
        </w:rPr>
      </w:pPr>
    </w:p>
    <w:tbl>
      <w:tblPr>
        <w:tblStyle w:val="1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152"/>
        <w:gridCol w:w="1617"/>
        <w:gridCol w:w="1542"/>
        <w:gridCol w:w="1062"/>
        <w:gridCol w:w="1272"/>
        <w:gridCol w:w="2427"/>
      </w:tblGrid>
      <w:tr w14:paraId="116B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48" w:hRule="atLeast"/>
          <w:jc w:val="center"/>
        </w:trPr>
        <w:tc>
          <w:tcPr>
            <w:tcW w:w="634" w:type="pct"/>
            <w:tcBorders>
              <w:top w:val="single" w:color="auto" w:sz="4" w:space="0"/>
              <w:left w:val="single" w:color="auto" w:sz="4" w:space="0"/>
              <w:bottom w:val="single" w:color="auto" w:sz="4" w:space="0"/>
              <w:right w:val="single" w:color="auto" w:sz="4" w:space="0"/>
            </w:tcBorders>
            <w:shd w:val="clear" w:color="auto" w:fill="auto"/>
            <w:vAlign w:val="center"/>
          </w:tcPr>
          <w:p w14:paraId="540B2038">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b/>
                <w:bCs/>
                <w:kern w:val="2"/>
                <w:sz w:val="24"/>
                <w:szCs w:val="24"/>
                <w:lang w:val="en-US" w:eastAsia="zh-CN" w:bidi="ar"/>
                <w:woUserID w:val="5"/>
              </w:rPr>
            </w:pPr>
            <w:r>
              <w:rPr>
                <w:rFonts w:hint="default" w:ascii="Times New Roman" w:hAnsi="Times New Roman" w:eastAsia="等线" w:cs="Times New Roman"/>
                <w:b/>
                <w:bCs/>
                <w:kern w:val="2"/>
                <w:sz w:val="24"/>
                <w:szCs w:val="24"/>
                <w:lang w:val="en-US" w:eastAsia="zh-CN" w:bidi="ar"/>
                <w:woUserID w:val="5"/>
              </w:rPr>
              <w:t>Item</w:t>
            </w:r>
          </w:p>
        </w:tc>
        <w:tc>
          <w:tcPr>
            <w:tcW w:w="891" w:type="pct"/>
            <w:tcBorders>
              <w:top w:val="single" w:color="auto" w:sz="4" w:space="0"/>
              <w:left w:val="single" w:color="auto" w:sz="4" w:space="0"/>
              <w:bottom w:val="single" w:color="auto" w:sz="4" w:space="0"/>
              <w:right w:val="single" w:color="auto" w:sz="4" w:space="0"/>
            </w:tcBorders>
            <w:shd w:val="clear" w:color="auto" w:fill="auto"/>
            <w:vAlign w:val="center"/>
          </w:tcPr>
          <w:p w14:paraId="0C3DE6D0">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b/>
                <w:bCs/>
                <w:kern w:val="2"/>
                <w:sz w:val="24"/>
                <w:szCs w:val="24"/>
                <w:lang w:val="en-US" w:eastAsia="zh-CN" w:bidi="ar"/>
                <w:woUserID w:val="5"/>
              </w:rPr>
            </w:pPr>
            <w:r>
              <w:rPr>
                <w:rFonts w:hint="default" w:ascii="Times New Roman" w:hAnsi="Times New Roman" w:eastAsia="等线" w:cs="Times New Roman"/>
                <w:b/>
                <w:bCs/>
                <w:kern w:val="2"/>
                <w:sz w:val="24"/>
                <w:szCs w:val="24"/>
                <w:lang w:val="en-US" w:eastAsia="zh-CN" w:bidi="ar"/>
                <w:woUserID w:val="5"/>
              </w:rPr>
              <w:t>AI original statement</w:t>
            </w:r>
          </w:p>
        </w:tc>
        <w:tc>
          <w:tcPr>
            <w:tcW w:w="849" w:type="pct"/>
            <w:tcBorders>
              <w:top w:val="single" w:color="auto" w:sz="4" w:space="0"/>
              <w:left w:val="single" w:color="auto" w:sz="4" w:space="0"/>
              <w:bottom w:val="single" w:color="auto" w:sz="4" w:space="0"/>
              <w:right w:val="single" w:color="auto" w:sz="4" w:space="0"/>
            </w:tcBorders>
            <w:shd w:val="clear" w:color="auto" w:fill="auto"/>
            <w:vAlign w:val="center"/>
          </w:tcPr>
          <w:p w14:paraId="38979002">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b/>
                <w:bCs/>
                <w:kern w:val="2"/>
                <w:sz w:val="24"/>
                <w:szCs w:val="24"/>
                <w:lang w:val="en-US" w:eastAsia="zh-CN" w:bidi="ar"/>
                <w:woUserID w:val="5"/>
              </w:rPr>
            </w:pPr>
            <w:r>
              <w:rPr>
                <w:rFonts w:hint="default" w:ascii="Times New Roman" w:hAnsi="Times New Roman" w:eastAsia="等线" w:cs="Times New Roman"/>
                <w:b/>
                <w:bCs/>
                <w:kern w:val="2"/>
                <w:sz w:val="24"/>
                <w:szCs w:val="24"/>
                <w:lang w:val="en-US" w:eastAsia="zh-CN" w:bidi="ar"/>
                <w:woUserID w:val="5"/>
              </w:rPr>
              <w:t>Problem identified</w:t>
            </w:r>
          </w:p>
        </w:tc>
        <w:tc>
          <w:tcPr>
            <w:tcW w:w="585" w:type="pct"/>
            <w:tcBorders>
              <w:top w:val="single" w:color="auto" w:sz="4" w:space="0"/>
              <w:left w:val="single" w:color="auto" w:sz="4" w:space="0"/>
              <w:bottom w:val="single" w:color="auto" w:sz="4" w:space="0"/>
              <w:right w:val="single" w:color="auto" w:sz="4" w:space="0"/>
            </w:tcBorders>
            <w:shd w:val="clear" w:color="auto" w:fill="auto"/>
            <w:vAlign w:val="center"/>
          </w:tcPr>
          <w:p w14:paraId="2B9456BC">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b/>
                <w:bCs/>
                <w:kern w:val="2"/>
                <w:sz w:val="24"/>
                <w:szCs w:val="24"/>
                <w:lang w:val="en-US" w:eastAsia="zh-CN" w:bidi="ar"/>
                <w:woUserID w:val="5"/>
              </w:rPr>
            </w:pPr>
            <w:r>
              <w:rPr>
                <w:rFonts w:hint="default" w:ascii="Times New Roman" w:hAnsi="Times New Roman" w:eastAsia="等线" w:cs="Times New Roman"/>
                <w:b/>
                <w:bCs/>
                <w:kern w:val="2"/>
                <w:sz w:val="24"/>
                <w:szCs w:val="24"/>
                <w:lang w:val="en-US" w:eastAsia="zh-CN" w:bidi="ar"/>
                <w:woUserID w:val="5"/>
              </w:rPr>
              <w:t>Evidence source</w:t>
            </w:r>
          </w:p>
        </w:tc>
        <w:tc>
          <w:tcPr>
            <w:tcW w:w="701" w:type="pct"/>
            <w:tcBorders>
              <w:top w:val="single" w:color="auto" w:sz="4" w:space="0"/>
              <w:left w:val="single" w:color="auto" w:sz="4" w:space="0"/>
              <w:bottom w:val="single" w:color="auto" w:sz="4" w:space="0"/>
              <w:right w:val="single" w:color="auto" w:sz="4" w:space="0"/>
            </w:tcBorders>
            <w:shd w:val="clear" w:color="auto" w:fill="auto"/>
            <w:vAlign w:val="center"/>
          </w:tcPr>
          <w:p w14:paraId="2836B85D">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b/>
                <w:bCs/>
                <w:kern w:val="2"/>
                <w:sz w:val="24"/>
                <w:szCs w:val="24"/>
                <w:lang w:val="en-US" w:eastAsia="zh-CN" w:bidi="ar"/>
                <w:woUserID w:val="5"/>
              </w:rPr>
            </w:pPr>
            <w:r>
              <w:rPr>
                <w:rFonts w:hint="default" w:ascii="Times New Roman" w:hAnsi="Times New Roman" w:eastAsia="等线" w:cs="Times New Roman"/>
                <w:b/>
                <w:bCs/>
                <w:kern w:val="2"/>
                <w:sz w:val="24"/>
                <w:szCs w:val="24"/>
                <w:lang w:val="en-US" w:eastAsia="zh-CN" w:bidi="ar"/>
                <w:woUserID w:val="5"/>
              </w:rPr>
              <w:t>How you revised</w:t>
            </w:r>
          </w:p>
        </w:tc>
        <w:tc>
          <w:tcPr>
            <w:tcW w:w="1337" w:type="pct"/>
            <w:tcBorders>
              <w:top w:val="single" w:color="auto" w:sz="4" w:space="0"/>
              <w:left w:val="single" w:color="auto" w:sz="4" w:space="0"/>
              <w:bottom w:val="single" w:color="auto" w:sz="4" w:space="0"/>
              <w:right w:val="single" w:color="auto" w:sz="4" w:space="0"/>
            </w:tcBorders>
            <w:shd w:val="clear" w:color="auto" w:fill="auto"/>
            <w:vAlign w:val="center"/>
          </w:tcPr>
          <w:p w14:paraId="0C8855E4">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b/>
                <w:bCs/>
                <w:kern w:val="2"/>
                <w:sz w:val="24"/>
                <w:szCs w:val="24"/>
                <w:lang w:val="en-US" w:eastAsia="zh-CN" w:bidi="ar"/>
                <w:woUserID w:val="5"/>
              </w:rPr>
            </w:pPr>
            <w:r>
              <w:rPr>
                <w:rFonts w:hint="default" w:ascii="Times New Roman" w:hAnsi="Times New Roman" w:eastAsia="等线" w:cs="Times New Roman"/>
                <w:b/>
                <w:bCs/>
                <w:kern w:val="2"/>
                <w:sz w:val="24"/>
                <w:szCs w:val="24"/>
                <w:lang w:val="en-US" w:eastAsia="zh-CN" w:bidi="ar"/>
                <w:woUserID w:val="5"/>
              </w:rPr>
              <w:t>Final sentence usable in main text</w:t>
            </w:r>
          </w:p>
        </w:tc>
      </w:tr>
      <w:tr w14:paraId="4358C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48" w:hRule="atLeast"/>
          <w:jc w:val="center"/>
        </w:trPr>
        <w:tc>
          <w:tcPr>
            <w:tcW w:w="634" w:type="pct"/>
            <w:tcBorders>
              <w:top w:val="single" w:color="auto" w:sz="4" w:space="0"/>
              <w:left w:val="single" w:color="auto" w:sz="4" w:space="0"/>
              <w:bottom w:val="single" w:color="auto" w:sz="4" w:space="0"/>
              <w:right w:val="single" w:color="auto" w:sz="4" w:space="0"/>
            </w:tcBorders>
            <w:shd w:val="clear" w:color="auto" w:fill="auto"/>
            <w:vAlign w:val="center"/>
          </w:tcPr>
          <w:p w14:paraId="3B453519">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 xml:space="preserve">1. </w:t>
            </w:r>
            <w:r>
              <w:rPr>
                <w:rFonts w:hint="default" w:ascii="Times New Roman" w:hAnsi="Times New Roman" w:eastAsia="等线" w:cs="Times New Roman"/>
                <w:kern w:val="2"/>
                <w:sz w:val="24"/>
                <w:szCs w:val="24"/>
                <w:lang w:val="en-US" w:eastAsia="zh" w:bidi="ar"/>
                <w:woUserID w:val="5"/>
              </w:rPr>
              <w:t>Transition costs</w:t>
            </w:r>
          </w:p>
        </w:tc>
        <w:tc>
          <w:tcPr>
            <w:tcW w:w="891" w:type="pct"/>
            <w:tcBorders>
              <w:top w:val="single" w:color="auto" w:sz="4" w:space="0"/>
              <w:left w:val="single" w:color="auto" w:sz="4" w:space="0"/>
              <w:bottom w:val="single" w:color="auto" w:sz="4" w:space="0"/>
              <w:right w:val="single" w:color="auto" w:sz="4" w:space="0"/>
            </w:tcBorders>
            <w:shd w:val="clear" w:color="auto" w:fill="auto"/>
            <w:vAlign w:val="center"/>
          </w:tcPr>
          <w:p w14:paraId="72F6F607">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 w:bidi="ar"/>
                <w:woUserID w:val="5"/>
              </w:rPr>
              <w:t>The drop in Volkswagen’s ROCE is primarily due to higher transition costs.</w:t>
            </w:r>
          </w:p>
        </w:tc>
        <w:tc>
          <w:tcPr>
            <w:tcW w:w="849" w:type="pct"/>
            <w:tcBorders>
              <w:top w:val="single" w:color="auto" w:sz="4" w:space="0"/>
              <w:left w:val="single" w:color="auto" w:sz="4" w:space="0"/>
              <w:bottom w:val="single" w:color="auto" w:sz="4" w:space="0"/>
              <w:right w:val="single" w:color="auto" w:sz="4" w:space="0"/>
            </w:tcBorders>
            <w:shd w:val="clear" w:color="auto" w:fill="auto"/>
            <w:vAlign w:val="center"/>
          </w:tcPr>
          <w:p w14:paraId="26DADD64">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t>AI attributes the decline in Volkswagen’s ROCE to increased transition costs, yet there could be more straightforward or alternative reasons in practice.</w:t>
            </w:r>
          </w:p>
        </w:tc>
        <w:tc>
          <w:tcPr>
            <w:tcW w:w="585" w:type="pct"/>
            <w:tcBorders>
              <w:top w:val="single" w:color="auto" w:sz="4" w:space="0"/>
              <w:left w:val="single" w:color="auto" w:sz="4" w:space="0"/>
              <w:bottom w:val="single" w:color="auto" w:sz="4" w:space="0"/>
              <w:right w:val="single" w:color="auto" w:sz="4" w:space="0"/>
            </w:tcBorders>
            <w:shd w:val="clear" w:color="auto" w:fill="auto"/>
            <w:vAlign w:val="center"/>
          </w:tcPr>
          <w:p w14:paraId="343FA749">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t>Industry reports and company annual report</w:t>
            </w:r>
          </w:p>
        </w:tc>
        <w:tc>
          <w:tcPr>
            <w:tcW w:w="701" w:type="pct"/>
            <w:tcBorders>
              <w:top w:val="single" w:color="auto" w:sz="4" w:space="0"/>
              <w:left w:val="single" w:color="auto" w:sz="4" w:space="0"/>
              <w:bottom w:val="single" w:color="auto" w:sz="4" w:space="0"/>
              <w:right w:val="single" w:color="auto" w:sz="4" w:space="0"/>
            </w:tcBorders>
            <w:shd w:val="clear" w:color="auto" w:fill="auto"/>
            <w:vAlign w:val="center"/>
          </w:tcPr>
          <w:p w14:paraId="03069083">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t>Replace higher transition costs with inefficient asset utilisation</w:t>
            </w:r>
          </w:p>
        </w:tc>
        <w:tc>
          <w:tcPr>
            <w:tcW w:w="1337" w:type="pct"/>
            <w:tcBorders>
              <w:top w:val="single" w:color="auto" w:sz="4" w:space="0"/>
              <w:left w:val="single" w:color="auto" w:sz="4" w:space="0"/>
              <w:bottom w:val="single" w:color="auto" w:sz="4" w:space="0"/>
              <w:right w:val="single" w:color="auto" w:sz="4" w:space="0"/>
            </w:tcBorders>
            <w:shd w:val="clear" w:color="auto" w:fill="auto"/>
            <w:vAlign w:val="center"/>
          </w:tcPr>
          <w:p w14:paraId="77009F3C">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Volkswagen</w:t>
            </w:r>
            <w:r>
              <w:rPr>
                <w:rFonts w:hint="default" w:ascii="Times New Roman" w:hAnsi="Times New Roman" w:eastAsia="等线" w:cs="Times New Roman"/>
                <w:kern w:val="2"/>
                <w:sz w:val="24"/>
                <w:szCs w:val="24"/>
                <w:lang w:val="en-US" w:eastAsia="zh" w:bidi="ar"/>
                <w:woUserID w:val="5"/>
              </w:rPr>
              <w:t xml:space="preserve"> and BMW</w:t>
            </w:r>
            <w:r>
              <w:rPr>
                <w:rFonts w:hint="default" w:ascii="Times New Roman" w:hAnsi="Times New Roman" w:eastAsia="等线" w:cs="Times New Roman"/>
                <w:kern w:val="2"/>
                <w:sz w:val="24"/>
                <w:szCs w:val="24"/>
                <w:lang w:val="en-US" w:eastAsia="zh-CN" w:bidi="ar"/>
                <w:woUserID w:val="5"/>
              </w:rPr>
              <w:t xml:space="preserve"> should address this </w:t>
            </w:r>
            <w:r>
              <w:rPr>
                <w:rFonts w:hint="default" w:ascii="Times New Roman" w:hAnsi="Times New Roman" w:eastAsia="等线" w:cs="Times New Roman"/>
                <w:kern w:val="2"/>
                <w:sz w:val="24"/>
                <w:szCs w:val="24"/>
                <w:lang w:val="en-US" w:eastAsia="zh" w:bidi="ar"/>
                <w:woUserID w:val="5"/>
              </w:rPr>
              <w:t>problem</w:t>
            </w:r>
            <w:r>
              <w:rPr>
                <w:rFonts w:hint="default" w:ascii="Times New Roman" w:hAnsi="Times New Roman" w:eastAsia="等线" w:cs="Times New Roman"/>
                <w:kern w:val="2"/>
                <w:sz w:val="24"/>
                <w:szCs w:val="24"/>
                <w:lang w:val="en-US" w:eastAsia="zh-CN" w:bidi="ar"/>
                <w:woUserID w:val="5"/>
              </w:rPr>
              <w:t xml:space="preserve"> with its finance department, focusing on optimizing capital allocation and improving asset efficiency.</w:t>
            </w:r>
          </w:p>
        </w:tc>
      </w:tr>
      <w:tr w14:paraId="3394A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48" w:hRule="atLeast"/>
          <w:jc w:val="center"/>
        </w:trPr>
        <w:tc>
          <w:tcPr>
            <w:tcW w:w="634" w:type="pct"/>
            <w:tcBorders>
              <w:top w:val="single" w:color="auto" w:sz="4" w:space="0"/>
              <w:left w:val="single" w:color="auto" w:sz="4" w:space="0"/>
              <w:bottom w:val="single" w:color="auto" w:sz="4" w:space="0"/>
              <w:right w:val="single" w:color="auto" w:sz="4" w:space="0"/>
            </w:tcBorders>
            <w:shd w:val="clear" w:color="auto" w:fill="auto"/>
            <w:vAlign w:val="center"/>
          </w:tcPr>
          <w:p w14:paraId="0E4CBBF4">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 xml:space="preserve">2. </w:t>
            </w:r>
            <w:r>
              <w:rPr>
                <w:rFonts w:hint="default" w:ascii="Times New Roman" w:hAnsi="Times New Roman" w:eastAsia="等线" w:cs="Times New Roman"/>
                <w:kern w:val="2"/>
                <w:sz w:val="24"/>
                <w:szCs w:val="24"/>
                <w:lang w:val="en-US" w:eastAsia="zh" w:bidi="ar"/>
                <w:woUserID w:val="5"/>
              </w:rPr>
              <w:t>Toyota production system</w:t>
            </w:r>
          </w:p>
        </w:tc>
        <w:tc>
          <w:tcPr>
            <w:tcW w:w="891" w:type="pct"/>
            <w:tcBorders>
              <w:top w:val="single" w:color="auto" w:sz="4" w:space="0"/>
              <w:left w:val="single" w:color="auto" w:sz="4" w:space="0"/>
              <w:bottom w:val="single" w:color="auto" w:sz="4" w:space="0"/>
              <w:right w:val="single" w:color="auto" w:sz="4" w:space="0"/>
            </w:tcBorders>
            <w:shd w:val="clear" w:color="auto" w:fill="auto"/>
            <w:vAlign w:val="center"/>
          </w:tcPr>
          <w:p w14:paraId="07471893">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t>To improve capital efficiency and production performance, Volkswagen should adopt lean manufacturing practices akin to the Toyota Production System (TPS).</w:t>
            </w:r>
          </w:p>
        </w:tc>
        <w:tc>
          <w:tcPr>
            <w:tcW w:w="849" w:type="pct"/>
            <w:tcBorders>
              <w:top w:val="single" w:color="auto" w:sz="4" w:space="0"/>
              <w:left w:val="single" w:color="auto" w:sz="4" w:space="0"/>
              <w:bottom w:val="single" w:color="auto" w:sz="4" w:space="0"/>
              <w:right w:val="single" w:color="auto" w:sz="4" w:space="0"/>
            </w:tcBorders>
            <w:shd w:val="clear" w:color="auto" w:fill="auto"/>
            <w:vAlign w:val="center"/>
          </w:tcPr>
          <w:p w14:paraId="1DBB7828">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 w:bidi="ar"/>
                <w:woUserID w:val="5"/>
              </w:rPr>
              <w:t>AI has overstated the effectiveness of TPS; in reality, other improvement methods also exist.</w:t>
            </w:r>
          </w:p>
        </w:tc>
        <w:tc>
          <w:tcPr>
            <w:tcW w:w="585" w:type="pct"/>
            <w:tcBorders>
              <w:top w:val="single" w:color="auto" w:sz="4" w:space="0"/>
              <w:left w:val="single" w:color="auto" w:sz="4" w:space="0"/>
              <w:bottom w:val="single" w:color="auto" w:sz="4" w:space="0"/>
              <w:right w:val="single" w:color="auto" w:sz="4" w:space="0"/>
            </w:tcBorders>
            <w:shd w:val="clear" w:color="auto" w:fill="auto"/>
            <w:vAlign w:val="center"/>
          </w:tcPr>
          <w:p w14:paraId="104FB3A4">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t>Dongguan securities report</w:t>
            </w:r>
          </w:p>
        </w:tc>
        <w:tc>
          <w:tcPr>
            <w:tcW w:w="701" w:type="pct"/>
            <w:tcBorders>
              <w:top w:val="single" w:color="auto" w:sz="4" w:space="0"/>
              <w:left w:val="single" w:color="auto" w:sz="4" w:space="0"/>
              <w:bottom w:val="single" w:color="auto" w:sz="4" w:space="0"/>
              <w:right w:val="single" w:color="auto" w:sz="4" w:space="0"/>
            </w:tcBorders>
            <w:shd w:val="clear" w:color="auto" w:fill="auto"/>
            <w:vAlign w:val="center"/>
          </w:tcPr>
          <w:p w14:paraId="39CCB561">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t>Introduce technology named Gigacasting</w:t>
            </w:r>
          </w:p>
        </w:tc>
        <w:tc>
          <w:tcPr>
            <w:tcW w:w="1337" w:type="pct"/>
            <w:tcBorders>
              <w:top w:val="single" w:color="auto" w:sz="4" w:space="0"/>
              <w:left w:val="single" w:color="auto" w:sz="4" w:space="0"/>
              <w:bottom w:val="single" w:color="auto" w:sz="4" w:space="0"/>
              <w:right w:val="single" w:color="auto" w:sz="4" w:space="0"/>
            </w:tcBorders>
            <w:shd w:val="clear" w:color="auto" w:fill="auto"/>
            <w:vAlign w:val="center"/>
          </w:tcPr>
          <w:p w14:paraId="2B06BB27">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 w:bidi="ar"/>
                <w:woUserID w:val="5"/>
              </w:rPr>
              <w:t xml:space="preserve">Three companies should </w:t>
            </w:r>
            <w:r>
              <w:rPr>
                <w:rFonts w:hint="default" w:ascii="Times New Roman" w:hAnsi="Times New Roman" w:eastAsia="等线" w:cs="Times New Roman"/>
                <w:kern w:val="2"/>
                <w:sz w:val="24"/>
                <w:szCs w:val="24"/>
                <w:lang w:val="en-US" w:eastAsia="zh-CN" w:bidi="ar"/>
                <w:woUserID w:val="5"/>
              </w:rPr>
              <w:t>focus</w:t>
            </w:r>
            <w:r>
              <w:rPr>
                <w:rFonts w:hint="default" w:ascii="Times New Roman" w:hAnsi="Times New Roman" w:eastAsia="等线" w:cs="Times New Roman"/>
                <w:kern w:val="2"/>
                <w:sz w:val="24"/>
                <w:szCs w:val="24"/>
                <w:lang w:val="en-US" w:eastAsia="zh" w:bidi="ar"/>
                <w:woUserID w:val="5"/>
              </w:rPr>
              <w:t xml:space="preserve"> </w:t>
            </w:r>
            <w:r>
              <w:rPr>
                <w:rFonts w:hint="default" w:ascii="Times New Roman" w:hAnsi="Times New Roman" w:eastAsia="等线" w:cs="Times New Roman"/>
                <w:kern w:val="2"/>
                <w:sz w:val="24"/>
                <w:szCs w:val="24"/>
                <w:lang w:val="en-US" w:eastAsia="zh-CN" w:bidi="ar"/>
                <w:woUserID w:val="5"/>
              </w:rPr>
              <w:t>on optimizing capital allocation and improving asset efficiency</w:t>
            </w:r>
            <w:r>
              <w:rPr>
                <w:rFonts w:hint="default" w:ascii="Times New Roman" w:hAnsi="Times New Roman" w:eastAsia="等线" w:cs="Times New Roman"/>
                <w:kern w:val="2"/>
                <w:sz w:val="24"/>
                <w:szCs w:val="24"/>
                <w:lang w:val="en-US" w:eastAsia="zh" w:bidi="ar"/>
                <w:woUserID w:val="5"/>
              </w:rPr>
              <w:t xml:space="preserve"> by introducing gigacasting, </w:t>
            </w:r>
            <w:r>
              <w:rPr>
                <w:rFonts w:hint="eastAsia" w:ascii="Times New Roman" w:hAnsi="Times New Roman" w:eastAsia="等线" w:cs="Times New Roman"/>
                <w:kern w:val="2"/>
                <w:sz w:val="24"/>
                <w:szCs w:val="24"/>
                <w:lang w:val="en-US" w:eastAsia="zh" w:bidi="ar"/>
                <w:woUserID w:val="5"/>
              </w:rPr>
              <w:t>le</w:t>
            </w:r>
            <w:r>
              <w:rPr>
                <w:rFonts w:hint="default" w:ascii="Times New Roman" w:hAnsi="Times New Roman" w:eastAsia="等线" w:cs="Times New Roman"/>
                <w:kern w:val="2"/>
                <w:sz w:val="24"/>
                <w:szCs w:val="24"/>
                <w:lang w:val="en-US" w:eastAsia="zh" w:bidi="ar"/>
                <w:woUserID w:val="5"/>
              </w:rPr>
              <w:t xml:space="preserve">d by </w:t>
            </w:r>
            <w:r>
              <w:rPr>
                <w:rFonts w:hint="eastAsia" w:ascii="Times New Roman" w:hAnsi="Times New Roman" w:eastAsia="等线" w:cs="Times New Roman"/>
                <w:kern w:val="2"/>
                <w:sz w:val="24"/>
                <w:szCs w:val="24"/>
                <w:lang w:val="en-US" w:eastAsia="zh" w:bidi="ar"/>
                <w:woUserID w:val="5"/>
              </w:rPr>
              <w:t xml:space="preserve">the </w:t>
            </w:r>
            <w:r>
              <w:rPr>
                <w:rFonts w:hint="default" w:ascii="Times New Roman" w:hAnsi="Times New Roman" w:eastAsia="等线" w:cs="Times New Roman"/>
                <w:kern w:val="2"/>
                <w:sz w:val="24"/>
                <w:szCs w:val="24"/>
                <w:lang w:val="en-US" w:eastAsia="zh" w:bidi="ar"/>
                <w:woUserID w:val="5"/>
              </w:rPr>
              <w:t xml:space="preserve">manufacturing department, as it </w:t>
            </w:r>
            <w:r>
              <w:rPr>
                <w:rFonts w:hint="eastAsia" w:ascii="Times New Roman" w:hAnsi="Times New Roman" w:eastAsia="等线" w:cs="Times New Roman"/>
                <w:kern w:val="2"/>
                <w:sz w:val="24"/>
                <w:szCs w:val="24"/>
                <w:lang w:val="en-US" w:eastAsia="zh" w:bidi="ar"/>
                <w:woUserID w:val="5"/>
              </w:rPr>
              <w:t xml:space="preserve">may </w:t>
            </w:r>
            <w:r>
              <w:rPr>
                <w:rFonts w:hint="default" w:ascii="Times New Roman" w:hAnsi="Times New Roman" w:eastAsia="等线" w:cs="Times New Roman"/>
                <w:kern w:val="2"/>
                <w:sz w:val="24"/>
                <w:szCs w:val="24"/>
                <w:lang w:val="en-US" w:eastAsia="zh" w:bidi="ar"/>
                <w:woUserID w:val="5"/>
              </w:rPr>
              <w:t>help reduce manufactur</w:t>
            </w:r>
            <w:r>
              <w:rPr>
                <w:rFonts w:hint="eastAsia" w:ascii="Times New Roman" w:hAnsi="Times New Roman" w:eastAsia="等线" w:cs="Times New Roman"/>
                <w:kern w:val="2"/>
                <w:sz w:val="24"/>
                <w:szCs w:val="24"/>
                <w:lang w:val="en-US" w:eastAsia="zh" w:bidi="ar"/>
                <w:woUserID w:val="5"/>
              </w:rPr>
              <w:t>ing</w:t>
            </w:r>
            <w:r>
              <w:rPr>
                <w:rFonts w:hint="default" w:ascii="Times New Roman" w:hAnsi="Times New Roman" w:eastAsia="等线" w:cs="Times New Roman"/>
                <w:kern w:val="2"/>
                <w:sz w:val="24"/>
                <w:szCs w:val="24"/>
                <w:lang w:val="en-US" w:eastAsia="zh" w:bidi="ar"/>
                <w:woUserID w:val="5"/>
              </w:rPr>
              <w:t xml:space="preserve"> costs (Huang</w:t>
            </w:r>
            <w:r>
              <w:rPr>
                <w:rFonts w:hint="default" w:ascii="Times New Roman" w:hAnsi="Times New Roman" w:eastAsia="等线" w:cs="Times New Roman"/>
                <w:kern w:val="2"/>
                <w:sz w:val="24"/>
                <w:szCs w:val="24"/>
                <w:lang w:val="en-US" w:eastAsia="zh" w:bidi="ar"/>
                <w:woUserID w:val="5"/>
              </w:rPr>
              <w:t>, 2022).</w:t>
            </w:r>
          </w:p>
        </w:tc>
      </w:tr>
      <w:tr w14:paraId="0A1E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48" w:hRule="atLeast"/>
          <w:jc w:val="center"/>
        </w:trPr>
        <w:tc>
          <w:tcPr>
            <w:tcW w:w="634" w:type="pct"/>
            <w:tcBorders>
              <w:top w:val="single" w:color="auto" w:sz="4" w:space="0"/>
              <w:left w:val="single" w:color="auto" w:sz="4" w:space="0"/>
              <w:bottom w:val="single" w:color="auto" w:sz="4" w:space="0"/>
              <w:right w:val="single" w:color="auto" w:sz="4" w:space="0"/>
            </w:tcBorders>
            <w:shd w:val="clear" w:color="auto" w:fill="auto"/>
            <w:vAlign w:val="center"/>
          </w:tcPr>
          <w:p w14:paraId="519C59F1">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t>3.Operating margin</w:t>
            </w:r>
          </w:p>
        </w:tc>
        <w:tc>
          <w:tcPr>
            <w:tcW w:w="891" w:type="pct"/>
            <w:tcBorders>
              <w:top w:val="single" w:color="auto" w:sz="4" w:space="0"/>
              <w:left w:val="single" w:color="auto" w:sz="4" w:space="0"/>
              <w:bottom w:val="single" w:color="auto" w:sz="4" w:space="0"/>
              <w:right w:val="single" w:color="auto" w:sz="4" w:space="0"/>
            </w:tcBorders>
            <w:shd w:val="clear" w:color="auto" w:fill="auto"/>
            <w:vAlign w:val="center"/>
          </w:tcPr>
          <w:p w14:paraId="0CD49EBB">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t xml:space="preserve"> Higher transition costs, Fixed cost pressure and Mass-market brand weakness may lead to lower operating margin</w:t>
            </w:r>
          </w:p>
        </w:tc>
        <w:tc>
          <w:tcPr>
            <w:tcW w:w="849" w:type="pct"/>
            <w:tcBorders>
              <w:top w:val="single" w:color="auto" w:sz="4" w:space="0"/>
              <w:left w:val="single" w:color="auto" w:sz="4" w:space="0"/>
              <w:bottom w:val="single" w:color="auto" w:sz="4" w:space="0"/>
              <w:right w:val="single" w:color="auto" w:sz="4" w:space="0"/>
            </w:tcBorders>
            <w:shd w:val="clear" w:color="auto" w:fill="auto"/>
            <w:vAlign w:val="center"/>
          </w:tcPr>
          <w:p w14:paraId="43E0CD6E">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t>AI propose several statements which do not connect much with conclusion</w:t>
            </w:r>
          </w:p>
        </w:tc>
        <w:tc>
          <w:tcPr>
            <w:tcW w:w="585" w:type="pct"/>
            <w:tcBorders>
              <w:top w:val="single" w:color="auto" w:sz="4" w:space="0"/>
              <w:left w:val="single" w:color="auto" w:sz="4" w:space="0"/>
              <w:bottom w:val="single" w:color="auto" w:sz="4" w:space="0"/>
              <w:right w:val="single" w:color="auto" w:sz="4" w:space="0"/>
            </w:tcBorders>
            <w:shd w:val="clear" w:color="auto" w:fill="auto"/>
            <w:vAlign w:val="center"/>
          </w:tcPr>
          <w:p w14:paraId="18FE37AC">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t>Volkswagen's annual report and IEA report</w:t>
            </w:r>
          </w:p>
        </w:tc>
        <w:tc>
          <w:tcPr>
            <w:tcW w:w="701" w:type="pct"/>
            <w:tcBorders>
              <w:top w:val="single" w:color="auto" w:sz="4" w:space="0"/>
              <w:left w:val="single" w:color="auto" w:sz="4" w:space="0"/>
              <w:bottom w:val="single" w:color="auto" w:sz="4" w:space="0"/>
              <w:right w:val="single" w:color="auto" w:sz="4" w:space="0"/>
            </w:tcBorders>
            <w:shd w:val="clear" w:color="auto" w:fill="auto"/>
            <w:vAlign w:val="center"/>
          </w:tcPr>
          <w:p w14:paraId="0F71261E">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 w:bidi="ar"/>
                <w:woUserID w:val="5"/>
              </w:rPr>
              <w:t xml:space="preserve">Keep core reason-higher transition costs, </w:t>
            </w:r>
            <w:r>
              <w:rPr>
                <w:rFonts w:hint="default" w:ascii="Times New Roman" w:hAnsi="Times New Roman" w:eastAsia="等线" w:cs="Times New Roman"/>
                <w:kern w:val="2"/>
                <w:sz w:val="24"/>
                <w:szCs w:val="24"/>
                <w:lang w:val="en-US" w:eastAsia="zh-CN" w:bidi="ar"/>
                <w:woUserID w:val="5"/>
              </w:rPr>
              <w:t>rising prices of critical minerals like lithium and cobalt</w:t>
            </w:r>
            <w:r>
              <w:rPr>
                <w:rFonts w:hint="default" w:ascii="Times New Roman" w:hAnsi="Times New Roman" w:eastAsia="等线" w:cs="Times New Roman"/>
                <w:kern w:val="2"/>
                <w:sz w:val="24"/>
                <w:szCs w:val="24"/>
                <w:lang w:val="en-US" w:eastAsia="zh" w:bidi="ar"/>
                <w:woUserID w:val="5"/>
              </w:rPr>
              <w:t xml:space="preserve"> and </w:t>
            </w:r>
            <w:r>
              <w:rPr>
                <w:rFonts w:hint="default" w:ascii="Times New Roman" w:hAnsi="Times New Roman" w:eastAsia="等线" w:cs="Times New Roman"/>
                <w:kern w:val="2"/>
                <w:sz w:val="24"/>
                <w:szCs w:val="24"/>
                <w:lang w:val="en-US" w:eastAsia="zh-CN" w:bidi="ar"/>
                <w:woUserID w:val="5"/>
              </w:rPr>
              <w:t>supply chain instability</w:t>
            </w:r>
          </w:p>
        </w:tc>
        <w:tc>
          <w:tcPr>
            <w:tcW w:w="1337" w:type="pct"/>
            <w:tcBorders>
              <w:top w:val="single" w:color="auto" w:sz="4" w:space="0"/>
              <w:left w:val="single" w:color="auto" w:sz="4" w:space="0"/>
              <w:bottom w:val="single" w:color="auto" w:sz="4" w:space="0"/>
              <w:right w:val="single" w:color="auto" w:sz="4" w:space="0"/>
            </w:tcBorders>
            <w:shd w:val="clear" w:color="auto" w:fill="auto"/>
            <w:vAlign w:val="center"/>
          </w:tcPr>
          <w:p w14:paraId="4F74B34F">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 w:bidi="ar"/>
                <w:woUserID w:val="5"/>
              </w:rPr>
              <w:t>H</w:t>
            </w:r>
            <w:r>
              <w:rPr>
                <w:rFonts w:hint="default" w:ascii="Times New Roman" w:hAnsi="Times New Roman" w:eastAsia="等线" w:cs="Times New Roman"/>
                <w:kern w:val="2"/>
                <w:sz w:val="24"/>
                <w:szCs w:val="24"/>
                <w:lang w:val="en-US" w:eastAsia="zh-CN" w:bidi="ar"/>
                <w:woUserID w:val="5"/>
              </w:rPr>
              <w:t>igh transition costs related to Volkswagen’s shift towards electric vehicle production</w:t>
            </w:r>
            <w:r>
              <w:rPr>
                <w:rFonts w:hint="default" w:ascii="Times New Roman" w:hAnsi="Times New Roman" w:eastAsia="等线" w:cs="Times New Roman"/>
                <w:kern w:val="2"/>
                <w:sz w:val="24"/>
                <w:szCs w:val="24"/>
                <w:lang w:val="en-US" w:eastAsia="zh" w:bidi="ar"/>
                <w:woUserID w:val="5"/>
              </w:rPr>
              <w:t xml:space="preserve"> could have impact on the decline</w:t>
            </w:r>
            <w:r>
              <w:rPr>
                <w:rFonts w:hint="default" w:ascii="Times New Roman" w:hAnsi="Times New Roman" w:eastAsia="等线" w:cs="Times New Roman"/>
                <w:kern w:val="2"/>
                <w:sz w:val="24"/>
                <w:szCs w:val="24"/>
                <w:lang w:val="en-US" w:eastAsia="zh-CN" w:bidi="ar"/>
                <w:woUserID w:val="5"/>
              </w:rPr>
              <w:t>.</w:t>
            </w:r>
            <w:r>
              <w:rPr>
                <w:rFonts w:hint="default" w:ascii="Times New Roman" w:hAnsi="Times New Roman" w:eastAsia="等线" w:cs="Times New Roman"/>
                <w:kern w:val="2"/>
                <w:sz w:val="24"/>
                <w:szCs w:val="24"/>
                <w:lang w:val="en-US" w:eastAsia="zh" w:bidi="ar"/>
                <w:woUserID w:val="5"/>
              </w:rPr>
              <w:t xml:space="preserve"> </w:t>
            </w:r>
            <w:r>
              <w:rPr>
                <w:rFonts w:hint="default" w:ascii="Times New Roman" w:hAnsi="Times New Roman" w:eastAsia="等线" w:cs="Times New Roman"/>
                <w:kern w:val="2"/>
                <w:sz w:val="24"/>
                <w:szCs w:val="24"/>
                <w:lang w:val="en-US" w:eastAsia="zh-CN" w:bidi="ar"/>
                <w:woUserID w:val="5"/>
              </w:rPr>
              <w:t xml:space="preserve"> IEA</w:t>
            </w:r>
            <w:r>
              <w:rPr>
                <w:rFonts w:hint="default" w:ascii="Times New Roman" w:hAnsi="Times New Roman" w:eastAsia="等线" w:cs="Times New Roman"/>
                <w:kern w:val="2"/>
                <w:sz w:val="24"/>
                <w:szCs w:val="24"/>
                <w:lang w:val="en-US" w:eastAsia="zh" w:bidi="ar"/>
                <w:woUserID w:val="5"/>
              </w:rPr>
              <w:t>'s report on global EV points out that</w:t>
            </w:r>
            <w:r>
              <w:rPr>
                <w:rFonts w:hint="default" w:ascii="Times New Roman" w:hAnsi="Times New Roman" w:eastAsia="等线" w:cs="Times New Roman"/>
                <w:kern w:val="2"/>
                <w:sz w:val="24"/>
                <w:szCs w:val="24"/>
                <w:lang w:val="en-US" w:eastAsia="zh-CN" w:bidi="ar"/>
                <w:woUserID w:val="5"/>
              </w:rPr>
              <w:t xml:space="preserve"> the rising prices of critical minerals like lithium and cobalt</w:t>
            </w:r>
            <w:r>
              <w:rPr>
                <w:rFonts w:hint="default" w:ascii="Times New Roman" w:hAnsi="Times New Roman" w:eastAsia="等线" w:cs="Times New Roman"/>
                <w:kern w:val="2"/>
                <w:sz w:val="24"/>
                <w:szCs w:val="24"/>
                <w:lang w:val="en-US" w:eastAsia="zh" w:bidi="ar"/>
                <w:woUserID w:val="5"/>
              </w:rPr>
              <w:t xml:space="preserve"> and </w:t>
            </w:r>
            <w:r>
              <w:rPr>
                <w:rFonts w:hint="default" w:ascii="Times New Roman" w:hAnsi="Times New Roman" w:eastAsia="等线" w:cs="Times New Roman"/>
                <w:kern w:val="2"/>
                <w:sz w:val="24"/>
                <w:szCs w:val="24"/>
                <w:lang w:val="en-US" w:eastAsia="zh-CN" w:bidi="ar"/>
                <w:woUserID w:val="5"/>
              </w:rPr>
              <w:t>supply chain instability are increasing EV production costs</w:t>
            </w:r>
            <w:r>
              <w:rPr>
                <w:rFonts w:hint="default" w:ascii="Times New Roman" w:hAnsi="Times New Roman" w:eastAsia="等线" w:cs="Times New Roman"/>
                <w:kern w:val="2"/>
                <w:sz w:val="24"/>
                <w:szCs w:val="24"/>
                <w:lang w:val="en-US" w:eastAsia="zh" w:bidi="ar"/>
                <w:woUserID w:val="5"/>
              </w:rPr>
              <w:t>.</w:t>
            </w:r>
            <w:r>
              <w:rPr>
                <w:rFonts w:hint="default" w:ascii="Times New Roman" w:hAnsi="Times New Roman" w:eastAsia="等线" w:cs="Times New Roman"/>
                <w:kern w:val="2"/>
                <w:sz w:val="24"/>
                <w:szCs w:val="24"/>
                <w:lang w:val="en-US" w:eastAsia="zh-CN" w:bidi="ar"/>
                <w:woUserID w:val="5"/>
              </w:rPr>
              <w:t xml:space="preserve"> </w:t>
            </w:r>
          </w:p>
        </w:tc>
      </w:tr>
    </w:tbl>
    <w:p w14:paraId="3675C35A">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2"/>
        </w:rPr>
      </w:pPr>
    </w:p>
    <w:p w14:paraId="2EADFD08">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2"/>
        </w:rPr>
      </w:pPr>
      <w:r>
        <w:rPr>
          <w:rFonts w:hint="default" w:ascii="Times New Roman" w:hAnsi="Times New Roman" w:eastAsia="Tahoma" w:cs="Times New Roman"/>
          <w:b/>
          <w:bCs/>
          <w:kern w:val="2"/>
          <w:sz w:val="24"/>
          <w:szCs w:val="24"/>
          <w:lang w:val="en-US" w:eastAsia="zh" w:bidi="ar"/>
          <w:woUserID w:val="2"/>
        </w:rPr>
        <w:t>Q2 AI Reflection</w:t>
      </w:r>
    </w:p>
    <w:p w14:paraId="48ABFB75">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2"/>
        </w:rPr>
      </w:pPr>
    </w:p>
    <w:p w14:paraId="792CCD6C">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Tahoma" w:cs="Times New Roman"/>
          <w:b w:val="0"/>
          <w:bCs w:val="0"/>
          <w:kern w:val="2"/>
          <w:sz w:val="24"/>
          <w:szCs w:val="24"/>
          <w:lang w:val="en-US" w:eastAsia="zh"/>
          <w:woUserID w:val="2"/>
        </w:rPr>
      </w:pPr>
      <w:r>
        <w:rPr>
          <w:rFonts w:hint="default" w:ascii="Times New Roman" w:hAnsi="Times New Roman" w:eastAsia="Tahoma" w:cs="Times New Roman"/>
          <w:b w:val="0"/>
          <w:bCs w:val="0"/>
          <w:kern w:val="2"/>
          <w:sz w:val="24"/>
          <w:szCs w:val="24"/>
          <w:lang w:val="en-US" w:eastAsia="zh"/>
          <w:woUserID w:val="2"/>
        </w:rPr>
        <w:t xml:space="preserve">We mainly use chatGPT for initial ideas collection, and material reading and summary. GenAI could provide a basic understanding of the topic and guide writing from the beginning. However, GenAI usually does not </w:t>
      </w:r>
      <w:r>
        <w:rPr>
          <w:rFonts w:hint="default" w:ascii="Times New Roman" w:hAnsi="Times New Roman" w:eastAsia="Tahoma" w:cs="Times New Roman"/>
          <w:b w:val="0"/>
          <w:bCs w:val="0"/>
          <w:kern w:val="2"/>
          <w:sz w:val="24"/>
          <w:szCs w:val="24"/>
          <w:lang w:val="en-US" w:eastAsia="zh"/>
          <w:woUserID w:val="5"/>
        </w:rPr>
        <w:t>provide sufficiently insightful content on its own</w:t>
      </w:r>
      <w:r>
        <w:rPr>
          <w:rFonts w:hint="default" w:ascii="Times New Roman" w:hAnsi="Times New Roman" w:eastAsia="Tahoma" w:cs="Times New Roman"/>
          <w:b w:val="0"/>
          <w:bCs w:val="0"/>
          <w:kern w:val="2"/>
          <w:sz w:val="24"/>
          <w:szCs w:val="24"/>
          <w:lang w:val="en-US" w:eastAsia="zh"/>
          <w:woUserID w:val="2"/>
        </w:rPr>
        <w:t xml:space="preserve">. We still need to search for more articles, reports, data to support specific statements like defining the cause for poor financial performance. From this perspective, GenAI could help us read and summary core content from those references. Although GenAI does not provide really helpful views, </w:t>
      </w:r>
      <w:r>
        <w:rPr>
          <w:rFonts w:hint="default" w:ascii="Times New Roman" w:hAnsi="Times New Roman" w:eastAsia="Tahoma" w:cs="Times New Roman"/>
          <w:b w:val="0"/>
          <w:bCs w:val="0"/>
          <w:kern w:val="2"/>
          <w:sz w:val="24"/>
          <w:szCs w:val="24"/>
          <w:lang w:val="en-US" w:eastAsia="zh"/>
          <w:woUserID w:val="5"/>
        </w:rPr>
        <w:t>it can assist with a more thorough understanding of the sources</w:t>
      </w:r>
      <w:r>
        <w:rPr>
          <w:rFonts w:hint="default" w:ascii="Times New Roman" w:hAnsi="Times New Roman" w:eastAsia="Tahoma" w:cs="Times New Roman"/>
          <w:b w:val="0"/>
          <w:bCs w:val="0"/>
          <w:kern w:val="2"/>
          <w:sz w:val="24"/>
          <w:szCs w:val="24"/>
          <w:lang w:val="en-US" w:eastAsia="zh"/>
          <w:woUserID w:val="2"/>
        </w:rPr>
        <w:t xml:space="preserve"> and eventually your own output. GenAI could also correct your ways of informal writing as long as setting the right prompt. Wisely using AI is more efficient while abusing it may be harmful to critical thinking.</w:t>
      </w:r>
    </w:p>
    <w:p w14:paraId="4EFD9553">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Tahoma" w:cs="Times New Roman"/>
          <w:b w:val="0"/>
          <w:bCs w:val="0"/>
          <w:kern w:val="2"/>
          <w:sz w:val="24"/>
          <w:szCs w:val="24"/>
          <w:lang w:val="en-US" w:eastAsia="zh"/>
          <w:woUserID w:val="2"/>
        </w:rPr>
      </w:pPr>
    </w:p>
    <w:p w14:paraId="58EA8377">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r>
        <w:rPr>
          <w:rFonts w:hint="default" w:ascii="Times New Roman" w:hAnsi="Times New Roman" w:eastAsia="Tahoma" w:cs="Times New Roman"/>
          <w:b/>
          <w:bCs/>
          <w:kern w:val="2"/>
          <w:sz w:val="24"/>
          <w:szCs w:val="24"/>
          <w:lang w:val="en-US" w:eastAsia="zh" w:bidi="ar"/>
          <w:woUserID w:val="5"/>
        </w:rPr>
        <w:t>Table Q3</w:t>
      </w:r>
      <w:r>
        <w:rPr>
          <w:rFonts w:hint="default" w:ascii="Times New Roman" w:hAnsi="Times New Roman" w:eastAsia="Tahoma" w:cs="Times New Roman"/>
          <w:b/>
          <w:bCs/>
          <w:kern w:val="2"/>
          <w:sz w:val="24"/>
          <w:szCs w:val="24"/>
          <w:lang w:val="en-US" w:eastAsia="zh" w:bidi="ar"/>
          <w:woUserID w:val="5"/>
        </w:rPr>
        <w:t>-1: AI tool-prompt-output</w:t>
      </w:r>
    </w:p>
    <w:p w14:paraId="0652CCA7">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p>
    <w:tbl>
      <w:tblPr>
        <w:tblStyle w:val="10"/>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23"/>
        <w:gridCol w:w="1123"/>
        <w:gridCol w:w="3749"/>
        <w:gridCol w:w="3077"/>
      </w:tblGrid>
      <w:tr w14:paraId="48D8B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09" w:type="pct"/>
            <w:tcBorders>
              <w:top w:val="single" w:color="auto" w:sz="4" w:space="0"/>
              <w:left w:val="single" w:color="auto" w:sz="4" w:space="0"/>
              <w:bottom w:val="single" w:color="auto" w:sz="4" w:space="0"/>
              <w:right w:val="single" w:color="auto" w:sz="4" w:space="0"/>
            </w:tcBorders>
            <w:shd w:val="clear" w:color="auto" w:fill="auto"/>
            <w:vAlign w:val="center"/>
          </w:tcPr>
          <w:p w14:paraId="499145D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5"/>
              </w:rPr>
            </w:pPr>
            <w:r>
              <w:rPr>
                <w:rFonts w:hint="default" w:ascii="Times New Roman" w:hAnsi="Times New Roman" w:eastAsia="Tahoma" w:cs="Times New Roman"/>
                <w:b/>
                <w:bCs/>
                <w:kern w:val="2"/>
                <w:sz w:val="24"/>
                <w:szCs w:val="24"/>
                <w:lang w:val="en-US" w:eastAsia="zh-CN" w:bidi="ar"/>
                <w:woUserID w:val="5"/>
              </w:rPr>
              <w:t>Example</w:t>
            </w:r>
          </w:p>
        </w:tc>
        <w:tc>
          <w:tcPr>
            <w:tcW w:w="611" w:type="pct"/>
            <w:tcBorders>
              <w:top w:val="single" w:color="auto" w:sz="4" w:space="0"/>
              <w:left w:val="nil"/>
              <w:bottom w:val="single" w:color="auto" w:sz="4" w:space="0"/>
              <w:right w:val="single" w:color="auto" w:sz="4" w:space="0"/>
            </w:tcBorders>
            <w:shd w:val="clear" w:color="auto" w:fill="auto"/>
            <w:vAlign w:val="center"/>
          </w:tcPr>
          <w:p w14:paraId="7F22D61C">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5"/>
              </w:rPr>
            </w:pPr>
            <w:r>
              <w:rPr>
                <w:rFonts w:hint="default" w:ascii="Times New Roman" w:hAnsi="Times New Roman" w:eastAsia="Tahoma" w:cs="Times New Roman"/>
                <w:b/>
                <w:bCs/>
                <w:kern w:val="2"/>
                <w:sz w:val="24"/>
                <w:szCs w:val="24"/>
                <w:lang w:val="en-US" w:eastAsia="zh-CN" w:bidi="ar"/>
                <w:woUserID w:val="5"/>
              </w:rPr>
              <w:t>AI Tool</w:t>
            </w:r>
          </w:p>
        </w:tc>
        <w:tc>
          <w:tcPr>
            <w:tcW w:w="2074" w:type="pct"/>
            <w:tcBorders>
              <w:top w:val="single" w:color="auto" w:sz="4" w:space="0"/>
              <w:left w:val="nil"/>
              <w:bottom w:val="single" w:color="auto" w:sz="4" w:space="0"/>
              <w:right w:val="single" w:color="auto" w:sz="4" w:space="0"/>
            </w:tcBorders>
            <w:shd w:val="clear" w:color="auto" w:fill="auto"/>
            <w:vAlign w:val="center"/>
          </w:tcPr>
          <w:p w14:paraId="16CC99B0">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5"/>
              </w:rPr>
            </w:pPr>
            <w:r>
              <w:rPr>
                <w:rFonts w:hint="default" w:ascii="Times New Roman" w:hAnsi="Times New Roman" w:eastAsia="Tahoma" w:cs="Times New Roman"/>
                <w:b/>
                <w:bCs/>
                <w:kern w:val="2"/>
                <w:sz w:val="24"/>
                <w:szCs w:val="24"/>
                <w:lang w:val="en-US" w:eastAsia="zh-CN" w:bidi="ar"/>
                <w:woUserID w:val="5"/>
              </w:rPr>
              <w:t>Prompt</w:t>
            </w:r>
          </w:p>
        </w:tc>
        <w:tc>
          <w:tcPr>
            <w:tcW w:w="1703" w:type="pct"/>
            <w:tcBorders>
              <w:top w:val="single" w:color="auto" w:sz="4" w:space="0"/>
              <w:left w:val="nil"/>
              <w:bottom w:val="single" w:color="auto" w:sz="4" w:space="0"/>
              <w:right w:val="single" w:color="auto" w:sz="4" w:space="0"/>
            </w:tcBorders>
            <w:shd w:val="clear" w:color="auto" w:fill="auto"/>
            <w:vAlign w:val="center"/>
          </w:tcPr>
          <w:p w14:paraId="38A6B414">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woUserID w:val="5"/>
              </w:rPr>
            </w:pPr>
            <w:r>
              <w:rPr>
                <w:rFonts w:hint="default" w:ascii="Times New Roman" w:hAnsi="Times New Roman" w:eastAsia="Tahoma" w:cs="Times New Roman"/>
                <w:b/>
                <w:bCs/>
                <w:kern w:val="2"/>
                <w:sz w:val="24"/>
                <w:szCs w:val="24"/>
                <w:lang w:val="en-US" w:eastAsia="zh-CN" w:bidi="ar"/>
                <w:woUserID w:val="5"/>
              </w:rPr>
              <w:t>Key AI output</w:t>
            </w:r>
          </w:p>
        </w:tc>
      </w:tr>
      <w:tr w14:paraId="1154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09" w:type="pct"/>
            <w:tcBorders>
              <w:top w:val="single" w:color="auto" w:sz="4" w:space="0"/>
              <w:left w:val="single" w:color="auto" w:sz="4" w:space="0"/>
              <w:bottom w:val="single" w:color="auto" w:sz="4" w:space="0"/>
              <w:right w:val="single" w:color="auto" w:sz="4" w:space="0"/>
            </w:tcBorders>
            <w:shd w:val="clear" w:color="auto" w:fill="auto"/>
            <w:vAlign w:val="center"/>
          </w:tcPr>
          <w:p w14:paraId="1FB1C1ED">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 1   </w:t>
            </w:r>
          </w:p>
        </w:tc>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5BC0ACFD">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ChatGPT</w:t>
            </w:r>
          </w:p>
        </w:tc>
        <w:tc>
          <w:tcPr>
            <w:tcW w:w="2074" w:type="pct"/>
            <w:tcBorders>
              <w:top w:val="single" w:color="auto" w:sz="4" w:space="0"/>
              <w:left w:val="single" w:color="auto" w:sz="4" w:space="0"/>
              <w:bottom w:val="single" w:color="auto" w:sz="4" w:space="0"/>
              <w:right w:val="single" w:color="auto" w:sz="4" w:space="0"/>
            </w:tcBorders>
            <w:shd w:val="clear" w:color="auto" w:fill="auto"/>
            <w:vAlign w:val="center"/>
          </w:tcPr>
          <w:p w14:paraId="1C09FF0E">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Suggest a structure for assessing ESG risk hotspots across the automotive value chain, including raw materials, battery supply, logistics, manufacturing, use phase and end-of-life recycling.                             </w:t>
            </w:r>
          </w:p>
        </w:tc>
        <w:tc>
          <w:tcPr>
            <w:tcW w:w="1703" w:type="pct"/>
            <w:tcBorders>
              <w:top w:val="single" w:color="auto" w:sz="4" w:space="0"/>
              <w:left w:val="single" w:color="auto" w:sz="4" w:space="0"/>
              <w:bottom w:val="single" w:color="auto" w:sz="4" w:space="0"/>
              <w:right w:val="single" w:color="auto" w:sz="4" w:space="0"/>
            </w:tcBorders>
            <w:shd w:val="clear" w:color="auto" w:fill="auto"/>
            <w:vAlign w:val="center"/>
          </w:tcPr>
          <w:p w14:paraId="5F3F492F">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 AI suggested general automotive ESG issues, including critical minerals, logistics, manufacturing energy use, use-phase emissions and recycling. </w:t>
            </w:r>
          </w:p>
        </w:tc>
      </w:tr>
      <w:tr w14:paraId="326B5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09" w:type="pct"/>
            <w:tcBorders>
              <w:top w:val="single" w:color="auto" w:sz="4" w:space="0"/>
              <w:left w:val="single" w:color="auto" w:sz="4" w:space="0"/>
              <w:bottom w:val="single" w:color="auto" w:sz="4" w:space="0"/>
              <w:right w:val="single" w:color="auto" w:sz="4" w:space="0"/>
            </w:tcBorders>
            <w:shd w:val="clear" w:color="auto" w:fill="auto"/>
            <w:vAlign w:val="center"/>
          </w:tcPr>
          <w:p w14:paraId="70DB0496">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 2   </w:t>
            </w:r>
          </w:p>
        </w:tc>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2AC441EE">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ChatGPT</w:t>
            </w:r>
          </w:p>
        </w:tc>
        <w:tc>
          <w:tcPr>
            <w:tcW w:w="2074" w:type="pct"/>
            <w:tcBorders>
              <w:top w:val="single" w:color="auto" w:sz="4" w:space="0"/>
              <w:left w:val="single" w:color="auto" w:sz="4" w:space="0"/>
              <w:bottom w:val="single" w:color="auto" w:sz="4" w:space="0"/>
              <w:right w:val="single" w:color="auto" w:sz="4" w:space="0"/>
            </w:tcBorders>
            <w:shd w:val="clear" w:color="auto" w:fill="auto"/>
            <w:vAlign w:val="center"/>
          </w:tcPr>
          <w:p w14:paraId="77690B23">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Check whether this Q3 draft clearly links automotive ESG risks with financial impacts, investor relevance and measurable KPIs.</w:t>
            </w:r>
          </w:p>
        </w:tc>
        <w:tc>
          <w:tcPr>
            <w:tcW w:w="1703" w:type="pct"/>
            <w:tcBorders>
              <w:top w:val="single" w:color="auto" w:sz="4" w:space="0"/>
              <w:left w:val="single" w:color="auto" w:sz="4" w:space="0"/>
              <w:bottom w:val="single" w:color="auto" w:sz="4" w:space="0"/>
              <w:right w:val="single" w:color="auto" w:sz="4" w:space="0"/>
            </w:tcBorders>
            <w:shd w:val="clear" w:color="auto" w:fill="auto"/>
            <w:vAlign w:val="center"/>
          </w:tcPr>
          <w:p w14:paraId="70627B44">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 AI suggested linking each value-chain issue more clearly with financial impacts, KPIs and investor relevance.                                    </w:t>
            </w:r>
          </w:p>
        </w:tc>
      </w:tr>
      <w:tr w14:paraId="70A2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09" w:type="pct"/>
            <w:tcBorders>
              <w:top w:val="single" w:color="auto" w:sz="4" w:space="0"/>
              <w:left w:val="single" w:color="auto" w:sz="4" w:space="0"/>
              <w:bottom w:val="single" w:color="auto" w:sz="4" w:space="0"/>
              <w:right w:val="single" w:color="auto" w:sz="4" w:space="0"/>
            </w:tcBorders>
            <w:shd w:val="clear" w:color="auto" w:fill="auto"/>
            <w:vAlign w:val="center"/>
          </w:tcPr>
          <w:p w14:paraId="1DCACA28">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 3   </w:t>
            </w:r>
          </w:p>
        </w:tc>
        <w:tc>
          <w:tcPr>
            <w:tcW w:w="611" w:type="pct"/>
            <w:tcBorders>
              <w:top w:val="single" w:color="auto" w:sz="4" w:space="0"/>
              <w:left w:val="single" w:color="auto" w:sz="4" w:space="0"/>
              <w:bottom w:val="single" w:color="auto" w:sz="4" w:space="0"/>
              <w:right w:val="single" w:color="auto" w:sz="4" w:space="0"/>
            </w:tcBorders>
            <w:shd w:val="clear" w:color="auto" w:fill="auto"/>
            <w:vAlign w:val="center"/>
          </w:tcPr>
          <w:p w14:paraId="4192959C">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ChatGPT</w:t>
            </w:r>
          </w:p>
        </w:tc>
        <w:tc>
          <w:tcPr>
            <w:tcW w:w="2074" w:type="pct"/>
            <w:tcBorders>
              <w:top w:val="single" w:color="auto" w:sz="4" w:space="0"/>
              <w:left w:val="single" w:color="auto" w:sz="4" w:space="0"/>
              <w:bottom w:val="single" w:color="auto" w:sz="4" w:space="0"/>
              <w:right w:val="single" w:color="auto" w:sz="4" w:space="0"/>
            </w:tcBorders>
            <w:shd w:val="clear" w:color="auto" w:fill="auto"/>
            <w:vAlign w:val="center"/>
          </w:tcPr>
          <w:p w14:paraId="4BE084CF">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Help polish the wording of the Q3 value-chain materiality assessment while keeping the original meaning and group members’ main ideas.                                     </w:t>
            </w:r>
          </w:p>
        </w:tc>
        <w:tc>
          <w:tcPr>
            <w:tcW w:w="1703" w:type="pct"/>
            <w:tcBorders>
              <w:top w:val="single" w:color="auto" w:sz="4" w:space="0"/>
              <w:left w:val="single" w:color="auto" w:sz="4" w:space="0"/>
              <w:bottom w:val="single" w:color="auto" w:sz="4" w:space="0"/>
              <w:right w:val="single" w:color="auto" w:sz="4" w:space="0"/>
            </w:tcBorders>
            <w:shd w:val="clear" w:color="auto" w:fill="auto"/>
            <w:vAlign w:val="center"/>
          </w:tcPr>
          <w:p w14:paraId="222D76CB">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 AI suggested minor wording changes to improve clarity, reduce repetition and keep a consistent academic tone.                                    </w:t>
            </w:r>
          </w:p>
        </w:tc>
      </w:tr>
    </w:tbl>
    <w:p w14:paraId="4C4D71E9">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p>
    <w:p w14:paraId="53D7E22C">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r>
        <w:rPr>
          <w:rFonts w:hint="default" w:ascii="Times New Roman" w:hAnsi="Times New Roman" w:eastAsia="Tahoma" w:cs="Times New Roman"/>
          <w:b/>
          <w:bCs/>
          <w:kern w:val="2"/>
          <w:sz w:val="24"/>
          <w:szCs w:val="24"/>
          <w:lang w:val="en-US" w:eastAsia="zh" w:bidi="ar"/>
          <w:woUserID w:val="5"/>
        </w:rPr>
        <w:t>Table Q3</w:t>
      </w:r>
      <w:r>
        <w:rPr>
          <w:rFonts w:hint="default" w:ascii="Times New Roman" w:hAnsi="Times New Roman" w:eastAsia="Tahoma" w:cs="Times New Roman"/>
          <w:b/>
          <w:bCs/>
          <w:kern w:val="2"/>
          <w:sz w:val="24"/>
          <w:szCs w:val="24"/>
          <w:lang w:val="en-US" w:eastAsia="zh" w:bidi="ar"/>
          <w:woUserID w:val="5"/>
        </w:rPr>
        <w:t>-2: Human revision-rationale-final usable version</w:t>
      </w:r>
    </w:p>
    <w:p w14:paraId="76BE8EB5">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p>
    <w:tbl>
      <w:tblPr>
        <w:tblStyle w:val="10"/>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52"/>
        <w:gridCol w:w="1383"/>
        <w:gridCol w:w="1253"/>
        <w:gridCol w:w="1298"/>
        <w:gridCol w:w="1939"/>
        <w:gridCol w:w="1847"/>
      </w:tblGrid>
      <w:tr w14:paraId="685F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45" w:type="pct"/>
            <w:tcBorders>
              <w:top w:val="single" w:color="auto" w:sz="4" w:space="0"/>
              <w:left w:val="single" w:color="auto" w:sz="4" w:space="0"/>
              <w:bottom w:val="single" w:color="auto" w:sz="4" w:space="0"/>
              <w:right w:val="single" w:color="auto" w:sz="4" w:space="0"/>
            </w:tcBorders>
            <w:shd w:val="clear" w:color="auto" w:fill="auto"/>
            <w:vAlign w:val="center"/>
          </w:tcPr>
          <w:p w14:paraId="738EF7D0">
            <w:pPr>
              <w:keepNext w:val="0"/>
              <w:keepLines w:val="0"/>
              <w:widowControl w:val="0"/>
              <w:suppressLineNumbers w:val="0"/>
              <w:spacing w:before="0" w:beforeAutospacing="0" w:after="0" w:afterAutospacing="0" w:line="276" w:lineRule="auto"/>
              <w:ind w:left="0" w:right="0"/>
              <w:jc w:val="center"/>
              <w:rPr>
                <w:rFonts w:hint="default" w:ascii="Times New Roman" w:hAnsi="Times New Roman" w:eastAsia="宋体" w:cs="Times New Roman"/>
                <w:b/>
                <w:bCs/>
                <w:kern w:val="2"/>
                <w:sz w:val="21"/>
                <w:szCs w:val="21"/>
                <w:woUserID w:val="1"/>
              </w:rPr>
            </w:pPr>
            <w:r>
              <w:rPr>
                <w:rFonts w:hint="default" w:ascii="Times New Roman" w:hAnsi="Times New Roman" w:eastAsia="Tahoma" w:cs="Times New Roman"/>
                <w:b/>
                <w:bCs/>
                <w:kern w:val="2"/>
                <w:sz w:val="24"/>
                <w:szCs w:val="24"/>
                <w:lang w:val="en-US" w:eastAsia="zh-CN" w:bidi="ar"/>
                <w:woUserID w:val="1"/>
              </w:rPr>
              <w:t>Item</w:t>
            </w:r>
          </w:p>
        </w:tc>
        <w:tc>
          <w:tcPr>
            <w:tcW w:w="762" w:type="pct"/>
            <w:tcBorders>
              <w:top w:val="single" w:color="auto" w:sz="4" w:space="0"/>
              <w:left w:val="single" w:color="auto" w:sz="4" w:space="0"/>
              <w:bottom w:val="single" w:color="auto" w:sz="4" w:space="0"/>
              <w:right w:val="single" w:color="auto" w:sz="4" w:space="0"/>
            </w:tcBorders>
            <w:shd w:val="clear" w:color="auto" w:fill="auto"/>
            <w:vAlign w:val="center"/>
          </w:tcPr>
          <w:p w14:paraId="09E1F8C1">
            <w:pPr>
              <w:keepNext w:val="0"/>
              <w:keepLines w:val="0"/>
              <w:widowControl w:val="0"/>
              <w:suppressLineNumbers w:val="0"/>
              <w:spacing w:before="0" w:beforeAutospacing="0" w:after="0" w:afterAutospacing="0" w:line="276" w:lineRule="auto"/>
              <w:ind w:left="0" w:right="0"/>
              <w:jc w:val="center"/>
              <w:rPr>
                <w:rFonts w:hint="default" w:ascii="Times New Roman" w:hAnsi="Times New Roman" w:eastAsia="宋体" w:cs="Times New Roman"/>
                <w:b/>
                <w:bCs/>
                <w:kern w:val="2"/>
                <w:sz w:val="21"/>
                <w:szCs w:val="21"/>
                <w:woUserID w:val="1"/>
              </w:rPr>
            </w:pPr>
            <w:r>
              <w:rPr>
                <w:rFonts w:hint="default" w:ascii="Times New Roman" w:hAnsi="Times New Roman" w:eastAsia="Tahoma" w:cs="Times New Roman"/>
                <w:b/>
                <w:bCs/>
                <w:kern w:val="2"/>
                <w:sz w:val="24"/>
                <w:szCs w:val="24"/>
                <w:lang w:val="en-US" w:eastAsia="zh-CN" w:bidi="ar"/>
                <w:woUserID w:val="1"/>
              </w:rPr>
              <w:t>AI original statement</w:t>
            </w:r>
          </w:p>
        </w:tc>
        <w:tc>
          <w:tcPr>
            <w:tcW w:w="690" w:type="pct"/>
            <w:tcBorders>
              <w:top w:val="single" w:color="auto" w:sz="4" w:space="0"/>
              <w:left w:val="single" w:color="auto" w:sz="4" w:space="0"/>
              <w:bottom w:val="single" w:color="auto" w:sz="4" w:space="0"/>
              <w:right w:val="single" w:color="auto" w:sz="4" w:space="0"/>
            </w:tcBorders>
            <w:shd w:val="clear" w:color="auto" w:fill="auto"/>
            <w:vAlign w:val="center"/>
          </w:tcPr>
          <w:p w14:paraId="2C645E49">
            <w:pPr>
              <w:keepNext w:val="0"/>
              <w:keepLines w:val="0"/>
              <w:widowControl w:val="0"/>
              <w:suppressLineNumbers w:val="0"/>
              <w:spacing w:before="0" w:beforeAutospacing="0" w:after="0" w:afterAutospacing="0" w:line="276" w:lineRule="auto"/>
              <w:ind w:left="0" w:right="0"/>
              <w:jc w:val="center"/>
              <w:rPr>
                <w:rFonts w:hint="default" w:ascii="Times New Roman" w:hAnsi="Times New Roman" w:eastAsia="宋体" w:cs="Times New Roman"/>
                <w:b/>
                <w:bCs/>
                <w:kern w:val="2"/>
                <w:sz w:val="21"/>
                <w:szCs w:val="21"/>
                <w:woUserID w:val="1"/>
              </w:rPr>
            </w:pPr>
            <w:r>
              <w:rPr>
                <w:rFonts w:hint="default" w:ascii="Times New Roman" w:hAnsi="Times New Roman" w:eastAsia="Tahoma" w:cs="Times New Roman"/>
                <w:b/>
                <w:bCs/>
                <w:kern w:val="2"/>
                <w:sz w:val="24"/>
                <w:szCs w:val="24"/>
                <w:lang w:val="en-US" w:eastAsia="zh-CN" w:bidi="ar"/>
                <w:woUserID w:val="1"/>
              </w:rPr>
              <w:t>Problem identified</w:t>
            </w:r>
          </w:p>
        </w:tc>
        <w:tc>
          <w:tcPr>
            <w:tcW w:w="715" w:type="pct"/>
            <w:tcBorders>
              <w:top w:val="single" w:color="auto" w:sz="4" w:space="0"/>
              <w:left w:val="single" w:color="auto" w:sz="4" w:space="0"/>
              <w:bottom w:val="single" w:color="auto" w:sz="4" w:space="0"/>
              <w:right w:val="single" w:color="auto" w:sz="4" w:space="0"/>
            </w:tcBorders>
            <w:shd w:val="clear" w:color="auto" w:fill="auto"/>
            <w:vAlign w:val="center"/>
          </w:tcPr>
          <w:p w14:paraId="66DE6280">
            <w:pPr>
              <w:keepNext w:val="0"/>
              <w:keepLines w:val="0"/>
              <w:widowControl w:val="0"/>
              <w:suppressLineNumbers w:val="0"/>
              <w:spacing w:before="0" w:beforeAutospacing="0" w:after="0" w:afterAutospacing="0" w:line="276" w:lineRule="auto"/>
              <w:ind w:left="0" w:right="0"/>
              <w:jc w:val="center"/>
              <w:rPr>
                <w:rFonts w:hint="default" w:ascii="Times New Roman" w:hAnsi="Times New Roman" w:eastAsia="宋体" w:cs="Times New Roman"/>
                <w:b/>
                <w:bCs/>
                <w:kern w:val="2"/>
                <w:sz w:val="21"/>
                <w:szCs w:val="21"/>
                <w:woUserID w:val="1"/>
              </w:rPr>
            </w:pPr>
            <w:r>
              <w:rPr>
                <w:rFonts w:hint="default" w:ascii="Times New Roman" w:hAnsi="Times New Roman" w:eastAsia="Tahoma" w:cs="Times New Roman"/>
                <w:b/>
                <w:bCs/>
                <w:kern w:val="2"/>
                <w:sz w:val="24"/>
                <w:szCs w:val="24"/>
                <w:lang w:val="en-US" w:eastAsia="zh-CN" w:bidi="ar"/>
                <w:woUserID w:val="1"/>
              </w:rPr>
              <w:t>Evidence source</w:t>
            </w:r>
          </w:p>
        </w:tc>
        <w:tc>
          <w:tcPr>
            <w:tcW w:w="1068" w:type="pct"/>
            <w:tcBorders>
              <w:top w:val="single" w:color="auto" w:sz="4" w:space="0"/>
              <w:left w:val="single" w:color="auto" w:sz="4" w:space="0"/>
              <w:bottom w:val="single" w:color="auto" w:sz="4" w:space="0"/>
              <w:right w:val="single" w:color="auto" w:sz="4" w:space="0"/>
            </w:tcBorders>
            <w:shd w:val="clear" w:color="auto" w:fill="auto"/>
            <w:vAlign w:val="center"/>
          </w:tcPr>
          <w:p w14:paraId="4378A150">
            <w:pPr>
              <w:keepNext w:val="0"/>
              <w:keepLines w:val="0"/>
              <w:widowControl w:val="0"/>
              <w:suppressLineNumbers w:val="0"/>
              <w:spacing w:before="0" w:beforeAutospacing="0" w:after="0" w:afterAutospacing="0" w:line="276" w:lineRule="auto"/>
              <w:ind w:left="0" w:right="0"/>
              <w:jc w:val="center"/>
              <w:rPr>
                <w:rFonts w:hint="default" w:ascii="Times New Roman" w:hAnsi="Times New Roman" w:eastAsia="宋体" w:cs="Times New Roman"/>
                <w:b/>
                <w:bCs/>
                <w:kern w:val="2"/>
                <w:sz w:val="21"/>
                <w:szCs w:val="21"/>
                <w:woUserID w:val="1"/>
              </w:rPr>
            </w:pPr>
            <w:r>
              <w:rPr>
                <w:rFonts w:hint="default" w:ascii="Times New Roman" w:hAnsi="Times New Roman" w:eastAsia="Tahoma" w:cs="Times New Roman"/>
                <w:b/>
                <w:bCs/>
                <w:kern w:val="2"/>
                <w:sz w:val="24"/>
                <w:szCs w:val="24"/>
                <w:lang w:val="en-US" w:eastAsia="zh-CN" w:bidi="ar"/>
                <w:woUserID w:val="1"/>
              </w:rPr>
              <w:t>How we revised</w:t>
            </w:r>
          </w:p>
        </w:tc>
        <w:tc>
          <w:tcPr>
            <w:tcW w:w="1017" w:type="pct"/>
            <w:tcBorders>
              <w:top w:val="single" w:color="auto" w:sz="4" w:space="0"/>
              <w:left w:val="single" w:color="auto" w:sz="4" w:space="0"/>
              <w:bottom w:val="single" w:color="auto" w:sz="4" w:space="0"/>
              <w:right w:val="single" w:color="auto" w:sz="4" w:space="0"/>
            </w:tcBorders>
            <w:shd w:val="clear" w:color="auto" w:fill="auto"/>
            <w:vAlign w:val="center"/>
          </w:tcPr>
          <w:p w14:paraId="663D9112">
            <w:pPr>
              <w:keepNext w:val="0"/>
              <w:keepLines w:val="0"/>
              <w:widowControl w:val="0"/>
              <w:suppressLineNumbers w:val="0"/>
              <w:spacing w:before="0" w:beforeAutospacing="0" w:after="0" w:afterAutospacing="0" w:line="276" w:lineRule="auto"/>
              <w:ind w:left="0" w:right="0"/>
              <w:jc w:val="center"/>
              <w:rPr>
                <w:rFonts w:hint="default" w:ascii="Times New Roman" w:hAnsi="Times New Roman" w:eastAsia="宋体" w:cs="Times New Roman"/>
                <w:b/>
                <w:bCs/>
                <w:kern w:val="2"/>
                <w:sz w:val="21"/>
                <w:szCs w:val="21"/>
                <w:woUserID w:val="1"/>
              </w:rPr>
            </w:pPr>
            <w:r>
              <w:rPr>
                <w:rFonts w:hint="default" w:ascii="Times New Roman" w:hAnsi="Times New Roman" w:eastAsia="Tahoma" w:cs="Times New Roman"/>
                <w:b/>
                <w:bCs/>
                <w:kern w:val="2"/>
                <w:sz w:val="24"/>
                <w:szCs w:val="24"/>
                <w:lang w:val="en-US" w:eastAsia="zh-CN" w:bidi="ar"/>
                <w:woUserID w:val="1"/>
              </w:rPr>
              <w:t xml:space="preserve">Final sentence usable in main text </w:t>
            </w:r>
          </w:p>
        </w:tc>
      </w:tr>
      <w:tr w14:paraId="17A5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45" w:type="pct"/>
            <w:tcBorders>
              <w:top w:val="single" w:color="auto" w:sz="4" w:space="0"/>
              <w:left w:val="single" w:color="auto" w:sz="4" w:space="0"/>
              <w:bottom w:val="single" w:color="auto" w:sz="4" w:space="0"/>
              <w:right w:val="single" w:color="auto" w:sz="4" w:space="0"/>
            </w:tcBorders>
            <w:shd w:val="clear" w:color="auto" w:fill="auto"/>
            <w:vAlign w:val="center"/>
          </w:tcPr>
          <w:p w14:paraId="642C4314">
            <w:pPr>
              <w:keepNext w:val="0"/>
              <w:keepLines w:val="0"/>
              <w:widowControl w:val="0"/>
              <w:suppressLineNumbers w:val="0"/>
              <w:spacing w:before="0" w:beforeAutospacing="0" w:after="0" w:afterAutospacing="0" w:line="276"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Tahoma" w:cs="Times New Roman"/>
                <w:b w:val="0"/>
                <w:bCs w:val="0"/>
                <w:kern w:val="2"/>
                <w:sz w:val="24"/>
                <w:szCs w:val="24"/>
                <w:lang w:val="en-US" w:eastAsia="zh-CN" w:bidi="ar"/>
                <w:woUserID w:val="1"/>
              </w:rPr>
              <w:t xml:space="preserve">Value-chain topics    </w:t>
            </w:r>
          </w:p>
        </w:tc>
        <w:tc>
          <w:tcPr>
            <w:tcW w:w="762" w:type="pct"/>
            <w:tcBorders>
              <w:top w:val="single" w:color="auto" w:sz="4" w:space="0"/>
              <w:left w:val="single" w:color="auto" w:sz="4" w:space="0"/>
              <w:bottom w:val="single" w:color="auto" w:sz="4" w:space="0"/>
              <w:right w:val="single" w:color="auto" w:sz="4" w:space="0"/>
            </w:tcBorders>
            <w:shd w:val="clear" w:color="auto" w:fill="auto"/>
            <w:vAlign w:val="center"/>
          </w:tcPr>
          <w:p w14:paraId="0EA6CB59">
            <w:pPr>
              <w:keepNext w:val="0"/>
              <w:keepLines w:val="0"/>
              <w:widowControl w:val="0"/>
              <w:suppressLineNumbers w:val="0"/>
              <w:spacing w:before="0" w:beforeAutospacing="0" w:after="0" w:afterAutospacing="0" w:line="276"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Tahoma" w:cs="Times New Roman"/>
                <w:b w:val="0"/>
                <w:bCs w:val="0"/>
                <w:kern w:val="2"/>
                <w:sz w:val="24"/>
                <w:szCs w:val="24"/>
                <w:lang w:val="en-US" w:eastAsia="zh-CN" w:bidi="ar"/>
                <w:woUserID w:val="1"/>
              </w:rPr>
              <w:t xml:space="preserve">AI listed several general ESG issues in the automotive industry. </w:t>
            </w:r>
          </w:p>
        </w:tc>
        <w:tc>
          <w:tcPr>
            <w:tcW w:w="690" w:type="pct"/>
            <w:tcBorders>
              <w:top w:val="single" w:color="auto" w:sz="4" w:space="0"/>
              <w:left w:val="single" w:color="auto" w:sz="4" w:space="0"/>
              <w:bottom w:val="single" w:color="auto" w:sz="4" w:space="0"/>
              <w:right w:val="single" w:color="auto" w:sz="4" w:space="0"/>
            </w:tcBorders>
            <w:shd w:val="clear" w:color="auto" w:fill="auto"/>
            <w:vAlign w:val="center"/>
          </w:tcPr>
          <w:p w14:paraId="1E2BB403">
            <w:pPr>
              <w:keepNext w:val="0"/>
              <w:keepLines w:val="0"/>
              <w:widowControl w:val="0"/>
              <w:suppressLineNumbers w:val="0"/>
              <w:spacing w:before="0" w:beforeAutospacing="0" w:after="0" w:afterAutospacing="0" w:line="276"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Tahoma" w:cs="Times New Roman"/>
                <w:b w:val="0"/>
                <w:bCs w:val="0"/>
                <w:kern w:val="2"/>
                <w:sz w:val="24"/>
                <w:szCs w:val="24"/>
                <w:lang w:val="en-US" w:eastAsia="zh-CN" w:bidi="ar"/>
                <w:woUserID w:val="1"/>
              </w:rPr>
              <w:t xml:space="preserve">Some points were too broad and not directly linked to the required value-chain stages. </w:t>
            </w:r>
          </w:p>
        </w:tc>
        <w:tc>
          <w:tcPr>
            <w:tcW w:w="715" w:type="pct"/>
            <w:tcBorders>
              <w:top w:val="single" w:color="auto" w:sz="4" w:space="0"/>
              <w:left w:val="single" w:color="auto" w:sz="4" w:space="0"/>
              <w:bottom w:val="single" w:color="auto" w:sz="4" w:space="0"/>
              <w:right w:val="single" w:color="auto" w:sz="4" w:space="0"/>
            </w:tcBorders>
            <w:shd w:val="clear" w:color="auto" w:fill="auto"/>
            <w:vAlign w:val="center"/>
          </w:tcPr>
          <w:p w14:paraId="009262EC">
            <w:pPr>
              <w:keepNext w:val="0"/>
              <w:keepLines w:val="0"/>
              <w:widowControl w:val="0"/>
              <w:suppressLineNumbers w:val="0"/>
              <w:spacing w:before="0" w:beforeAutospacing="0" w:after="0" w:afterAutospacing="0" w:line="276"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Tahoma" w:cs="Times New Roman"/>
                <w:b w:val="0"/>
                <w:bCs w:val="0"/>
                <w:kern w:val="2"/>
                <w:sz w:val="24"/>
                <w:szCs w:val="24"/>
                <w:lang w:val="en-US" w:eastAsia="zh-CN" w:bidi="ar"/>
                <w:woUserID w:val="1"/>
              </w:rPr>
              <w:t xml:space="preserve">ACC302 guideline; company reports of Volkswagen, BMW and Toyota.  </w:t>
            </w:r>
          </w:p>
        </w:tc>
        <w:tc>
          <w:tcPr>
            <w:tcW w:w="1068" w:type="pct"/>
            <w:tcBorders>
              <w:top w:val="single" w:color="auto" w:sz="4" w:space="0"/>
              <w:left w:val="single" w:color="auto" w:sz="4" w:space="0"/>
              <w:bottom w:val="single" w:color="auto" w:sz="4" w:space="0"/>
              <w:right w:val="single" w:color="auto" w:sz="4" w:space="0"/>
            </w:tcBorders>
            <w:shd w:val="clear" w:color="auto" w:fill="auto"/>
            <w:vAlign w:val="center"/>
          </w:tcPr>
          <w:p w14:paraId="0EC97E4C">
            <w:pPr>
              <w:keepNext w:val="0"/>
              <w:keepLines w:val="0"/>
              <w:widowControl w:val="0"/>
              <w:suppressLineNumbers w:val="0"/>
              <w:spacing w:before="0" w:beforeAutospacing="0" w:after="0" w:afterAutospacing="0" w:line="276"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Tahoma" w:cs="Times New Roman"/>
                <w:b w:val="0"/>
                <w:bCs w:val="0"/>
                <w:kern w:val="2"/>
                <w:sz w:val="24"/>
                <w:szCs w:val="24"/>
                <w:lang w:val="en-US" w:eastAsia="zh-CN" w:bidi="ar"/>
                <w:woUserID w:val="1"/>
              </w:rPr>
              <w:t xml:space="preserve">We selected only the topics most relevant to Q3: critical minerals, steel/aluminium, logistics, manufacturing energy use, use-phase emissions and recycling. </w:t>
            </w:r>
          </w:p>
        </w:tc>
        <w:tc>
          <w:tcPr>
            <w:tcW w:w="1017" w:type="pct"/>
            <w:tcBorders>
              <w:top w:val="single" w:color="auto" w:sz="4" w:space="0"/>
              <w:left w:val="single" w:color="auto" w:sz="4" w:space="0"/>
              <w:bottom w:val="single" w:color="auto" w:sz="4" w:space="0"/>
              <w:right w:val="single" w:color="auto" w:sz="4" w:space="0"/>
            </w:tcBorders>
            <w:shd w:val="clear" w:color="auto" w:fill="auto"/>
            <w:vAlign w:val="center"/>
          </w:tcPr>
          <w:p w14:paraId="002736E0">
            <w:pPr>
              <w:keepNext w:val="0"/>
              <w:keepLines w:val="0"/>
              <w:widowControl w:val="0"/>
              <w:suppressLineNumbers w:val="0"/>
              <w:spacing w:before="0" w:beforeAutospacing="0" w:after="0" w:afterAutospacing="0" w:line="276" w:lineRule="auto"/>
              <w:ind w:left="0" w:right="0"/>
              <w:jc w:val="center"/>
              <w:rPr>
                <w:rFonts w:hint="default" w:ascii="Times New Roman" w:hAnsi="Times New Roman" w:eastAsia="宋体" w:cs="Times New Roman"/>
                <w:kern w:val="2"/>
                <w:sz w:val="21"/>
                <w:szCs w:val="21"/>
                <w:woUserID w:val="1"/>
              </w:rPr>
            </w:pPr>
            <w:r>
              <w:rPr>
                <w:rFonts w:hint="default" w:ascii="Times New Roman" w:hAnsi="Times New Roman" w:eastAsia="Tahoma" w:cs="Times New Roman"/>
                <w:b w:val="0"/>
                <w:bCs w:val="0"/>
                <w:kern w:val="2"/>
                <w:sz w:val="24"/>
                <w:szCs w:val="24"/>
                <w:lang w:val="en-US" w:eastAsia="zh-CN" w:bidi="ar"/>
                <w:woUserID w:val="1"/>
              </w:rPr>
              <w:t xml:space="preserve">This section maps the main ESG risk hotspots across the automotive value chain for Volkswagen, BMW and Toyota.                                                    </w:t>
            </w:r>
          </w:p>
        </w:tc>
      </w:tr>
      <w:tr w14:paraId="2396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45" w:type="pct"/>
            <w:tcBorders>
              <w:top w:val="single" w:color="auto" w:sz="4" w:space="0"/>
              <w:left w:val="single" w:color="auto" w:sz="4" w:space="0"/>
              <w:bottom w:val="single" w:color="auto" w:sz="4" w:space="0"/>
              <w:right w:val="single" w:color="auto" w:sz="4" w:space="0"/>
            </w:tcBorders>
            <w:shd w:val="clear" w:color="auto" w:fill="auto"/>
            <w:vAlign w:val="center"/>
          </w:tcPr>
          <w:p w14:paraId="3A03AF6E">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Financial materiality </w:t>
            </w:r>
          </w:p>
        </w:tc>
        <w:tc>
          <w:tcPr>
            <w:tcW w:w="762" w:type="pct"/>
            <w:tcBorders>
              <w:top w:val="single" w:color="auto" w:sz="4" w:space="0"/>
              <w:left w:val="single" w:color="auto" w:sz="4" w:space="0"/>
              <w:bottom w:val="single" w:color="auto" w:sz="4" w:space="0"/>
              <w:right w:val="single" w:color="auto" w:sz="4" w:space="0"/>
            </w:tcBorders>
            <w:shd w:val="clear" w:color="auto" w:fill="auto"/>
            <w:vAlign w:val="center"/>
          </w:tcPr>
          <w:p w14:paraId="27EA2127">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AI stated that ESG risks may affect business performance.        </w:t>
            </w:r>
          </w:p>
        </w:tc>
        <w:tc>
          <w:tcPr>
            <w:tcW w:w="690" w:type="pct"/>
            <w:tcBorders>
              <w:top w:val="single" w:color="auto" w:sz="4" w:space="0"/>
              <w:left w:val="single" w:color="auto" w:sz="4" w:space="0"/>
              <w:bottom w:val="single" w:color="auto" w:sz="4" w:space="0"/>
              <w:right w:val="single" w:color="auto" w:sz="4" w:space="0"/>
            </w:tcBorders>
            <w:shd w:val="clear" w:color="auto" w:fill="auto"/>
            <w:vAlign w:val="center"/>
          </w:tcPr>
          <w:p w14:paraId="1BC864CF">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The statement was too general and needed clearer financial impact pathways.            </w:t>
            </w:r>
          </w:p>
        </w:tc>
        <w:tc>
          <w:tcPr>
            <w:tcW w:w="715" w:type="pct"/>
            <w:tcBorders>
              <w:top w:val="single" w:color="auto" w:sz="4" w:space="0"/>
              <w:left w:val="single" w:color="auto" w:sz="4" w:space="0"/>
              <w:bottom w:val="single" w:color="auto" w:sz="4" w:space="0"/>
              <w:right w:val="single" w:color="auto" w:sz="4" w:space="0"/>
            </w:tcBorders>
            <w:shd w:val="clear" w:color="auto" w:fill="auto"/>
            <w:vAlign w:val="center"/>
          </w:tcPr>
          <w:p w14:paraId="38462083">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Volkswagen Group, BMW Group and Toyota Motor Corporation reports. </w:t>
            </w:r>
          </w:p>
        </w:tc>
        <w:tc>
          <w:tcPr>
            <w:tcW w:w="1068" w:type="pct"/>
            <w:tcBorders>
              <w:top w:val="single" w:color="auto" w:sz="4" w:space="0"/>
              <w:left w:val="single" w:color="auto" w:sz="4" w:space="0"/>
              <w:bottom w:val="single" w:color="auto" w:sz="4" w:space="0"/>
              <w:right w:val="single" w:color="auto" w:sz="4" w:space="0"/>
            </w:tcBorders>
            <w:shd w:val="clear" w:color="auto" w:fill="auto"/>
            <w:vAlign w:val="center"/>
          </w:tcPr>
          <w:p w14:paraId="4313FD47">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We revised the wording to link ESG issues with procurement costs, operating costs, Capex, EBIT, free cash flow and long-term value.                          </w:t>
            </w:r>
          </w:p>
        </w:tc>
        <w:tc>
          <w:tcPr>
            <w:tcW w:w="1017" w:type="pct"/>
            <w:tcBorders>
              <w:top w:val="single" w:color="auto" w:sz="4" w:space="0"/>
              <w:left w:val="single" w:color="auto" w:sz="4" w:space="0"/>
              <w:bottom w:val="single" w:color="auto" w:sz="4" w:space="0"/>
              <w:right w:val="single" w:color="auto" w:sz="4" w:space="0"/>
            </w:tcBorders>
            <w:shd w:val="clear" w:color="auto" w:fill="auto"/>
            <w:vAlign w:val="center"/>
          </w:tcPr>
          <w:p w14:paraId="671AE6D0">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Overall, these ESG topics are financially material because they affect procurement costs, operating costs, Capex, provisions, free cash flow and long-term value. </w:t>
            </w:r>
          </w:p>
        </w:tc>
      </w:tr>
      <w:tr w14:paraId="286A8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745" w:type="pct"/>
            <w:tcBorders>
              <w:top w:val="single" w:color="auto" w:sz="4" w:space="0"/>
              <w:left w:val="single" w:color="auto" w:sz="4" w:space="0"/>
              <w:bottom w:val="single" w:color="auto" w:sz="4" w:space="0"/>
              <w:right w:val="single" w:color="auto" w:sz="4" w:space="0"/>
            </w:tcBorders>
            <w:shd w:val="clear" w:color="auto" w:fill="auto"/>
            <w:vAlign w:val="center"/>
          </w:tcPr>
          <w:p w14:paraId="0B839151">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KPIs and figure       </w:t>
            </w:r>
          </w:p>
        </w:tc>
        <w:tc>
          <w:tcPr>
            <w:tcW w:w="762" w:type="pct"/>
            <w:tcBorders>
              <w:top w:val="single" w:color="auto" w:sz="4" w:space="0"/>
              <w:left w:val="single" w:color="auto" w:sz="4" w:space="0"/>
              <w:bottom w:val="single" w:color="auto" w:sz="4" w:space="0"/>
              <w:right w:val="single" w:color="auto" w:sz="4" w:space="0"/>
            </w:tcBorders>
            <w:shd w:val="clear" w:color="auto" w:fill="auto"/>
            <w:vAlign w:val="center"/>
          </w:tcPr>
          <w:p w14:paraId="55057410">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AI suggested using KPIs to support the value-chain analysis.     </w:t>
            </w:r>
          </w:p>
        </w:tc>
        <w:tc>
          <w:tcPr>
            <w:tcW w:w="690" w:type="pct"/>
            <w:tcBorders>
              <w:top w:val="single" w:color="auto" w:sz="4" w:space="0"/>
              <w:left w:val="single" w:color="auto" w:sz="4" w:space="0"/>
              <w:bottom w:val="single" w:color="auto" w:sz="4" w:space="0"/>
              <w:right w:val="single" w:color="auto" w:sz="4" w:space="0"/>
            </w:tcBorders>
            <w:shd w:val="clear" w:color="auto" w:fill="auto"/>
            <w:vAlign w:val="center"/>
          </w:tcPr>
          <w:p w14:paraId="2B310EAC">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The initial suggestion lacked a clear visual structure.                                </w:t>
            </w:r>
          </w:p>
        </w:tc>
        <w:tc>
          <w:tcPr>
            <w:tcW w:w="715" w:type="pct"/>
            <w:tcBorders>
              <w:top w:val="single" w:color="auto" w:sz="4" w:space="0"/>
              <w:left w:val="single" w:color="auto" w:sz="4" w:space="0"/>
              <w:bottom w:val="single" w:color="auto" w:sz="4" w:space="0"/>
              <w:right w:val="single" w:color="auto" w:sz="4" w:space="0"/>
            </w:tcBorders>
            <w:shd w:val="clear" w:color="auto" w:fill="auto"/>
            <w:vAlign w:val="center"/>
          </w:tcPr>
          <w:p w14:paraId="7CCF9D42">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Figure </w:t>
            </w:r>
            <w:r>
              <w:rPr>
                <w:rFonts w:hint="default" w:ascii="Times New Roman" w:hAnsi="Times New Roman" w:eastAsia="等线" w:cs="Times New Roman"/>
                <w:kern w:val="2"/>
                <w:sz w:val="24"/>
                <w:szCs w:val="24"/>
                <w:lang w:val="en-US" w:eastAsia="zh" w:bidi="ar"/>
                <w:woUserID w:val="5"/>
              </w:rPr>
              <w:t>7</w:t>
            </w:r>
            <w:r>
              <w:rPr>
                <w:rFonts w:hint="default" w:ascii="Times New Roman" w:hAnsi="Times New Roman" w:eastAsia="等线" w:cs="Times New Roman"/>
                <w:kern w:val="2"/>
                <w:sz w:val="24"/>
                <w:szCs w:val="24"/>
                <w:lang w:val="en-US" w:eastAsia="zh-CN" w:bidi="ar"/>
                <w:woUserID w:val="5"/>
              </w:rPr>
              <w:t xml:space="preserve">; company sustainability and annual reports.              </w:t>
            </w:r>
          </w:p>
        </w:tc>
        <w:tc>
          <w:tcPr>
            <w:tcW w:w="1068" w:type="pct"/>
            <w:tcBorders>
              <w:top w:val="single" w:color="auto" w:sz="4" w:space="0"/>
              <w:left w:val="single" w:color="auto" w:sz="4" w:space="0"/>
              <w:bottom w:val="single" w:color="auto" w:sz="4" w:space="0"/>
              <w:right w:val="single" w:color="auto" w:sz="4" w:space="0"/>
            </w:tcBorders>
            <w:shd w:val="clear" w:color="auto" w:fill="auto"/>
            <w:vAlign w:val="center"/>
          </w:tcPr>
          <w:p w14:paraId="309B2ED0">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We organised the selected risks into a value-chain figure showing ESG risks, financial impacts and KPIs.                                                     </w:t>
            </w:r>
          </w:p>
        </w:tc>
        <w:tc>
          <w:tcPr>
            <w:tcW w:w="1017" w:type="pct"/>
            <w:tcBorders>
              <w:top w:val="single" w:color="auto" w:sz="4" w:space="0"/>
              <w:left w:val="single" w:color="auto" w:sz="4" w:space="0"/>
              <w:bottom w:val="single" w:color="auto" w:sz="4" w:space="0"/>
              <w:right w:val="single" w:color="auto" w:sz="4" w:space="0"/>
            </w:tcBorders>
            <w:shd w:val="clear" w:color="auto" w:fill="auto"/>
            <w:vAlign w:val="center"/>
          </w:tcPr>
          <w:p w14:paraId="1DAA16A6">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 xml:space="preserve">Investors should assess these risks through the KPIs shown in Figure </w:t>
            </w:r>
            <w:r>
              <w:rPr>
                <w:rFonts w:hint="default" w:ascii="Times New Roman" w:hAnsi="Times New Roman" w:eastAsia="等线" w:cs="Times New Roman"/>
                <w:kern w:val="2"/>
                <w:sz w:val="24"/>
                <w:szCs w:val="24"/>
                <w:lang w:val="en-US" w:eastAsia="zh" w:bidi="ar"/>
                <w:woUserID w:val="5"/>
              </w:rPr>
              <w:t>7</w:t>
            </w:r>
            <w:r>
              <w:rPr>
                <w:rFonts w:hint="default" w:ascii="Times New Roman" w:hAnsi="Times New Roman" w:eastAsia="等线" w:cs="Times New Roman"/>
                <w:kern w:val="2"/>
                <w:sz w:val="24"/>
                <w:szCs w:val="24"/>
                <w:lang w:val="en-US" w:eastAsia="zh-CN" w:bidi="ar"/>
                <w:woUserID w:val="5"/>
              </w:rPr>
              <w:t xml:space="preserve">.                                                                                           </w:t>
            </w:r>
          </w:p>
        </w:tc>
      </w:tr>
    </w:tbl>
    <w:p w14:paraId="1D824B65">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p>
    <w:p w14:paraId="66EC24FA">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r>
        <w:rPr>
          <w:rFonts w:hint="default" w:ascii="Times New Roman" w:hAnsi="Times New Roman" w:eastAsia="Tahoma" w:cs="Times New Roman"/>
          <w:b/>
          <w:bCs/>
          <w:kern w:val="2"/>
          <w:sz w:val="24"/>
          <w:szCs w:val="24"/>
          <w:lang w:val="en-US" w:eastAsia="zh" w:bidi="ar"/>
          <w:woUserID w:val="5"/>
        </w:rPr>
        <w:t>Q3</w:t>
      </w:r>
      <w:r>
        <w:rPr>
          <w:rFonts w:hint="default" w:ascii="Times New Roman" w:hAnsi="Times New Roman" w:eastAsia="Tahoma" w:cs="Times New Roman"/>
          <w:b/>
          <w:bCs/>
          <w:kern w:val="2"/>
          <w:sz w:val="24"/>
          <w:szCs w:val="24"/>
          <w:lang w:val="en-US" w:eastAsia="zh" w:bidi="ar"/>
          <w:woUserID w:val="5"/>
        </w:rPr>
        <w:t xml:space="preserve"> AI reflection</w:t>
      </w:r>
    </w:p>
    <w:p w14:paraId="25C1C31C">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p>
    <w:p w14:paraId="5BF53A78">
      <w:pPr>
        <w:keepNext w:val="0"/>
        <w:keepLines w:val="0"/>
        <w:widowControl/>
        <w:suppressLineNumbers w:val="0"/>
        <w:bidi w:val="0"/>
        <w:ind w:left="0" w:right="0" w:firstLine="0"/>
        <w:jc w:val="left"/>
        <w:rPr>
          <w:rFonts w:hint="default" w:ascii="Times New Roman" w:hAnsi="Times New Roman" w:eastAsia="Tahoma" w:cs="Times New Roman"/>
          <w:kern w:val="2"/>
          <w:sz w:val="24"/>
          <w:szCs w:val="32"/>
          <w:woUserID w:val="1"/>
        </w:rPr>
      </w:pPr>
      <w:r>
        <w:rPr>
          <w:rFonts w:hint="default" w:ascii="Times New Roman" w:hAnsi="Times New Roman" w:eastAsia="Tahoma" w:cs="Times New Roman"/>
          <w:kern w:val="2"/>
          <w:sz w:val="24"/>
          <w:szCs w:val="32"/>
          <w:lang w:val="en-US" w:eastAsia="zh-CN" w:bidi="ar"/>
          <w:woUserID w:val="1"/>
        </w:rPr>
        <w:t>For Q3, GenAI was used mainly as a supporting tool for brainstorming, structure checking and language polishing. It helped us identify common ESG risk areas across the automotive value chain and suggested that each topic should be linked to financial impact and KPIs. However, we did not directly copy the AI output. The initial suggestions were broad, so we revised them based on the ACC302 requirement and evidence from Volkswagen, BMW and Toyota reports.</w:t>
      </w:r>
    </w:p>
    <w:p w14:paraId="4FB12E6C">
      <w:pPr>
        <w:keepNext w:val="0"/>
        <w:keepLines w:val="0"/>
        <w:widowControl/>
        <w:suppressLineNumbers w:val="0"/>
        <w:bidi w:val="0"/>
        <w:ind w:left="0" w:right="0" w:firstLine="0"/>
        <w:jc w:val="left"/>
        <w:rPr>
          <w:rFonts w:hint="default" w:ascii="Times New Roman" w:hAnsi="Times New Roman" w:eastAsia="Tahoma" w:cs="Times New Roman"/>
          <w:kern w:val="2"/>
          <w:lang w:val="en-US" w:eastAsia="zh" w:bidi="ar"/>
          <w:woUserID w:val="1"/>
        </w:rPr>
      </w:pPr>
      <w:r>
        <w:rPr>
          <w:rFonts w:hint="default" w:ascii="Times New Roman" w:hAnsi="Times New Roman" w:eastAsia="Tahoma" w:cs="Times New Roman"/>
          <w:kern w:val="2"/>
          <w:sz w:val="24"/>
          <w:szCs w:val="32"/>
          <w:lang w:val="en-US" w:eastAsia="zh-CN" w:bidi="ar"/>
          <w:woUserID w:val="1"/>
        </w:rPr>
        <w:t xml:space="preserve">We kept only the topics that were relevant to the required value-chain stages, including critical minerals, steel/aluminium, logistics, manufacturing energy use, use-phase emissions and end-of-life recycling. We also added financial impact pathways such as procurement costs, operating costs, Capex, EBIT and free cash flow. This process helped us understand that AI can support early organisation, but professional judgement and evidence checking are still </w:t>
      </w:r>
      <w:r>
        <w:rPr>
          <w:rFonts w:hint="default" w:ascii="Times New Roman" w:hAnsi="Times New Roman" w:cs="Times New Roman"/>
          <w:sz w:val="24"/>
          <w:szCs w:val="32"/>
          <w:lang w:val="en-US" w:eastAsia="zh-CN"/>
        </w:rPr>
        <w:t>necessary for materiality assessment.</w:t>
      </w:r>
    </w:p>
    <w:p w14:paraId="4B507285">
      <w:pPr>
        <w:keepNext w:val="0"/>
        <w:keepLines w:val="0"/>
        <w:widowControl/>
        <w:suppressLineNumbers w:val="0"/>
        <w:bidi w:val="0"/>
        <w:spacing w:line="240" w:lineRule="auto"/>
        <w:ind w:left="0" w:right="0" w:firstLine="0"/>
        <w:jc w:val="left"/>
        <w:rPr>
          <w:rFonts w:hint="default" w:ascii="Times New Roman" w:hAnsi="Times New Roman" w:eastAsia="Tahoma" w:cs="Times New Roman"/>
          <w:kern w:val="2"/>
          <w:lang w:val="en-US" w:eastAsia="zh" w:bidi="ar"/>
          <w:woUserID w:val="1"/>
        </w:rPr>
      </w:pPr>
    </w:p>
    <w:p w14:paraId="78DD1A64">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r>
        <w:rPr>
          <w:rFonts w:hint="default" w:ascii="Times New Roman" w:hAnsi="Times New Roman" w:eastAsia="Tahoma" w:cs="Times New Roman"/>
          <w:b/>
          <w:bCs/>
          <w:kern w:val="2"/>
          <w:sz w:val="24"/>
          <w:szCs w:val="24"/>
          <w:lang w:val="en-US" w:eastAsia="zh" w:bidi="ar"/>
          <w:woUserID w:val="5"/>
        </w:rPr>
        <w:t>Table Q4-1: AI tool-prompt-output</w:t>
      </w:r>
    </w:p>
    <w:p w14:paraId="5DDABE51">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p>
    <w:tbl>
      <w:tblPr>
        <w:tblStyle w:val="10"/>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23"/>
        <w:gridCol w:w="1123"/>
        <w:gridCol w:w="3308"/>
        <w:gridCol w:w="3518"/>
      </w:tblGrid>
      <w:tr w14:paraId="479E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04" w:type="pct"/>
            <w:tcBorders>
              <w:top w:val="single" w:color="auto" w:sz="4" w:space="0"/>
              <w:left w:val="single" w:color="auto" w:sz="4" w:space="0"/>
              <w:bottom w:val="single" w:color="auto" w:sz="4" w:space="0"/>
              <w:right w:val="single" w:color="auto" w:sz="4" w:space="0"/>
            </w:tcBorders>
            <w:shd w:val="clear" w:color="auto" w:fill="auto"/>
            <w:vAlign w:val="center"/>
          </w:tcPr>
          <w:p w14:paraId="39D5127D">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b/>
                <w:bCs/>
                <w:kern w:val="2"/>
                <w:sz w:val="24"/>
                <w:szCs w:val="24"/>
                <w:lang w:val="en-US" w:eastAsia="zh" w:bidi="ar"/>
                <w:woUserID w:val="5"/>
              </w:rPr>
            </w:pPr>
            <w:r>
              <w:rPr>
                <w:rFonts w:hint="default" w:ascii="Times New Roman" w:hAnsi="Times New Roman" w:eastAsia="等线" w:cs="Times New Roman"/>
                <w:b/>
                <w:bCs/>
                <w:kern w:val="2"/>
                <w:sz w:val="24"/>
                <w:szCs w:val="24"/>
                <w:lang w:val="en-US" w:eastAsia="zh-CN" w:bidi="ar"/>
                <w:woUserID w:val="5"/>
              </w:rPr>
              <w:t>Example</w:t>
            </w:r>
          </w:p>
        </w:tc>
        <w:tc>
          <w:tcPr>
            <w:tcW w:w="604" w:type="pct"/>
            <w:tcBorders>
              <w:top w:val="single" w:color="auto" w:sz="4" w:space="0"/>
              <w:left w:val="single" w:color="auto" w:sz="4" w:space="0"/>
              <w:bottom w:val="single" w:color="auto" w:sz="4" w:space="0"/>
              <w:right w:val="single" w:color="auto" w:sz="4" w:space="0"/>
            </w:tcBorders>
            <w:shd w:val="clear" w:color="auto" w:fill="auto"/>
            <w:vAlign w:val="center"/>
          </w:tcPr>
          <w:p w14:paraId="1FCB1DF2">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b/>
                <w:bCs/>
                <w:kern w:val="2"/>
                <w:sz w:val="24"/>
                <w:szCs w:val="24"/>
                <w:lang w:val="en-US" w:eastAsia="zh" w:bidi="ar"/>
                <w:woUserID w:val="5"/>
              </w:rPr>
            </w:pPr>
            <w:r>
              <w:rPr>
                <w:rFonts w:hint="default" w:ascii="Times New Roman" w:hAnsi="Times New Roman" w:eastAsia="等线" w:cs="Times New Roman"/>
                <w:b/>
                <w:bCs/>
                <w:kern w:val="2"/>
                <w:sz w:val="24"/>
                <w:szCs w:val="24"/>
                <w:lang w:val="en-US" w:eastAsia="zh-CN" w:bidi="ar"/>
                <w:woUserID w:val="5"/>
              </w:rPr>
              <w:t>AI Tool</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7D551632">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b/>
                <w:bCs/>
                <w:kern w:val="2"/>
                <w:sz w:val="24"/>
                <w:szCs w:val="24"/>
                <w:lang w:val="en-US" w:eastAsia="zh" w:bidi="ar"/>
                <w:woUserID w:val="5"/>
              </w:rPr>
            </w:pPr>
            <w:r>
              <w:rPr>
                <w:rFonts w:hint="default" w:ascii="Times New Roman" w:hAnsi="Times New Roman" w:eastAsia="等线" w:cs="Times New Roman"/>
                <w:b/>
                <w:bCs/>
                <w:kern w:val="2"/>
                <w:sz w:val="24"/>
                <w:szCs w:val="24"/>
                <w:lang w:val="en-US" w:eastAsia="zh-CN" w:bidi="ar"/>
                <w:woUserID w:val="5"/>
              </w:rPr>
              <w:t>Prompt</w:t>
            </w:r>
          </w:p>
        </w:tc>
        <w:tc>
          <w:tcPr>
            <w:tcW w:w="1952" w:type="pct"/>
            <w:tcBorders>
              <w:top w:val="single" w:color="auto" w:sz="4" w:space="0"/>
              <w:left w:val="single" w:color="auto" w:sz="4" w:space="0"/>
              <w:bottom w:val="single" w:color="auto" w:sz="4" w:space="0"/>
              <w:right w:val="single" w:color="auto" w:sz="4" w:space="0"/>
            </w:tcBorders>
            <w:shd w:val="clear" w:color="auto" w:fill="auto"/>
            <w:vAlign w:val="center"/>
          </w:tcPr>
          <w:p w14:paraId="0DFC6024">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b/>
                <w:bCs/>
                <w:kern w:val="2"/>
                <w:sz w:val="24"/>
                <w:szCs w:val="24"/>
                <w:lang w:val="en-US" w:eastAsia="zh" w:bidi="ar"/>
                <w:woUserID w:val="5"/>
              </w:rPr>
            </w:pPr>
            <w:r>
              <w:rPr>
                <w:rFonts w:hint="default" w:ascii="Times New Roman" w:hAnsi="Times New Roman" w:eastAsia="等线" w:cs="Times New Roman"/>
                <w:b/>
                <w:bCs/>
                <w:kern w:val="2"/>
                <w:sz w:val="24"/>
                <w:szCs w:val="24"/>
                <w:lang w:val="en-US" w:eastAsia="zh-CN" w:bidi="ar"/>
                <w:woUserID w:val="5"/>
              </w:rPr>
              <w:t>Key AI output</w:t>
            </w:r>
          </w:p>
        </w:tc>
      </w:tr>
      <w:tr w14:paraId="230CE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63" w:hRule="atLeast"/>
        </w:trPr>
        <w:tc>
          <w:tcPr>
            <w:tcW w:w="604" w:type="pct"/>
            <w:tcBorders>
              <w:top w:val="single" w:color="auto" w:sz="4" w:space="0"/>
              <w:left w:val="single" w:color="auto" w:sz="4" w:space="0"/>
              <w:bottom w:val="single" w:color="auto" w:sz="4" w:space="0"/>
              <w:right w:val="single" w:color="auto" w:sz="4" w:space="0"/>
            </w:tcBorders>
            <w:shd w:val="clear" w:color="auto" w:fill="auto"/>
            <w:vAlign w:val="center"/>
          </w:tcPr>
          <w:p w14:paraId="54AAE3A5">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1</w:t>
            </w:r>
          </w:p>
        </w:tc>
        <w:tc>
          <w:tcPr>
            <w:tcW w:w="604" w:type="pct"/>
            <w:tcBorders>
              <w:top w:val="single" w:color="auto" w:sz="4" w:space="0"/>
              <w:left w:val="single" w:color="auto" w:sz="4" w:space="0"/>
              <w:bottom w:val="single" w:color="auto" w:sz="4" w:space="0"/>
              <w:right w:val="single" w:color="auto" w:sz="4" w:space="0"/>
            </w:tcBorders>
            <w:shd w:val="clear" w:color="auto" w:fill="auto"/>
            <w:vAlign w:val="center"/>
          </w:tcPr>
          <w:p w14:paraId="3F2B3F49">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ChatGPT</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631BE5CA">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Suggest a structure for assessing greenwashing risk using external cases, annual report evidence, financial impact and rewriting suggestions.</w:t>
            </w:r>
          </w:p>
        </w:tc>
        <w:tc>
          <w:tcPr>
            <w:tcW w:w="1952" w:type="pct"/>
            <w:tcBorders>
              <w:top w:val="single" w:color="auto" w:sz="4" w:space="0"/>
              <w:left w:val="single" w:color="auto" w:sz="4" w:space="0"/>
              <w:bottom w:val="single" w:color="auto" w:sz="4" w:space="0"/>
              <w:right w:val="single" w:color="auto" w:sz="4" w:space="0"/>
            </w:tcBorders>
            <w:shd w:val="clear" w:color="auto" w:fill="auto"/>
            <w:vAlign w:val="center"/>
          </w:tcPr>
          <w:p w14:paraId="0ABC7D9D">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A case-based structure: external case, company evidence, financial implication, rewriting suggestion and control measure.</w:t>
            </w:r>
          </w:p>
        </w:tc>
      </w:tr>
      <w:tr w14:paraId="53FD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04" w:type="pct"/>
            <w:tcBorders>
              <w:top w:val="single" w:color="auto" w:sz="4" w:space="0"/>
              <w:left w:val="single" w:color="auto" w:sz="4" w:space="0"/>
              <w:bottom w:val="single" w:color="auto" w:sz="4" w:space="0"/>
              <w:right w:val="single" w:color="auto" w:sz="4" w:space="0"/>
            </w:tcBorders>
            <w:shd w:val="clear" w:color="auto" w:fill="auto"/>
            <w:vAlign w:val="center"/>
          </w:tcPr>
          <w:p w14:paraId="43DFDC5E">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2</w:t>
            </w:r>
          </w:p>
        </w:tc>
        <w:tc>
          <w:tcPr>
            <w:tcW w:w="604" w:type="pct"/>
            <w:tcBorders>
              <w:top w:val="single" w:color="auto" w:sz="4" w:space="0"/>
              <w:left w:val="single" w:color="auto" w:sz="4" w:space="0"/>
              <w:bottom w:val="single" w:color="auto" w:sz="4" w:space="0"/>
              <w:right w:val="single" w:color="auto" w:sz="4" w:space="0"/>
            </w:tcBorders>
            <w:shd w:val="clear" w:color="auto" w:fill="auto"/>
            <w:vAlign w:val="center"/>
          </w:tcPr>
          <w:p w14:paraId="62ED79B2">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ChatGPT</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30A6E1B6">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Identify possible greenwashing risk types for automotive sustainability claims without writing company-specific conclusions.</w:t>
            </w:r>
          </w:p>
        </w:tc>
        <w:tc>
          <w:tcPr>
            <w:tcW w:w="1952" w:type="pct"/>
            <w:tcBorders>
              <w:top w:val="single" w:color="auto" w:sz="4" w:space="0"/>
              <w:left w:val="single" w:color="auto" w:sz="4" w:space="0"/>
              <w:bottom w:val="single" w:color="auto" w:sz="4" w:space="0"/>
              <w:right w:val="single" w:color="auto" w:sz="4" w:space="0"/>
            </w:tcBorders>
            <w:shd w:val="clear" w:color="auto" w:fill="auto"/>
            <w:vAlign w:val="center"/>
          </w:tcPr>
          <w:p w14:paraId="7D07B595">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Suggested risk types including claim-boundary risk, selective-disclosure risk, lifecycle-emissions ambiguity and weak linkage to Capex/R&amp;D evidence.</w:t>
            </w:r>
          </w:p>
        </w:tc>
      </w:tr>
      <w:tr w14:paraId="54C7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33" w:hRule="atLeast"/>
        </w:trPr>
        <w:tc>
          <w:tcPr>
            <w:tcW w:w="604" w:type="pct"/>
            <w:tcBorders>
              <w:top w:val="single" w:color="auto" w:sz="4" w:space="0"/>
              <w:left w:val="single" w:color="auto" w:sz="4" w:space="0"/>
              <w:bottom w:val="single" w:color="auto" w:sz="4" w:space="0"/>
              <w:right w:val="single" w:color="auto" w:sz="4" w:space="0"/>
            </w:tcBorders>
            <w:shd w:val="clear" w:color="auto" w:fill="auto"/>
            <w:vAlign w:val="center"/>
          </w:tcPr>
          <w:p w14:paraId="5600FEDF">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3</w:t>
            </w:r>
          </w:p>
        </w:tc>
        <w:tc>
          <w:tcPr>
            <w:tcW w:w="604" w:type="pct"/>
            <w:tcBorders>
              <w:top w:val="single" w:color="auto" w:sz="4" w:space="0"/>
              <w:left w:val="single" w:color="auto" w:sz="4" w:space="0"/>
              <w:bottom w:val="single" w:color="auto" w:sz="4" w:space="0"/>
              <w:right w:val="single" w:color="auto" w:sz="4" w:space="0"/>
            </w:tcBorders>
            <w:shd w:val="clear" w:color="auto" w:fill="auto"/>
            <w:vAlign w:val="center"/>
          </w:tcPr>
          <w:p w14:paraId="646DAFAE">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ChatGPT</w:t>
            </w:r>
          </w:p>
        </w:tc>
        <w:tc>
          <w:tcPr>
            <w:tcW w:w="1837" w:type="pct"/>
            <w:tcBorders>
              <w:top w:val="single" w:color="auto" w:sz="4" w:space="0"/>
              <w:left w:val="single" w:color="auto" w:sz="4" w:space="0"/>
              <w:bottom w:val="single" w:color="auto" w:sz="4" w:space="0"/>
              <w:right w:val="single" w:color="auto" w:sz="4" w:space="0"/>
            </w:tcBorders>
            <w:shd w:val="clear" w:color="auto" w:fill="auto"/>
            <w:vAlign w:val="center"/>
          </w:tcPr>
          <w:p w14:paraId="096FE1C9">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Suggest general control measures for improving the auditability of sustainability and environmental claims.</w:t>
            </w:r>
          </w:p>
        </w:tc>
        <w:tc>
          <w:tcPr>
            <w:tcW w:w="1952" w:type="pct"/>
            <w:tcBorders>
              <w:top w:val="single" w:color="auto" w:sz="4" w:space="0"/>
              <w:left w:val="single" w:color="auto" w:sz="4" w:space="0"/>
              <w:bottom w:val="single" w:color="auto" w:sz="4" w:space="0"/>
              <w:right w:val="single" w:color="auto" w:sz="4" w:space="0"/>
            </w:tcBorders>
            <w:shd w:val="clear" w:color="auto" w:fill="auto"/>
            <w:vAlign w:val="center"/>
          </w:tcPr>
          <w:p w14:paraId="1DFDAF26">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 w:bidi="ar"/>
                <w:woUserID w:val="5"/>
              </w:rPr>
            </w:pPr>
            <w:r>
              <w:rPr>
                <w:rFonts w:hint="default" w:ascii="Times New Roman" w:hAnsi="Times New Roman" w:eastAsia="等线" w:cs="Times New Roman"/>
                <w:kern w:val="2"/>
                <w:sz w:val="24"/>
                <w:szCs w:val="24"/>
                <w:lang w:val="en-US" w:eastAsia="zh-CN" w:bidi="ar"/>
                <w:woUserID w:val="5"/>
              </w:rPr>
              <w:t>Suggested legal, sustainability, finance and investor-relations review, documented evidence files, claim boundaries and approval responsibility.</w:t>
            </w:r>
          </w:p>
        </w:tc>
      </w:tr>
    </w:tbl>
    <w:p w14:paraId="4B1FE8D5">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p>
    <w:p w14:paraId="01915808">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r>
        <w:rPr>
          <w:rFonts w:hint="default" w:ascii="Times New Roman" w:hAnsi="Times New Roman" w:eastAsia="Tahoma" w:cs="Times New Roman"/>
          <w:b/>
          <w:bCs/>
          <w:kern w:val="2"/>
          <w:sz w:val="24"/>
          <w:szCs w:val="24"/>
          <w:lang w:val="en-US" w:eastAsia="zh" w:bidi="ar"/>
          <w:woUserID w:val="5"/>
        </w:rPr>
        <w:t>Table Q4-2: Human revision-rationale-final usable version</w:t>
      </w:r>
    </w:p>
    <w:p w14:paraId="3266161B">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p>
    <w:tbl>
      <w:tblPr>
        <w:tblStyle w:val="10"/>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76"/>
        <w:gridCol w:w="1309"/>
        <w:gridCol w:w="1167"/>
        <w:gridCol w:w="1507"/>
        <w:gridCol w:w="1632"/>
        <w:gridCol w:w="2181"/>
      </w:tblGrid>
      <w:tr w14:paraId="5099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14:paraId="709FCFFB">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CN" w:bidi="ar"/>
                <w:woUserID w:val="2"/>
              </w:rPr>
            </w:pPr>
            <w:r>
              <w:rPr>
                <w:rFonts w:hint="default" w:ascii="Times New Roman" w:hAnsi="Times New Roman" w:eastAsia="Tahoma" w:cs="Times New Roman"/>
                <w:b/>
                <w:bCs/>
                <w:kern w:val="2"/>
                <w:sz w:val="24"/>
                <w:szCs w:val="24"/>
                <w:lang w:val="en-US" w:eastAsia="zh-CN" w:bidi="ar"/>
                <w:woUserID w:val="2"/>
              </w:rPr>
              <w:t>Item</w:t>
            </w:r>
          </w:p>
        </w:tc>
        <w:tc>
          <w:tcPr>
            <w:tcW w:w="721" w:type="pct"/>
            <w:tcBorders>
              <w:top w:val="single" w:color="auto" w:sz="4" w:space="0"/>
              <w:left w:val="nil"/>
              <w:bottom w:val="single" w:color="auto" w:sz="4" w:space="0"/>
              <w:right w:val="single" w:color="auto" w:sz="4" w:space="0"/>
            </w:tcBorders>
            <w:shd w:val="clear" w:color="auto" w:fill="auto"/>
            <w:vAlign w:val="center"/>
          </w:tcPr>
          <w:p w14:paraId="38A1BD72">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CN" w:bidi="ar"/>
                <w:woUserID w:val="2"/>
              </w:rPr>
            </w:pPr>
            <w:r>
              <w:rPr>
                <w:rFonts w:hint="default" w:ascii="Times New Roman" w:hAnsi="Times New Roman" w:eastAsia="Tahoma" w:cs="Times New Roman"/>
                <w:b/>
                <w:bCs/>
                <w:kern w:val="2"/>
                <w:sz w:val="24"/>
                <w:szCs w:val="24"/>
                <w:lang w:val="en-US" w:eastAsia="zh-CN" w:bidi="ar"/>
                <w:woUserID w:val="2"/>
              </w:rPr>
              <w:t>AI original statement</w:t>
            </w:r>
          </w:p>
        </w:tc>
        <w:tc>
          <w:tcPr>
            <w:tcW w:w="643" w:type="pct"/>
            <w:tcBorders>
              <w:top w:val="single" w:color="auto" w:sz="4" w:space="0"/>
              <w:left w:val="nil"/>
              <w:bottom w:val="single" w:color="auto" w:sz="4" w:space="0"/>
              <w:right w:val="single" w:color="auto" w:sz="4" w:space="0"/>
            </w:tcBorders>
            <w:shd w:val="clear" w:color="auto" w:fill="auto"/>
            <w:vAlign w:val="center"/>
          </w:tcPr>
          <w:p w14:paraId="04B1F58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CN" w:bidi="ar"/>
                <w:woUserID w:val="2"/>
              </w:rPr>
            </w:pPr>
            <w:r>
              <w:rPr>
                <w:rFonts w:hint="default" w:ascii="Times New Roman" w:hAnsi="Times New Roman" w:eastAsia="Tahoma" w:cs="Times New Roman"/>
                <w:b/>
                <w:bCs/>
                <w:kern w:val="2"/>
                <w:sz w:val="24"/>
                <w:szCs w:val="24"/>
                <w:lang w:val="en-US" w:eastAsia="zh-CN" w:bidi="ar"/>
                <w:woUserID w:val="2"/>
              </w:rPr>
              <w:t>Problem identified</w:t>
            </w:r>
          </w:p>
        </w:tc>
        <w:tc>
          <w:tcPr>
            <w:tcW w:w="830" w:type="pct"/>
            <w:tcBorders>
              <w:top w:val="single" w:color="auto" w:sz="4" w:space="0"/>
              <w:left w:val="nil"/>
              <w:bottom w:val="single" w:color="auto" w:sz="4" w:space="0"/>
              <w:right w:val="single" w:color="auto" w:sz="4" w:space="0"/>
            </w:tcBorders>
            <w:shd w:val="clear" w:color="auto" w:fill="auto"/>
            <w:vAlign w:val="center"/>
          </w:tcPr>
          <w:p w14:paraId="4DC20DA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CN" w:bidi="ar"/>
                <w:woUserID w:val="2"/>
              </w:rPr>
            </w:pPr>
            <w:r>
              <w:rPr>
                <w:rFonts w:hint="default" w:ascii="Times New Roman" w:hAnsi="Times New Roman" w:eastAsia="Tahoma" w:cs="Times New Roman"/>
                <w:b/>
                <w:bCs/>
                <w:kern w:val="2"/>
                <w:sz w:val="24"/>
                <w:szCs w:val="24"/>
                <w:lang w:val="en-US" w:eastAsia="zh-CN" w:bidi="ar"/>
                <w:woUserID w:val="2"/>
              </w:rPr>
              <w:t>Evidence source</w:t>
            </w:r>
          </w:p>
        </w:tc>
        <w:tc>
          <w:tcPr>
            <w:tcW w:w="899" w:type="pct"/>
            <w:tcBorders>
              <w:top w:val="single" w:color="auto" w:sz="4" w:space="0"/>
              <w:left w:val="nil"/>
              <w:bottom w:val="single" w:color="auto" w:sz="4" w:space="0"/>
              <w:right w:val="single" w:color="auto" w:sz="4" w:space="0"/>
            </w:tcBorders>
            <w:shd w:val="clear" w:color="auto" w:fill="auto"/>
            <w:vAlign w:val="center"/>
          </w:tcPr>
          <w:p w14:paraId="1764BD47">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CN" w:bidi="ar"/>
                <w:woUserID w:val="2"/>
              </w:rPr>
            </w:pPr>
            <w:r>
              <w:rPr>
                <w:rFonts w:hint="default" w:ascii="Times New Roman" w:hAnsi="Times New Roman" w:eastAsia="Tahoma" w:cs="Times New Roman"/>
                <w:b/>
                <w:bCs/>
                <w:kern w:val="2"/>
                <w:sz w:val="24"/>
                <w:szCs w:val="24"/>
                <w:lang w:val="en-US" w:eastAsia="zh-CN" w:bidi="ar"/>
                <w:woUserID w:val="2"/>
              </w:rPr>
              <w:t>How</w:t>
            </w:r>
            <w:r>
              <w:rPr>
                <w:rFonts w:hint="default" w:ascii="Times New Roman" w:hAnsi="Times New Roman" w:eastAsia="Tahoma" w:cs="Times New Roman"/>
                <w:b/>
                <w:bCs/>
                <w:kern w:val="2"/>
                <w:sz w:val="24"/>
                <w:szCs w:val="24"/>
                <w:lang w:val="en-US" w:eastAsia="zh" w:bidi="ar"/>
                <w:woUserID w:val="2"/>
              </w:rPr>
              <w:t xml:space="preserve"> </w:t>
            </w:r>
            <w:r>
              <w:rPr>
                <w:rFonts w:hint="default" w:ascii="Times New Roman" w:hAnsi="Times New Roman" w:eastAsia="Tahoma" w:cs="Times New Roman"/>
                <w:b/>
                <w:bCs/>
                <w:kern w:val="2"/>
                <w:sz w:val="24"/>
                <w:szCs w:val="24"/>
                <w:lang w:val="en-US" w:eastAsia="zh-CN" w:bidi="ar"/>
                <w:woUserID w:val="2"/>
              </w:rPr>
              <w:t>you revised</w:t>
            </w:r>
          </w:p>
        </w:tc>
        <w:tc>
          <w:tcPr>
            <w:tcW w:w="1201" w:type="pct"/>
            <w:tcBorders>
              <w:top w:val="single" w:color="auto" w:sz="4" w:space="0"/>
              <w:left w:val="nil"/>
              <w:bottom w:val="single" w:color="auto" w:sz="4" w:space="0"/>
              <w:right w:val="single" w:color="auto" w:sz="4" w:space="0"/>
            </w:tcBorders>
            <w:shd w:val="clear" w:color="auto" w:fill="auto"/>
            <w:vAlign w:val="center"/>
          </w:tcPr>
          <w:p w14:paraId="43ED766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ahoma" w:cs="Times New Roman"/>
                <w:b/>
                <w:bCs/>
                <w:kern w:val="2"/>
                <w:sz w:val="24"/>
                <w:szCs w:val="24"/>
                <w:lang w:val="en-US" w:eastAsia="zh-CN" w:bidi="ar"/>
                <w:woUserID w:val="2"/>
              </w:rPr>
            </w:pPr>
            <w:r>
              <w:rPr>
                <w:rFonts w:hint="default" w:ascii="Times New Roman" w:hAnsi="Times New Roman" w:eastAsia="Tahoma" w:cs="Times New Roman"/>
                <w:b/>
                <w:bCs/>
                <w:kern w:val="2"/>
                <w:sz w:val="24"/>
                <w:szCs w:val="24"/>
                <w:lang w:val="en-US" w:eastAsia="zh-CN" w:bidi="ar"/>
                <w:woUserID w:val="2"/>
              </w:rPr>
              <w:t>Final sentence usable in main text</w:t>
            </w:r>
          </w:p>
        </w:tc>
      </w:tr>
      <w:tr w14:paraId="5B2AD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230" w:hRule="atLeast"/>
        </w:trPr>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14:paraId="2A9EEF38">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1. Case-based structure</w:t>
            </w:r>
          </w:p>
        </w:tc>
        <w:tc>
          <w:tcPr>
            <w:tcW w:w="721" w:type="pct"/>
            <w:tcBorders>
              <w:top w:val="single" w:color="auto" w:sz="4" w:space="0"/>
              <w:left w:val="nil"/>
              <w:bottom w:val="single" w:color="auto" w:sz="4" w:space="0"/>
              <w:right w:val="single" w:color="auto" w:sz="4" w:space="0"/>
            </w:tcBorders>
            <w:shd w:val="clear" w:color="auto" w:fill="auto"/>
            <w:vAlign w:val="center"/>
          </w:tcPr>
          <w:p w14:paraId="06AB0002">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Use external cases to test whether sustainability claims create greenwashing risk.</w:t>
            </w:r>
          </w:p>
        </w:tc>
        <w:tc>
          <w:tcPr>
            <w:tcW w:w="643" w:type="pct"/>
            <w:tcBorders>
              <w:top w:val="single" w:color="auto" w:sz="4" w:space="0"/>
              <w:left w:val="nil"/>
              <w:bottom w:val="single" w:color="auto" w:sz="4" w:space="0"/>
              <w:right w:val="single" w:color="auto" w:sz="4" w:space="0"/>
            </w:tcBorders>
            <w:shd w:val="clear" w:color="auto" w:fill="auto"/>
            <w:vAlign w:val="center"/>
          </w:tcPr>
          <w:p w14:paraId="46B19DFA">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Useful as a structure but too generic for company-specific analysis.</w:t>
            </w:r>
          </w:p>
        </w:tc>
        <w:tc>
          <w:tcPr>
            <w:tcW w:w="830" w:type="pct"/>
            <w:tcBorders>
              <w:top w:val="single" w:color="auto" w:sz="4" w:space="0"/>
              <w:left w:val="nil"/>
              <w:bottom w:val="single" w:color="auto" w:sz="4" w:space="0"/>
              <w:right w:val="single" w:color="auto" w:sz="4" w:space="0"/>
            </w:tcBorders>
            <w:shd w:val="clear" w:color="auto" w:fill="auto"/>
            <w:vAlign w:val="center"/>
          </w:tcPr>
          <w:p w14:paraId="2114B0C2">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ASA ruling on BMW; Greenpeace complaint against Toyota; BMW and Toyota reports.</w:t>
            </w:r>
          </w:p>
        </w:tc>
        <w:tc>
          <w:tcPr>
            <w:tcW w:w="899" w:type="pct"/>
            <w:tcBorders>
              <w:top w:val="single" w:color="auto" w:sz="4" w:space="0"/>
              <w:left w:val="nil"/>
              <w:bottom w:val="single" w:color="auto" w:sz="4" w:space="0"/>
              <w:right w:val="single" w:color="auto" w:sz="4" w:space="0"/>
            </w:tcBorders>
            <w:shd w:val="clear" w:color="auto" w:fill="auto"/>
            <w:vAlign w:val="center"/>
          </w:tcPr>
          <w:p w14:paraId="5E6A1651">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Applied the structure separately to BMW and Toyota, then checked each case against company financial and operational evidence.</w:t>
            </w:r>
          </w:p>
        </w:tc>
        <w:tc>
          <w:tcPr>
            <w:tcW w:w="1201" w:type="pct"/>
            <w:tcBorders>
              <w:top w:val="single" w:color="auto" w:sz="4" w:space="0"/>
              <w:left w:val="nil"/>
              <w:bottom w:val="single" w:color="auto" w:sz="4" w:space="0"/>
              <w:right w:val="single" w:color="auto" w:sz="4" w:space="0"/>
            </w:tcBorders>
            <w:shd w:val="clear" w:color="auto" w:fill="auto"/>
            <w:vAlign w:val="center"/>
          </w:tcPr>
          <w:p w14:paraId="4CC67862">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External cases were used to identify greenwashing risk, while annual report data were used to assess whether the risk affected financial credibility.</w:t>
            </w:r>
          </w:p>
        </w:tc>
      </w:tr>
      <w:tr w14:paraId="7A22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14:paraId="41A297E7">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2. Risk classification</w:t>
            </w:r>
          </w:p>
        </w:tc>
        <w:tc>
          <w:tcPr>
            <w:tcW w:w="721" w:type="pct"/>
            <w:tcBorders>
              <w:top w:val="single" w:color="auto" w:sz="4" w:space="0"/>
              <w:left w:val="nil"/>
              <w:bottom w:val="single" w:color="auto" w:sz="4" w:space="0"/>
              <w:right w:val="single" w:color="auto" w:sz="4" w:space="0"/>
            </w:tcBorders>
            <w:shd w:val="clear" w:color="auto" w:fill="auto"/>
            <w:vAlign w:val="center"/>
          </w:tcPr>
          <w:p w14:paraId="58AC5EF0">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Broad environmental claims may create claim-boundary or selective-disclosure risk.</w:t>
            </w:r>
          </w:p>
        </w:tc>
        <w:tc>
          <w:tcPr>
            <w:tcW w:w="643" w:type="pct"/>
            <w:tcBorders>
              <w:top w:val="single" w:color="auto" w:sz="4" w:space="0"/>
              <w:left w:val="nil"/>
              <w:bottom w:val="single" w:color="auto" w:sz="4" w:space="0"/>
              <w:right w:val="single" w:color="auto" w:sz="4" w:space="0"/>
            </w:tcBorders>
            <w:shd w:val="clear" w:color="auto" w:fill="auto"/>
            <w:vAlign w:val="center"/>
          </w:tcPr>
          <w:p w14:paraId="13D9A484">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Needed clearer distinction between BMW and Toyota.</w:t>
            </w:r>
          </w:p>
        </w:tc>
        <w:tc>
          <w:tcPr>
            <w:tcW w:w="830" w:type="pct"/>
            <w:tcBorders>
              <w:top w:val="single" w:color="auto" w:sz="4" w:space="0"/>
              <w:left w:val="nil"/>
              <w:bottom w:val="single" w:color="auto" w:sz="4" w:space="0"/>
              <w:right w:val="single" w:color="auto" w:sz="4" w:space="0"/>
            </w:tcBorders>
            <w:shd w:val="clear" w:color="auto" w:fill="auto"/>
            <w:vAlign w:val="center"/>
          </w:tcPr>
          <w:p w14:paraId="7885F205">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ASA (2024); Greenpeace Australia Pacific (2023).</w:t>
            </w:r>
          </w:p>
        </w:tc>
        <w:tc>
          <w:tcPr>
            <w:tcW w:w="899" w:type="pct"/>
            <w:tcBorders>
              <w:top w:val="single" w:color="auto" w:sz="4" w:space="0"/>
              <w:left w:val="nil"/>
              <w:bottom w:val="single" w:color="auto" w:sz="4" w:space="0"/>
              <w:right w:val="single" w:color="auto" w:sz="4" w:space="0"/>
            </w:tcBorders>
            <w:shd w:val="clear" w:color="auto" w:fill="auto"/>
            <w:vAlign w:val="center"/>
          </w:tcPr>
          <w:p w14:paraId="5028F191">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Classified BMW as claim-boundary risk and Toyota as selective-disclosure risk.</w:t>
            </w:r>
          </w:p>
        </w:tc>
        <w:tc>
          <w:tcPr>
            <w:tcW w:w="1201" w:type="pct"/>
            <w:tcBorders>
              <w:top w:val="single" w:color="auto" w:sz="4" w:space="0"/>
              <w:left w:val="nil"/>
              <w:bottom w:val="single" w:color="auto" w:sz="4" w:space="0"/>
              <w:right w:val="single" w:color="auto" w:sz="4" w:space="0"/>
            </w:tcBorders>
            <w:shd w:val="clear" w:color="auto" w:fill="auto"/>
            <w:vAlign w:val="center"/>
          </w:tcPr>
          <w:p w14:paraId="24058937">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BMW’</w:t>
            </w:r>
            <w:r>
              <w:rPr>
                <w:rFonts w:hint="default" w:ascii="Times New Roman" w:hAnsi="Times New Roman" w:eastAsia="等线" w:cs="Times New Roman"/>
                <w:kern w:val="2"/>
                <w:sz w:val="24"/>
                <w:szCs w:val="24"/>
                <w:lang w:val="en-US" w:eastAsia="zh-CN" w:bidi="ar"/>
                <w:woUserID w:val="5"/>
              </w:rPr>
              <w:t>s risk relates mainly to unclear lifecycle boundaries, while Toyota’</w:t>
            </w:r>
            <w:r>
              <w:rPr>
                <w:rFonts w:hint="default" w:ascii="Times New Roman" w:hAnsi="Times New Roman" w:eastAsia="等线" w:cs="Times New Roman"/>
                <w:kern w:val="2"/>
                <w:sz w:val="24"/>
                <w:szCs w:val="24"/>
                <w:lang w:val="en-US" w:eastAsia="zh-CN" w:bidi="ar"/>
                <w:woUserID w:val="5"/>
              </w:rPr>
              <w:t>s risk relates to the presentation of its multi-pathway strategy.</w:t>
            </w:r>
          </w:p>
        </w:tc>
      </w:tr>
      <w:tr w14:paraId="14A9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14:paraId="564A74AB">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3. Financial impact link</w:t>
            </w:r>
          </w:p>
        </w:tc>
        <w:tc>
          <w:tcPr>
            <w:tcW w:w="721" w:type="pct"/>
            <w:tcBorders>
              <w:top w:val="single" w:color="auto" w:sz="4" w:space="0"/>
              <w:left w:val="nil"/>
              <w:bottom w:val="single" w:color="auto" w:sz="4" w:space="0"/>
              <w:right w:val="single" w:color="auto" w:sz="4" w:space="0"/>
            </w:tcBorders>
            <w:shd w:val="clear" w:color="auto" w:fill="auto"/>
            <w:vAlign w:val="center"/>
          </w:tcPr>
          <w:p w14:paraId="39952BF4">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Greenwashing risk may affect reputation, compliance cost and investor trust.</w:t>
            </w:r>
          </w:p>
        </w:tc>
        <w:tc>
          <w:tcPr>
            <w:tcW w:w="643" w:type="pct"/>
            <w:tcBorders>
              <w:top w:val="single" w:color="auto" w:sz="4" w:space="0"/>
              <w:left w:val="nil"/>
              <w:bottom w:val="single" w:color="auto" w:sz="4" w:space="0"/>
              <w:right w:val="single" w:color="auto" w:sz="4" w:space="0"/>
            </w:tcBorders>
            <w:shd w:val="clear" w:color="auto" w:fill="auto"/>
            <w:vAlign w:val="center"/>
          </w:tcPr>
          <w:p w14:paraId="61EE33C1">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Too broad without report-based financial support.</w:t>
            </w:r>
          </w:p>
        </w:tc>
        <w:tc>
          <w:tcPr>
            <w:tcW w:w="830" w:type="pct"/>
            <w:tcBorders>
              <w:top w:val="single" w:color="auto" w:sz="4" w:space="0"/>
              <w:left w:val="nil"/>
              <w:bottom w:val="single" w:color="auto" w:sz="4" w:space="0"/>
              <w:right w:val="single" w:color="auto" w:sz="4" w:space="0"/>
            </w:tcBorders>
            <w:shd w:val="clear" w:color="auto" w:fill="auto"/>
            <w:vAlign w:val="center"/>
          </w:tcPr>
          <w:p w14:paraId="2A960F3D">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BMW Group Reports 2023-2025; Toyota reports 2024-2025.</w:t>
            </w:r>
          </w:p>
        </w:tc>
        <w:tc>
          <w:tcPr>
            <w:tcW w:w="899" w:type="pct"/>
            <w:tcBorders>
              <w:top w:val="single" w:color="auto" w:sz="4" w:space="0"/>
              <w:left w:val="nil"/>
              <w:bottom w:val="single" w:color="auto" w:sz="4" w:space="0"/>
              <w:right w:val="single" w:color="auto" w:sz="4" w:space="0"/>
            </w:tcBorders>
            <w:shd w:val="clear" w:color="auto" w:fill="auto"/>
            <w:vAlign w:val="center"/>
          </w:tcPr>
          <w:p w14:paraId="6E0014B0">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Added company-specific financial indicators such as EBIT margin, free cash flow, operating income and revenue.</w:t>
            </w:r>
          </w:p>
        </w:tc>
        <w:tc>
          <w:tcPr>
            <w:tcW w:w="1201" w:type="pct"/>
            <w:tcBorders>
              <w:top w:val="single" w:color="auto" w:sz="4" w:space="0"/>
              <w:left w:val="nil"/>
              <w:bottom w:val="single" w:color="auto" w:sz="4" w:space="0"/>
              <w:right w:val="single" w:color="auto" w:sz="4" w:space="0"/>
            </w:tcBorders>
            <w:shd w:val="clear" w:color="auto" w:fill="auto"/>
            <w:vAlign w:val="center"/>
          </w:tcPr>
          <w:p w14:paraId="4FD498A8">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The financial impact was linked to actual report data rather than stated only as a general reputational risk.</w:t>
            </w:r>
          </w:p>
        </w:tc>
      </w:tr>
      <w:tr w14:paraId="4031E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14:paraId="6B4931F6">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4. Volkswagen risk classification</w:t>
            </w:r>
          </w:p>
        </w:tc>
        <w:tc>
          <w:tcPr>
            <w:tcW w:w="721" w:type="pct"/>
            <w:tcBorders>
              <w:top w:val="single" w:color="auto" w:sz="4" w:space="0"/>
              <w:left w:val="nil"/>
              <w:bottom w:val="single" w:color="auto" w:sz="4" w:space="0"/>
              <w:right w:val="single" w:color="auto" w:sz="4" w:space="0"/>
            </w:tcBorders>
            <w:shd w:val="clear" w:color="auto" w:fill="auto"/>
            <w:vAlign w:val="center"/>
          </w:tcPr>
          <w:p w14:paraId="56E423F8">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Volkswagen’</w:t>
            </w:r>
            <w:r>
              <w:rPr>
                <w:rFonts w:hint="default" w:ascii="Times New Roman" w:hAnsi="Times New Roman" w:eastAsia="等线" w:cs="Times New Roman"/>
                <w:kern w:val="2"/>
                <w:sz w:val="24"/>
                <w:szCs w:val="24"/>
                <w:lang w:val="en-US" w:eastAsia="zh-CN" w:bidi="ar"/>
                <w:woUserID w:val="5"/>
              </w:rPr>
              <w:t>s Dieselgate case shows greenwashing risk.</w:t>
            </w:r>
          </w:p>
        </w:tc>
        <w:tc>
          <w:tcPr>
            <w:tcW w:w="643" w:type="pct"/>
            <w:tcBorders>
              <w:top w:val="single" w:color="auto" w:sz="4" w:space="0"/>
              <w:left w:val="nil"/>
              <w:bottom w:val="single" w:color="auto" w:sz="4" w:space="0"/>
              <w:right w:val="single" w:color="auto" w:sz="4" w:space="0"/>
            </w:tcBorders>
            <w:shd w:val="clear" w:color="auto" w:fill="auto"/>
            <w:vAlign w:val="center"/>
          </w:tcPr>
          <w:p w14:paraId="35F48237">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Too broad and may imply that all current Volkswagen sustainability claims are unreliable.</w:t>
            </w:r>
          </w:p>
        </w:tc>
        <w:tc>
          <w:tcPr>
            <w:tcW w:w="830" w:type="pct"/>
            <w:tcBorders>
              <w:top w:val="single" w:color="auto" w:sz="4" w:space="0"/>
              <w:left w:val="nil"/>
              <w:bottom w:val="single" w:color="auto" w:sz="4" w:space="0"/>
              <w:right w:val="single" w:color="auto" w:sz="4" w:space="0"/>
            </w:tcBorders>
            <w:shd w:val="clear" w:color="auto" w:fill="auto"/>
            <w:vAlign w:val="center"/>
          </w:tcPr>
          <w:p w14:paraId="5940287B">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Volkswagen annual reports; Dieselgate-related special charges; US settlement information.</w:t>
            </w:r>
          </w:p>
        </w:tc>
        <w:tc>
          <w:tcPr>
            <w:tcW w:w="899" w:type="pct"/>
            <w:tcBorders>
              <w:top w:val="single" w:color="auto" w:sz="4" w:space="0"/>
              <w:left w:val="nil"/>
              <w:bottom w:val="single" w:color="auto" w:sz="4" w:space="0"/>
              <w:right w:val="single" w:color="auto" w:sz="4" w:space="0"/>
            </w:tcBorders>
            <w:shd w:val="clear" w:color="auto" w:fill="auto"/>
            <w:vAlign w:val="center"/>
          </w:tcPr>
          <w:p w14:paraId="2586635D">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Reclassified Volkswagen as a historical say</w:t>
            </w:r>
            <w:r>
              <w:rPr>
                <w:rFonts w:hint="default" w:ascii="Times New Roman" w:hAnsi="Times New Roman" w:eastAsia="等线" w:cs="Times New Roman"/>
                <w:kern w:val="2"/>
                <w:sz w:val="24"/>
                <w:szCs w:val="24"/>
                <w:lang w:val="en-US" w:eastAsia="zh" w:bidi="ar"/>
                <w:woUserID w:val="5"/>
              </w:rPr>
              <w:t>-</w:t>
            </w:r>
            <w:r>
              <w:rPr>
                <w:rFonts w:hint="default" w:ascii="Times New Roman" w:hAnsi="Times New Roman" w:eastAsia="等线" w:cs="Times New Roman"/>
                <w:kern w:val="2"/>
                <w:sz w:val="24"/>
                <w:szCs w:val="24"/>
                <w:lang w:val="en-US" w:eastAsia="zh-CN" w:bidi="ar"/>
                <w:woUserID w:val="5"/>
              </w:rPr>
              <w:t>do gap and compliance-control risk, rather than making a general judgement on all current ESG claims.</w:t>
            </w:r>
          </w:p>
        </w:tc>
        <w:tc>
          <w:tcPr>
            <w:tcW w:w="1201" w:type="pct"/>
            <w:tcBorders>
              <w:top w:val="single" w:color="auto" w:sz="4" w:space="0"/>
              <w:left w:val="nil"/>
              <w:bottom w:val="single" w:color="auto" w:sz="4" w:space="0"/>
              <w:right w:val="single" w:color="auto" w:sz="4" w:space="0"/>
            </w:tcBorders>
            <w:shd w:val="clear" w:color="auto" w:fill="auto"/>
            <w:vAlign w:val="center"/>
          </w:tcPr>
          <w:p w14:paraId="29B32DE8">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Volkswagen’</w:t>
            </w:r>
            <w:r>
              <w:rPr>
                <w:rFonts w:hint="default" w:ascii="Times New Roman" w:hAnsi="Times New Roman" w:eastAsia="等线" w:cs="Times New Roman"/>
                <w:kern w:val="2"/>
                <w:sz w:val="24"/>
                <w:szCs w:val="24"/>
                <w:lang w:val="en-US" w:eastAsia="zh-CN" w:bidi="ar"/>
                <w:woUserID w:val="5"/>
              </w:rPr>
              <w:t>s Dieselgate case shows a historical say-do gap between environmental claims and operational controls, creating continuing compliance, reputational and investor-confidence risks.</w:t>
            </w:r>
          </w:p>
        </w:tc>
      </w:tr>
      <w:tr w14:paraId="71107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14:paraId="4C5C27A2">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5. Volkswagen financial impact and controls</w:t>
            </w:r>
          </w:p>
        </w:tc>
        <w:tc>
          <w:tcPr>
            <w:tcW w:w="721" w:type="pct"/>
            <w:tcBorders>
              <w:top w:val="single" w:color="auto" w:sz="4" w:space="0"/>
              <w:left w:val="nil"/>
              <w:bottom w:val="single" w:color="auto" w:sz="4" w:space="0"/>
              <w:right w:val="single" w:color="auto" w:sz="4" w:space="0"/>
            </w:tcBorders>
            <w:shd w:val="clear" w:color="auto" w:fill="auto"/>
            <w:vAlign w:val="center"/>
          </w:tcPr>
          <w:p w14:paraId="26E4A2EA">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Volkswagen should improve governance and compliance after Dieselgate.</w:t>
            </w:r>
          </w:p>
        </w:tc>
        <w:tc>
          <w:tcPr>
            <w:tcW w:w="643" w:type="pct"/>
            <w:tcBorders>
              <w:top w:val="single" w:color="auto" w:sz="4" w:space="0"/>
              <w:left w:val="nil"/>
              <w:bottom w:val="single" w:color="auto" w:sz="4" w:space="0"/>
              <w:right w:val="single" w:color="auto" w:sz="4" w:space="0"/>
            </w:tcBorders>
            <w:shd w:val="clear" w:color="auto" w:fill="auto"/>
            <w:vAlign w:val="center"/>
          </w:tcPr>
          <w:p w14:paraId="0317FBB2">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Too general and not sufficiently linked to measurable financial impact or auditability.</w:t>
            </w:r>
          </w:p>
        </w:tc>
        <w:tc>
          <w:tcPr>
            <w:tcW w:w="830" w:type="pct"/>
            <w:tcBorders>
              <w:top w:val="single" w:color="auto" w:sz="4" w:space="0"/>
              <w:left w:val="nil"/>
              <w:bottom w:val="single" w:color="auto" w:sz="4" w:space="0"/>
              <w:right w:val="single" w:color="auto" w:sz="4" w:space="0"/>
            </w:tcBorders>
            <w:shd w:val="clear" w:color="auto" w:fill="auto"/>
            <w:vAlign w:val="center"/>
          </w:tcPr>
          <w:p w14:paraId="471A982A">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Volkswagen reported special charges of €</w:t>
            </w:r>
            <w:r>
              <w:rPr>
                <w:rFonts w:hint="default" w:ascii="Times New Roman" w:hAnsi="Times New Roman" w:eastAsia="等线" w:cs="Times New Roman"/>
                <w:kern w:val="2"/>
                <w:sz w:val="24"/>
                <w:szCs w:val="24"/>
                <w:lang w:val="en-US" w:eastAsia="zh-CN" w:bidi="ar"/>
                <w:woUserID w:val="5"/>
              </w:rPr>
              <w:t>7.52 billion in 2016 and €</w:t>
            </w:r>
            <w:r>
              <w:rPr>
                <w:rFonts w:hint="default" w:ascii="Times New Roman" w:hAnsi="Times New Roman" w:eastAsia="等线" w:cs="Times New Roman"/>
                <w:kern w:val="2"/>
                <w:sz w:val="24"/>
                <w:szCs w:val="24"/>
                <w:lang w:val="en-US" w:eastAsia="zh-CN" w:bidi="ar"/>
                <w:woUserID w:val="5"/>
              </w:rPr>
              <w:t>3.22 billion in 2017, and reached a US settlement of up to $14.7 billion.</w:t>
            </w:r>
          </w:p>
        </w:tc>
        <w:tc>
          <w:tcPr>
            <w:tcW w:w="899" w:type="pct"/>
            <w:tcBorders>
              <w:top w:val="single" w:color="auto" w:sz="4" w:space="0"/>
              <w:left w:val="nil"/>
              <w:bottom w:val="single" w:color="auto" w:sz="4" w:space="0"/>
              <w:right w:val="single" w:color="auto" w:sz="4" w:space="0"/>
            </w:tcBorders>
            <w:shd w:val="clear" w:color="auto" w:fill="auto"/>
            <w:vAlign w:val="center"/>
          </w:tcPr>
          <w:p w14:paraId="4E506ABD">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Added financial evidence and made the control measures more specific, including independent testing, whistleblower protection, transparent reporting and audit trails.</w:t>
            </w:r>
          </w:p>
        </w:tc>
        <w:tc>
          <w:tcPr>
            <w:tcW w:w="1201" w:type="pct"/>
            <w:tcBorders>
              <w:top w:val="single" w:color="auto" w:sz="4" w:space="0"/>
              <w:left w:val="nil"/>
              <w:bottom w:val="single" w:color="auto" w:sz="4" w:space="0"/>
              <w:right w:val="single" w:color="auto" w:sz="4" w:space="0"/>
            </w:tcBorders>
            <w:shd w:val="clear" w:color="auto" w:fill="auto"/>
            <w:vAlign w:val="center"/>
          </w:tcPr>
          <w:p w14:paraId="36BD0FA0">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等线" w:cs="Times New Roman"/>
                <w:kern w:val="2"/>
                <w:sz w:val="24"/>
                <w:szCs w:val="24"/>
                <w:lang w:val="en-US" w:eastAsia="zh-CN" w:bidi="ar"/>
                <w:woUserID w:val="5"/>
              </w:rPr>
            </w:pPr>
            <w:r>
              <w:rPr>
                <w:rFonts w:hint="default" w:ascii="Times New Roman" w:hAnsi="Times New Roman" w:eastAsia="等线" w:cs="Times New Roman"/>
                <w:kern w:val="2"/>
                <w:sz w:val="24"/>
                <w:szCs w:val="24"/>
                <w:lang w:val="en-US" w:eastAsia="zh-CN" w:bidi="ar"/>
                <w:woUserID w:val="5"/>
              </w:rPr>
              <w:t>Volkswagen should strengthen independent emissions testing, whistleblower protection, transparent environmental-risk reporting and documented audit trails to reduce future disclosure and compliance risk.</w:t>
            </w:r>
          </w:p>
        </w:tc>
      </w:tr>
    </w:tbl>
    <w:p w14:paraId="4F027834">
      <w:pPr>
        <w:keepNext w:val="0"/>
        <w:keepLines w:val="0"/>
        <w:widowControl/>
        <w:suppressLineNumbers w:val="0"/>
        <w:spacing w:before="0" w:beforeAutospacing="0" w:after="0" w:afterAutospacing="0" w:line="240" w:lineRule="auto"/>
        <w:ind w:left="0" w:leftChars="0" w:right="0" w:rightChars="0"/>
        <w:jc w:val="left"/>
        <w:rPr>
          <w:rFonts w:hint="default" w:ascii="Times New Roman" w:hAnsi="Times New Roman" w:eastAsia="等线" w:cs="Times New Roman"/>
          <w:kern w:val="2"/>
          <w:sz w:val="24"/>
          <w:szCs w:val="24"/>
          <w:lang w:val="en-US" w:eastAsia="zh" w:bidi="ar"/>
          <w:woUserID w:val="5"/>
        </w:rPr>
      </w:pPr>
    </w:p>
    <w:p w14:paraId="3F2331C3">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b/>
          <w:bCs/>
          <w:kern w:val="2"/>
          <w:sz w:val="24"/>
          <w:szCs w:val="24"/>
          <w:lang w:val="en-US" w:eastAsia="zh" w:bidi="ar"/>
          <w:woUserID w:val="5"/>
        </w:rPr>
      </w:pPr>
      <w:r>
        <w:rPr>
          <w:rFonts w:hint="default" w:ascii="Times New Roman" w:hAnsi="Times New Roman" w:eastAsia="Tahoma" w:cs="Times New Roman"/>
          <w:b/>
          <w:bCs/>
          <w:kern w:val="2"/>
          <w:sz w:val="24"/>
          <w:szCs w:val="24"/>
          <w:lang w:val="en-US" w:eastAsia="zh" w:bidi="ar"/>
          <w:woUserID w:val="5"/>
        </w:rPr>
        <w:t>Q4 AI reflection</w:t>
      </w:r>
    </w:p>
    <w:p w14:paraId="447F9886">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kern w:val="2"/>
          <w:sz w:val="24"/>
          <w:szCs w:val="24"/>
          <w:lang w:val="en-US" w:eastAsia="zh" w:bidi="ar"/>
          <w:woUserID w:val="5"/>
        </w:rPr>
      </w:pPr>
    </w:p>
    <w:p w14:paraId="2A21FE19">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kern w:val="2"/>
          <w:sz w:val="24"/>
          <w:szCs w:val="24"/>
          <w:lang w:val="en-US" w:eastAsia="zh" w:bidi="ar"/>
          <w:woUserID w:val="5"/>
        </w:rPr>
      </w:pPr>
      <w:r>
        <w:rPr>
          <w:rFonts w:hint="default" w:ascii="Times New Roman" w:hAnsi="Times New Roman" w:eastAsia="Tahoma" w:cs="Times New Roman"/>
          <w:kern w:val="2"/>
          <w:sz w:val="24"/>
          <w:szCs w:val="24"/>
          <w:lang w:val="en-US" w:eastAsia="zh" w:bidi="ar"/>
          <w:woUserID w:val="5"/>
        </w:rPr>
        <w:t>For Q4, we used GenAI only as a supporting tool to organise the analysis rather than to produce the final judgement. It helped us draft a case-based structure for comparing external greenwashing-related cases with company disclosures, financial indicators and possible rewriting suggestions. We also used it to generate preliminary risk categories, such as claim-boundary risk and selective-disclosure risk, and to suggest general control measures for improving auditability. However, the AI outputs were too generic to be used directly. We therefore revised them by checking each point against external sources and company reports. For BMW, the ASA ruling was compared with BEV delivery, EBIT margin and free cash flow data. For Toyota, the Greenpeace complaint was compared with BEV targets, automotive revenue and operating income. This process showed us that sustainability disclosure should not only sound persuasive; it should be supported by clear boundaries, financial evidence, and review procedures linking public claims to reportable data and management responsibility.</w:t>
      </w:r>
    </w:p>
    <w:p w14:paraId="517FBA14">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kern w:val="2"/>
          <w:sz w:val="24"/>
          <w:szCs w:val="24"/>
          <w:lang w:val="en-US" w:eastAsia="zh" w:bidi="ar"/>
          <w:woUserID w:val="5"/>
        </w:rPr>
      </w:pPr>
    </w:p>
    <w:p w14:paraId="06C49D35">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ahoma" w:cs="Times New Roman"/>
          <w:kern w:val="2"/>
          <w:sz w:val="24"/>
          <w:szCs w:val="24"/>
          <w:lang w:val="en-US" w:eastAsia="zh" w:bidi="ar"/>
          <w:woUserID w:val="5"/>
        </w:rPr>
      </w:pPr>
    </w:p>
    <w:p w14:paraId="5F058165">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imesNewRomanPS-BoldMT" w:cs="Times New Roman"/>
          <w:b/>
          <w:bCs/>
          <w:color w:val="000000"/>
          <w:sz w:val="24"/>
          <w:szCs w:val="24"/>
          <w:woUserID w:val="5"/>
        </w:rPr>
      </w:pPr>
      <w:r>
        <w:rPr>
          <w:rFonts w:hint="default" w:ascii="Times New Roman" w:hAnsi="Times New Roman" w:eastAsia="TimesNewRomanPS-BoldMT" w:cs="Times New Roman"/>
          <w:b/>
          <w:bCs/>
          <w:color w:val="000000"/>
          <w:sz w:val="24"/>
          <w:szCs w:val="24"/>
          <w:woUserID w:val="5"/>
        </w:rPr>
        <w:t>Group Task Allocation Table (Student ID)</w:t>
      </w:r>
    </w:p>
    <w:p w14:paraId="7714033B">
      <w:pPr>
        <w:keepNext w:val="0"/>
        <w:keepLines w:val="0"/>
        <w:widowControl w:val="0"/>
        <w:suppressLineNumbers w:val="0"/>
        <w:spacing w:before="0" w:beforeAutospacing="0" w:after="0" w:afterAutospacing="0" w:line="240" w:lineRule="auto"/>
        <w:ind w:left="0" w:right="0"/>
        <w:jc w:val="both"/>
        <w:rPr>
          <w:rFonts w:hint="default" w:ascii="Times New Roman" w:hAnsi="Times New Roman" w:eastAsia="TimesNewRomanPS-BoldMT" w:cs="Times New Roman"/>
          <w:b/>
          <w:bCs/>
          <w:color w:val="000000"/>
          <w:sz w:val="24"/>
          <w:szCs w:val="24"/>
          <w:woUserID w:val="5"/>
        </w:rPr>
      </w:pPr>
    </w:p>
    <w:tbl>
      <w:tblPr>
        <w:tblStyle w:val="10"/>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16"/>
        <w:gridCol w:w="3756"/>
      </w:tblGrid>
      <w:tr w14:paraId="49E2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6" w:type="dxa"/>
            <w:vAlign w:val="center"/>
          </w:tcPr>
          <w:p w14:paraId="1EFA086E">
            <w:pPr>
              <w:keepNext w:val="0"/>
              <w:keepLines w:val="0"/>
              <w:widowControl/>
              <w:suppressLineNumbers w:val="0"/>
              <w:spacing w:before="0" w:beforeAutospacing="0" w:after="0" w:afterAutospacing="0" w:line="276" w:lineRule="auto"/>
              <w:ind w:left="0" w:right="0"/>
              <w:jc w:val="center"/>
              <w:rPr>
                <w:rFonts w:hint="default" w:ascii="Times New Roman" w:hAnsi="Times New Roman" w:eastAsia="TimesNewRomanPS-BoldMT" w:cs="Times New Roman"/>
                <w:b w:val="0"/>
                <w:bCs w:val="0"/>
                <w:color w:val="000000"/>
                <w:sz w:val="24"/>
                <w:szCs w:val="24"/>
                <w:vertAlign w:val="baseline"/>
                <w:lang w:val="en-US" w:eastAsia="zh"/>
                <w:woUserID w:val="5"/>
              </w:rPr>
            </w:pPr>
            <w:bookmarkStart w:id="28" w:name="_GoBack"/>
            <w:r>
              <w:rPr>
                <w:rFonts w:hint="default" w:ascii="Times New Roman" w:hAnsi="Times New Roman" w:eastAsia="TimesNewRomanPS-BoldMT" w:cs="Times New Roman"/>
                <w:b/>
                <w:bCs/>
                <w:color w:val="000000"/>
                <w:kern w:val="0"/>
                <w:sz w:val="24"/>
                <w:szCs w:val="24"/>
                <w:lang w:val="en-US" w:eastAsia="zh-CN" w:bidi="ar"/>
                <w:woUserID w:val="5"/>
              </w:rPr>
              <w:t>Question</w:t>
            </w:r>
          </w:p>
        </w:tc>
        <w:tc>
          <w:tcPr>
            <w:tcW w:w="3756" w:type="dxa"/>
            <w:vAlign w:val="center"/>
          </w:tcPr>
          <w:p w14:paraId="06E7AACE">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TimesNewRomanPS-BoldMT" w:cs="Times New Roman"/>
                <w:b/>
                <w:bCs/>
                <w:color w:val="000000"/>
                <w:kern w:val="0"/>
                <w:sz w:val="24"/>
                <w:szCs w:val="24"/>
                <w:lang w:val="en-US" w:eastAsia="zh-CN" w:bidi="ar"/>
                <w:woUserID w:val="5"/>
              </w:rPr>
              <w:t>Main responsibility (Student ID)</w:t>
            </w:r>
          </w:p>
        </w:tc>
      </w:tr>
      <w:tr w14:paraId="4FCC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6" w:type="dxa"/>
            <w:vAlign w:val="center"/>
          </w:tcPr>
          <w:p w14:paraId="6D1BDE8A">
            <w:pPr>
              <w:keepNext w:val="0"/>
              <w:keepLines w:val="0"/>
              <w:widowControl w:val="0"/>
              <w:suppressLineNumbers w:val="0"/>
              <w:spacing w:before="0" w:beforeAutospacing="0" w:after="0" w:afterAutospacing="0" w:line="240" w:lineRule="auto"/>
              <w:ind w:left="0" w:right="0"/>
              <w:jc w:val="left"/>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宋体" w:cs="Times New Roman"/>
                <w:color w:val="000000"/>
                <w:kern w:val="0"/>
                <w:sz w:val="24"/>
                <w:szCs w:val="24"/>
                <w:lang w:val="en-US" w:eastAsia="zh-CN" w:bidi="ar"/>
                <w:woUserID w:val="5"/>
              </w:rPr>
              <w:t>Q1 Industry-level overview</w:t>
            </w:r>
          </w:p>
        </w:tc>
        <w:tc>
          <w:tcPr>
            <w:tcW w:w="3756" w:type="dxa"/>
            <w:vAlign w:val="center"/>
          </w:tcPr>
          <w:p w14:paraId="5802E2B8">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TimesNewRomanPS-BoldMT" w:cs="Times New Roman"/>
                <w:b w:val="0"/>
                <w:bCs w:val="0"/>
                <w:color w:val="000000"/>
                <w:sz w:val="24"/>
                <w:szCs w:val="24"/>
                <w:vertAlign w:val="baseline"/>
                <w:lang w:val="en-US" w:eastAsia="zh"/>
                <w:woUserID w:val="5"/>
              </w:rPr>
              <w:t>2253303, 2251737</w:t>
            </w:r>
          </w:p>
        </w:tc>
      </w:tr>
      <w:tr w14:paraId="71596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6" w:type="dxa"/>
            <w:vAlign w:val="center"/>
          </w:tcPr>
          <w:p w14:paraId="140C8046">
            <w:pPr>
              <w:keepNext w:val="0"/>
              <w:keepLines w:val="0"/>
              <w:widowControl w:val="0"/>
              <w:suppressLineNumbers w:val="0"/>
              <w:spacing w:before="0" w:beforeAutospacing="0" w:after="0" w:afterAutospacing="0" w:line="240" w:lineRule="auto"/>
              <w:ind w:left="0" w:right="0"/>
              <w:jc w:val="left"/>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宋体" w:cs="Times New Roman"/>
                <w:color w:val="000000"/>
                <w:kern w:val="0"/>
                <w:sz w:val="24"/>
                <w:szCs w:val="24"/>
                <w:lang w:val="en-US" w:eastAsia="zh-CN" w:bidi="ar"/>
                <w:woUserID w:val="5"/>
              </w:rPr>
              <w:t>Q2 Financial ratio diagnosis (2014</w:t>
            </w:r>
            <w:r>
              <w:rPr>
                <w:rFonts w:hint="default" w:ascii="Times New Roman" w:hAnsi="Times New Roman" w:eastAsia="宋体" w:cs="Times New Roman"/>
                <w:color w:val="000000"/>
                <w:kern w:val="0"/>
                <w:sz w:val="24"/>
                <w:szCs w:val="24"/>
                <w:lang w:val="en-US" w:eastAsia="zh" w:bidi="ar"/>
                <w:woUserID w:val="5"/>
              </w:rPr>
              <w:t>-</w:t>
            </w:r>
            <w:r>
              <w:rPr>
                <w:rFonts w:hint="default" w:ascii="Times New Roman" w:hAnsi="Times New Roman" w:eastAsia="宋体" w:cs="Times New Roman"/>
                <w:color w:val="000000"/>
                <w:kern w:val="0"/>
                <w:sz w:val="24"/>
                <w:szCs w:val="24"/>
                <w:lang w:val="en-US" w:eastAsia="zh-CN" w:bidi="ar"/>
                <w:woUserID w:val="5"/>
              </w:rPr>
              <w:t>2024)</w:t>
            </w:r>
          </w:p>
        </w:tc>
        <w:tc>
          <w:tcPr>
            <w:tcW w:w="3756" w:type="dxa"/>
            <w:vAlign w:val="center"/>
          </w:tcPr>
          <w:p w14:paraId="0B3FB40A">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TimesNewRomanPS-BoldMT" w:cs="Times New Roman"/>
                <w:b w:val="0"/>
                <w:bCs w:val="0"/>
                <w:color w:val="000000"/>
                <w:sz w:val="24"/>
                <w:szCs w:val="24"/>
                <w:vertAlign w:val="baseline"/>
                <w:lang w:val="en-US" w:eastAsia="zh"/>
                <w:woUserID w:val="5"/>
              </w:rPr>
              <w:t>2252341, 2252681</w:t>
            </w:r>
          </w:p>
        </w:tc>
      </w:tr>
      <w:tr w14:paraId="62192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6" w:type="dxa"/>
            <w:vAlign w:val="center"/>
          </w:tcPr>
          <w:p w14:paraId="40B740D0">
            <w:pPr>
              <w:keepNext w:val="0"/>
              <w:keepLines w:val="0"/>
              <w:widowControl w:val="0"/>
              <w:suppressLineNumbers w:val="0"/>
              <w:spacing w:before="0" w:beforeAutospacing="0" w:after="0" w:afterAutospacing="0" w:line="240" w:lineRule="auto"/>
              <w:ind w:left="0" w:right="0"/>
              <w:jc w:val="left"/>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宋体" w:cs="Times New Roman"/>
                <w:color w:val="000000"/>
                <w:kern w:val="0"/>
                <w:sz w:val="24"/>
                <w:szCs w:val="24"/>
                <w:lang w:val="en-US" w:eastAsia="zh-CN" w:bidi="ar"/>
                <w:woUserID w:val="5"/>
              </w:rPr>
              <w:t>Q3 Value chain &amp; risk map + materiality assessment</w:t>
            </w:r>
          </w:p>
        </w:tc>
        <w:tc>
          <w:tcPr>
            <w:tcW w:w="3756" w:type="dxa"/>
            <w:vAlign w:val="center"/>
          </w:tcPr>
          <w:p w14:paraId="06E14FE3">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TimesNewRomanPS-BoldMT" w:cs="Times New Roman"/>
                <w:b w:val="0"/>
                <w:bCs w:val="0"/>
                <w:color w:val="000000"/>
                <w:sz w:val="24"/>
                <w:szCs w:val="24"/>
                <w:vertAlign w:val="baseline"/>
                <w:lang w:val="en-US" w:eastAsia="zh"/>
                <w:woUserID w:val="5"/>
              </w:rPr>
              <w:t>2253303, 2251737, 2252341, 2252681, 2253336, 2252665</w:t>
            </w:r>
          </w:p>
        </w:tc>
      </w:tr>
      <w:tr w14:paraId="0A72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6" w:type="dxa"/>
            <w:vAlign w:val="center"/>
          </w:tcPr>
          <w:p w14:paraId="37367AA3">
            <w:pPr>
              <w:keepNext w:val="0"/>
              <w:keepLines w:val="0"/>
              <w:widowControl w:val="0"/>
              <w:suppressLineNumbers w:val="0"/>
              <w:spacing w:before="0" w:beforeAutospacing="0" w:after="0" w:afterAutospacing="0" w:line="240" w:lineRule="auto"/>
              <w:ind w:left="0" w:right="0"/>
              <w:jc w:val="left"/>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宋体" w:cs="Times New Roman"/>
                <w:color w:val="000000"/>
                <w:kern w:val="0"/>
                <w:sz w:val="24"/>
                <w:szCs w:val="24"/>
                <w:lang w:val="en-US" w:eastAsia="zh-CN" w:bidi="ar"/>
                <w:woUserID w:val="5"/>
              </w:rPr>
              <w:t xml:space="preserve">Q4 Consistency &amp; greenwashing risk </w:t>
            </w:r>
          </w:p>
        </w:tc>
        <w:tc>
          <w:tcPr>
            <w:tcW w:w="3756" w:type="dxa"/>
            <w:vAlign w:val="center"/>
          </w:tcPr>
          <w:p w14:paraId="323C7E1F">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TimesNewRomanPS-BoldMT" w:cs="Times New Roman"/>
                <w:b w:val="0"/>
                <w:bCs w:val="0"/>
                <w:color w:val="000000"/>
                <w:sz w:val="24"/>
                <w:szCs w:val="24"/>
                <w:vertAlign w:val="baseline"/>
                <w:lang w:val="en-US" w:eastAsia="zh"/>
                <w:woUserID w:val="5"/>
              </w:rPr>
              <w:t>2253336, 2252665</w:t>
            </w:r>
          </w:p>
        </w:tc>
      </w:tr>
      <w:tr w14:paraId="06D79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6" w:type="dxa"/>
            <w:vAlign w:val="center"/>
          </w:tcPr>
          <w:p w14:paraId="3642415C">
            <w:pPr>
              <w:keepNext w:val="0"/>
              <w:keepLines w:val="0"/>
              <w:widowControl/>
              <w:suppressLineNumbers w:val="0"/>
              <w:spacing w:before="0" w:beforeAutospacing="0" w:after="0" w:afterAutospacing="0" w:line="276" w:lineRule="auto"/>
              <w:ind w:left="0" w:right="0"/>
              <w:jc w:val="left"/>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宋体" w:cs="Times New Roman"/>
                <w:color w:val="000000"/>
                <w:kern w:val="0"/>
                <w:sz w:val="24"/>
                <w:szCs w:val="24"/>
                <w:lang w:val="en-US" w:eastAsia="zh-CN" w:bidi="ar"/>
                <w:woUserID w:val="5"/>
              </w:rPr>
              <w:t xml:space="preserve">Q5 Integrated summary &amp; further implications </w:t>
            </w:r>
          </w:p>
        </w:tc>
        <w:tc>
          <w:tcPr>
            <w:tcW w:w="3756" w:type="dxa"/>
            <w:vAlign w:val="center"/>
          </w:tcPr>
          <w:p w14:paraId="7D73A2DA">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TimesNewRomanPS-BoldMT" w:cs="Times New Roman"/>
                <w:b w:val="0"/>
                <w:bCs w:val="0"/>
                <w:color w:val="000000"/>
                <w:sz w:val="24"/>
                <w:szCs w:val="24"/>
                <w:vertAlign w:val="baseline"/>
                <w:lang w:val="en-US" w:eastAsia="zh"/>
                <w:woUserID w:val="5"/>
              </w:rPr>
              <w:t>2251737</w:t>
            </w:r>
          </w:p>
        </w:tc>
      </w:tr>
      <w:tr w14:paraId="45A74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16" w:type="dxa"/>
            <w:vAlign w:val="center"/>
          </w:tcPr>
          <w:p w14:paraId="20BA188D">
            <w:pPr>
              <w:keepNext w:val="0"/>
              <w:keepLines w:val="0"/>
              <w:widowControl/>
              <w:suppressLineNumbers w:val="0"/>
              <w:spacing w:before="0" w:beforeAutospacing="0" w:after="0" w:afterAutospacing="0" w:line="276" w:lineRule="auto"/>
              <w:ind w:left="0" w:right="0"/>
              <w:jc w:val="left"/>
              <w:rPr>
                <w:rFonts w:hint="default" w:ascii="Times New Roman" w:hAnsi="Times New Roman" w:cs="Times New Roman"/>
                <w:woUserID w:val="5"/>
              </w:rPr>
            </w:pPr>
            <w:r>
              <w:rPr>
                <w:rFonts w:hint="default" w:ascii="Times New Roman" w:hAnsi="Times New Roman" w:eastAsia="宋体" w:cs="Times New Roman"/>
                <w:color w:val="000000"/>
                <w:kern w:val="0"/>
                <w:sz w:val="24"/>
                <w:szCs w:val="24"/>
                <w:lang w:val="en-US" w:eastAsia="zh-CN" w:bidi="ar"/>
                <w:woUserID w:val="5"/>
              </w:rPr>
              <w:t xml:space="preserve">Q6 Professional presentation (formatting, figures, </w:t>
            </w:r>
          </w:p>
          <w:p w14:paraId="0F836925">
            <w:pPr>
              <w:keepNext w:val="0"/>
              <w:keepLines w:val="0"/>
              <w:widowControl w:val="0"/>
              <w:suppressLineNumbers w:val="0"/>
              <w:spacing w:before="0" w:beforeAutospacing="0" w:after="0" w:afterAutospacing="0" w:line="240" w:lineRule="auto"/>
              <w:ind w:left="0" w:right="0"/>
              <w:jc w:val="left"/>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宋体" w:cs="Times New Roman"/>
                <w:color w:val="000000"/>
                <w:kern w:val="0"/>
                <w:sz w:val="24"/>
                <w:szCs w:val="24"/>
                <w:lang w:val="en-US" w:eastAsia="zh-CN" w:bidi="ar"/>
                <w:woUserID w:val="5"/>
              </w:rPr>
              <w:t>referencing, appendix indexing)</w:t>
            </w:r>
          </w:p>
        </w:tc>
        <w:tc>
          <w:tcPr>
            <w:tcW w:w="3756" w:type="dxa"/>
            <w:vAlign w:val="center"/>
          </w:tcPr>
          <w:p w14:paraId="7492FB4C">
            <w:pPr>
              <w:keepNext w:val="0"/>
              <w:keepLines w:val="0"/>
              <w:widowControl w:val="0"/>
              <w:suppressLineNumbers w:val="0"/>
              <w:spacing w:before="0" w:beforeAutospacing="0" w:after="0" w:afterAutospacing="0" w:line="240" w:lineRule="auto"/>
              <w:ind w:left="0" w:right="0"/>
              <w:jc w:val="center"/>
              <w:rPr>
                <w:rFonts w:hint="default" w:ascii="Times New Roman" w:hAnsi="Times New Roman" w:eastAsia="TimesNewRomanPS-BoldMT" w:cs="Times New Roman"/>
                <w:b w:val="0"/>
                <w:bCs w:val="0"/>
                <w:color w:val="000000"/>
                <w:sz w:val="24"/>
                <w:szCs w:val="24"/>
                <w:vertAlign w:val="baseline"/>
                <w:lang w:val="en-US" w:eastAsia="zh"/>
                <w:woUserID w:val="5"/>
              </w:rPr>
            </w:pPr>
            <w:r>
              <w:rPr>
                <w:rFonts w:hint="default" w:ascii="Times New Roman" w:hAnsi="Times New Roman" w:eastAsia="TimesNewRomanPS-BoldMT" w:cs="Times New Roman"/>
                <w:b w:val="0"/>
                <w:bCs w:val="0"/>
                <w:color w:val="000000"/>
                <w:sz w:val="24"/>
                <w:szCs w:val="24"/>
                <w:vertAlign w:val="baseline"/>
                <w:lang w:val="en-US" w:eastAsia="zh"/>
                <w:woUserID w:val="5"/>
              </w:rPr>
              <w:t>2253303, 2253336</w:t>
            </w:r>
          </w:p>
        </w:tc>
      </w:tr>
      <w:bookmarkEnd w:id="28"/>
    </w:tbl>
    <w:p w14:paraId="3BB00034">
      <w:pPr>
        <w:keepNext w:val="0"/>
        <w:keepLines w:val="0"/>
        <w:widowControl w:val="0"/>
        <w:suppressLineNumbers w:val="0"/>
        <w:spacing w:before="0" w:beforeAutospacing="0" w:after="0" w:afterAutospacing="0" w:line="240" w:lineRule="auto"/>
        <w:ind w:left="0" w:right="0"/>
        <w:jc w:val="both"/>
        <w:rPr>
          <w:rFonts w:hint="default" w:ascii="TimesNewRomanPS-BoldMT" w:hAnsi="TimesNewRomanPS-BoldMT" w:eastAsia="TimesNewRomanPS-BoldMT" w:cs="TimesNewRomanPS-BoldMT"/>
          <w:b w:val="0"/>
          <w:bCs w:val="0"/>
          <w:color w:val="000000"/>
          <w:sz w:val="24"/>
          <w:szCs w:val="24"/>
          <w:lang w:val="en-US" w:eastAsia="zh"/>
          <w:woUserID w:val="5"/>
        </w:rPr>
      </w:pPr>
    </w:p>
    <w:sectPr>
      <w:footerReference r:id="rId4" w:type="default"/>
      <w:pgSz w:w="11906" w:h="16838"/>
      <w:pgMar w:top="1417" w:right="1417" w:bottom="1417" w:left="141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Verdana">
    <w:panose1 w:val="020B0604030504040204"/>
    <w:charset w:val="00"/>
    <w:family w:val="auto"/>
    <w:pitch w:val="default"/>
    <w:sig w:usb0="A10006FF" w:usb1="4000205B" w:usb2="00000010" w:usb3="00000000" w:csb0="2000019F" w:csb1="00000000"/>
  </w:font>
  <w:font w:name="Tahoma">
    <w:altName w:val="Verdana"/>
    <w:panose1 w:val="020B0604030504040204"/>
    <w:charset w:val="00"/>
    <w:family w:val="auto"/>
    <w:pitch w:val="default"/>
    <w:sig w:usb0="00000000" w:usb1="00000000" w:usb2="00000029" w:usb3="00000000" w:csb0="00000000" w:csb1="00000000"/>
  </w:font>
  <w:font w:name="-webkit-standard">
    <w:altName w:val="Times New Roman"/>
    <w:panose1 w:val="00000000000000000000"/>
    <w:charset w:val="00"/>
    <w:family w:val="auto"/>
    <w:pitch w:val="default"/>
    <w:sig w:usb0="00000000" w:usb1="00000000" w:usb2="00000000" w:usb3="00000000" w:csb0="00000000" w:csb1="00000000"/>
  </w:font>
  <w:font w:name="Times New Roman Bold">
    <w:altName w:val="Times New Roman"/>
    <w:panose1 w:val="00000000000000000000"/>
    <w:charset w:val="00"/>
    <w:family w:val="auto"/>
    <w:pitch w:val="default"/>
    <w:sig w:usb0="00000000" w:usb1="00000000" w:usb2="00000000" w:usb3="00000000" w:csb0="00000000" w:csb1="00000000"/>
  </w:font>
  <w:font w:name="TimesNewRomanPS-BoldMT">
    <w:altName w:val="Times New Roman"/>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乐见体">
    <w:panose1 w:val="02020400000000000000"/>
    <w:charset w:val="86"/>
    <w:family w:val="auto"/>
    <w:pitch w:val="default"/>
    <w:sig w:usb0="80000003" w:usb1="08012000" w:usb2="00000012" w:usb3="00000000" w:csb0="00040001" w:csb1="00000000"/>
  </w:font>
  <w:font w:name="华文中宋">
    <w:panose1 w:val="02010600040101010101"/>
    <w:charset w:val="86"/>
    <w:family w:val="auto"/>
    <w:pitch w:val="default"/>
    <w:sig w:usb0="00000287" w:usb1="080F0000" w:usb2="00000000" w:usb3="00000000" w:csb0="0004009F" w:csb1="DFD70000"/>
  </w:font>
  <w:font w:name="Segoe UI Symbol">
    <w:altName w:val="Noto Naskh Arabic"/>
    <w:panose1 w:val="020B0502040204020203"/>
    <w:charset w:val="00"/>
    <w:family w:val="auto"/>
    <w:pitch w:val="default"/>
    <w:sig w:usb0="800001E3" w:usb1="1200FFEF" w:usb2="00000000" w:usb3="00000000" w:csb0="00000000" w:csb1="00000000"/>
  </w:font>
  <w:font w:name="Noto Naskh Arabic">
    <w:panose1 w:val="020B0502040504020204"/>
    <w:charset w:val="00"/>
    <w:family w:val="auto"/>
    <w:pitch w:val="default"/>
    <w:sig w:usb0="80002003" w:usb1="80002000" w:usb2="00000008" w:usb3="00000000" w:csb0="00000041" w:csb1="00080000"/>
  </w:font>
  <w:font w:name="@宋体">
    <w:altName w:val="汉仪书宋二KW"/>
    <w:panose1 w:val="02010600030101010101"/>
    <w:charset w:val="86"/>
    <w:family w:val="auto"/>
    <w:pitch w:val="variable"/>
    <w:sig w:usb0="00000203" w:usb1="288F0000" w:usb2="00000016" w:usb3="00000000" w:csb0="00040001" w:csb1="00000000"/>
  </w:font>
  <w:font w:name="Cambria Math">
    <w:altName w:val="Kingsoft Math"/>
    <w:panose1 w:val="02040503050406030204"/>
    <w:charset w:val="00"/>
    <w:family w:val="auto"/>
    <w:pitch w:val="variable"/>
    <w:sig w:usb0="E00006FF" w:usb1="420024FF" w:usb2="02000000" w:usb3="00000000" w:csb0="0000019F" w:csb1="00000000"/>
  </w:font>
  <w:font w:name="Kingsoft Math">
    <w:panose1 w:val="02040503050406030204"/>
    <w:charset w:val="00"/>
    <w:family w:val="auto"/>
    <w:pitch w:val="default"/>
    <w:sig w:usb0="00000081" w:usb1="02000068" w:usb2="02000000" w:usb3="00000000" w:csb0="00000001" w:csb1="00000000"/>
  </w:font>
  <w:font w:name="@等线">
    <w:altName w:val="华文中宋"/>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26C6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C9EE5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57C9EE5A">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A0BBC0F">
      <w:pPr>
        <w:pStyle w:val="21"/>
        <w:widowControl/>
        <w:rPr>
          <w:sz w:val="18"/>
          <w:szCs w:val="24"/>
          <w:lang w:val="en-US"/>
        </w:rPr>
      </w:pPr>
      <w:r>
        <w:rPr>
          <w:rStyle w:val="22"/>
          <w:sz w:val="21"/>
          <w:szCs w:val="24"/>
          <w:lang w:val="en-US"/>
        </w:rPr>
        <w:footnoteRef/>
      </w:r>
      <w:r>
        <w:rPr>
          <w:sz w:val="18"/>
          <w:szCs w:val="24"/>
          <w:lang w:val="en-US"/>
        </w:rPr>
        <w:t xml:space="preserve"> Please refer to clause 43 (i), (ii) and (iii) of the Code of Practice on Assessment for the standard system of penalties for the late submission of assessment work based on </w:t>
      </w:r>
      <w:r>
        <w:rPr>
          <w:b/>
          <w:bCs w:val="0"/>
          <w:sz w:val="18"/>
          <w:szCs w:val="24"/>
          <w:lang w:val="en-US"/>
        </w:rPr>
        <w:t>working days</w:t>
      </w:r>
      <w:r>
        <w:rPr>
          <w:sz w:val="18"/>
          <w:szCs w:val="24"/>
          <w:lang w:val="en-US"/>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E83DBF"/>
    <w:multiLevelType w:val="multilevel"/>
    <w:tmpl w:val="9BE83DB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B2FEA250"/>
    <w:multiLevelType w:val="singleLevel"/>
    <w:tmpl w:val="B2FEA250"/>
    <w:lvl w:ilvl="0" w:tentative="0">
      <w:start w:val="5"/>
      <w:numFmt w:val="decimal"/>
      <w:suff w:val="space"/>
      <w:lvlText w:val="%1."/>
      <w:lvlJc w:val="left"/>
    </w:lvl>
  </w:abstractNum>
  <w:abstractNum w:abstractNumId="2">
    <w:nsid w:val="FF4EFDD2"/>
    <w:multiLevelType w:val="singleLevel"/>
    <w:tmpl w:val="FF4EFDD2"/>
    <w:lvl w:ilvl="0" w:tentative="0">
      <w:start w:val="1"/>
      <w:numFmt w:val="decimal"/>
      <w:suff w:val="space"/>
      <w:lvlText w:val="%1."/>
      <w:lvlJc w:val="left"/>
    </w:lvl>
  </w:abstractNum>
  <w:abstractNum w:abstractNumId="3">
    <w:nsid w:val="3FFF8DC4"/>
    <w:multiLevelType w:val="multilevel"/>
    <w:tmpl w:val="3FFF8DC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2485"/>
    <w:rsid w:val="0A7F62C8"/>
    <w:rsid w:val="0E759893"/>
    <w:rsid w:val="0E76AEEC"/>
    <w:rsid w:val="0FEF3BB8"/>
    <w:rsid w:val="15FF5A57"/>
    <w:rsid w:val="1B3E459F"/>
    <w:rsid w:val="1D7CA619"/>
    <w:rsid w:val="1FFFDC8F"/>
    <w:rsid w:val="21FA8604"/>
    <w:rsid w:val="2DFF9F49"/>
    <w:rsid w:val="2FAEC462"/>
    <w:rsid w:val="2FE7AF09"/>
    <w:rsid w:val="33FF08D5"/>
    <w:rsid w:val="35578740"/>
    <w:rsid w:val="36DD699E"/>
    <w:rsid w:val="37FF5B5C"/>
    <w:rsid w:val="38F7FD2A"/>
    <w:rsid w:val="39FDA1D0"/>
    <w:rsid w:val="3B6F5A0B"/>
    <w:rsid w:val="3BCCB2C6"/>
    <w:rsid w:val="3BDFB7FA"/>
    <w:rsid w:val="3D07F764"/>
    <w:rsid w:val="3D7FA169"/>
    <w:rsid w:val="3DB7EDBF"/>
    <w:rsid w:val="3E1F2BF6"/>
    <w:rsid w:val="3EBD03FF"/>
    <w:rsid w:val="3EBF3EA0"/>
    <w:rsid w:val="3EFB77F1"/>
    <w:rsid w:val="3F9CAE24"/>
    <w:rsid w:val="3FBB5E61"/>
    <w:rsid w:val="3FBEFACC"/>
    <w:rsid w:val="3FDB4FB5"/>
    <w:rsid w:val="3FE5A162"/>
    <w:rsid w:val="3FEFF445"/>
    <w:rsid w:val="49E5B4B3"/>
    <w:rsid w:val="4AEF8B48"/>
    <w:rsid w:val="4BFFF40A"/>
    <w:rsid w:val="4DC367FF"/>
    <w:rsid w:val="4EFE49DD"/>
    <w:rsid w:val="4EFFC55B"/>
    <w:rsid w:val="4FFD357B"/>
    <w:rsid w:val="4FFF3729"/>
    <w:rsid w:val="52BCEEC1"/>
    <w:rsid w:val="52BFB9BC"/>
    <w:rsid w:val="555DD33E"/>
    <w:rsid w:val="563F0946"/>
    <w:rsid w:val="57B363E9"/>
    <w:rsid w:val="57FF750E"/>
    <w:rsid w:val="59F876E5"/>
    <w:rsid w:val="5AFC8DD2"/>
    <w:rsid w:val="5B6D8A2D"/>
    <w:rsid w:val="5B7DDAF8"/>
    <w:rsid w:val="5BDEBC63"/>
    <w:rsid w:val="5BDF9592"/>
    <w:rsid w:val="5D6B36F0"/>
    <w:rsid w:val="5DDF14FB"/>
    <w:rsid w:val="5DFB14C6"/>
    <w:rsid w:val="5E5974CD"/>
    <w:rsid w:val="5E6F57D8"/>
    <w:rsid w:val="5EDD0FB9"/>
    <w:rsid w:val="5EDFA1C5"/>
    <w:rsid w:val="5EEA3509"/>
    <w:rsid w:val="5EFF1481"/>
    <w:rsid w:val="5F1CFD85"/>
    <w:rsid w:val="5F8E35AF"/>
    <w:rsid w:val="5FA90930"/>
    <w:rsid w:val="5FF06214"/>
    <w:rsid w:val="5FF9C043"/>
    <w:rsid w:val="5FFF06E3"/>
    <w:rsid w:val="62FF4922"/>
    <w:rsid w:val="63EBCA05"/>
    <w:rsid w:val="655F162D"/>
    <w:rsid w:val="65FE632E"/>
    <w:rsid w:val="65FF68F0"/>
    <w:rsid w:val="66CF18B3"/>
    <w:rsid w:val="675F3886"/>
    <w:rsid w:val="67B624E1"/>
    <w:rsid w:val="67F3A1D9"/>
    <w:rsid w:val="67FF5E9C"/>
    <w:rsid w:val="68778328"/>
    <w:rsid w:val="6B3EC4A7"/>
    <w:rsid w:val="6BDB954F"/>
    <w:rsid w:val="6BE525C6"/>
    <w:rsid w:val="6CFFCDFB"/>
    <w:rsid w:val="6DABEA51"/>
    <w:rsid w:val="6EF8DF1D"/>
    <w:rsid w:val="6FBF74E2"/>
    <w:rsid w:val="6FD79C66"/>
    <w:rsid w:val="6FDBAB3E"/>
    <w:rsid w:val="6FFF07D1"/>
    <w:rsid w:val="6FFF20F4"/>
    <w:rsid w:val="6FFF2316"/>
    <w:rsid w:val="6FFFCA09"/>
    <w:rsid w:val="702F9DBF"/>
    <w:rsid w:val="737D7575"/>
    <w:rsid w:val="73F37B52"/>
    <w:rsid w:val="74AF24B0"/>
    <w:rsid w:val="74BF766A"/>
    <w:rsid w:val="74F25749"/>
    <w:rsid w:val="757F0DD7"/>
    <w:rsid w:val="75BF9EA0"/>
    <w:rsid w:val="75BFBAAA"/>
    <w:rsid w:val="75E9F6F1"/>
    <w:rsid w:val="75FBCFDF"/>
    <w:rsid w:val="76BD1ED6"/>
    <w:rsid w:val="7713C6C8"/>
    <w:rsid w:val="77A54DA4"/>
    <w:rsid w:val="77AEFAB1"/>
    <w:rsid w:val="77AFAE62"/>
    <w:rsid w:val="7A6F3D37"/>
    <w:rsid w:val="7AB5741B"/>
    <w:rsid w:val="7AD24FCD"/>
    <w:rsid w:val="7AF1F961"/>
    <w:rsid w:val="7B7703E8"/>
    <w:rsid w:val="7BB7A2D8"/>
    <w:rsid w:val="7BBB15B2"/>
    <w:rsid w:val="7BDE2300"/>
    <w:rsid w:val="7BE4C1AB"/>
    <w:rsid w:val="7BEC1127"/>
    <w:rsid w:val="7BF71583"/>
    <w:rsid w:val="7BFB9C35"/>
    <w:rsid w:val="7BFDB275"/>
    <w:rsid w:val="7CFD67BB"/>
    <w:rsid w:val="7CFFB65D"/>
    <w:rsid w:val="7D69B975"/>
    <w:rsid w:val="7D93B164"/>
    <w:rsid w:val="7DA6895C"/>
    <w:rsid w:val="7DB3DA93"/>
    <w:rsid w:val="7DB9E82A"/>
    <w:rsid w:val="7DD08CE7"/>
    <w:rsid w:val="7DDD5C7C"/>
    <w:rsid w:val="7DFCCE47"/>
    <w:rsid w:val="7DFF3282"/>
    <w:rsid w:val="7E71CB32"/>
    <w:rsid w:val="7EBF4D75"/>
    <w:rsid w:val="7EE2B135"/>
    <w:rsid w:val="7F6B400B"/>
    <w:rsid w:val="7F6FEE22"/>
    <w:rsid w:val="7F71927D"/>
    <w:rsid w:val="7F76AAAC"/>
    <w:rsid w:val="7F7F4340"/>
    <w:rsid w:val="7F7FAA1C"/>
    <w:rsid w:val="7F961F32"/>
    <w:rsid w:val="7F9E3477"/>
    <w:rsid w:val="7FB85171"/>
    <w:rsid w:val="7FBF70AE"/>
    <w:rsid w:val="7FDEC305"/>
    <w:rsid w:val="7FDF19FE"/>
    <w:rsid w:val="7FE740FD"/>
    <w:rsid w:val="7FED1A4C"/>
    <w:rsid w:val="7FEFBCC7"/>
    <w:rsid w:val="7FFACC00"/>
    <w:rsid w:val="8EFF7D07"/>
    <w:rsid w:val="949FCCC5"/>
    <w:rsid w:val="97319850"/>
    <w:rsid w:val="99FF96A5"/>
    <w:rsid w:val="9B1EB2C7"/>
    <w:rsid w:val="9B8AD7A3"/>
    <w:rsid w:val="9DFF14D7"/>
    <w:rsid w:val="9EBFEBE8"/>
    <w:rsid w:val="9F95810D"/>
    <w:rsid w:val="9FFF7B20"/>
    <w:rsid w:val="A47FAA3D"/>
    <w:rsid w:val="ADBF61A1"/>
    <w:rsid w:val="ADFCD41A"/>
    <w:rsid w:val="AEEF8C43"/>
    <w:rsid w:val="AFBF7F4D"/>
    <w:rsid w:val="AFF9D774"/>
    <w:rsid w:val="B775960F"/>
    <w:rsid w:val="B79701BE"/>
    <w:rsid w:val="B7DA9552"/>
    <w:rsid w:val="B97F69DC"/>
    <w:rsid w:val="BBFE7412"/>
    <w:rsid w:val="BBFEB79A"/>
    <w:rsid w:val="BBFF4F2C"/>
    <w:rsid w:val="BDAFB159"/>
    <w:rsid w:val="BDEE87E9"/>
    <w:rsid w:val="BDFBC732"/>
    <w:rsid w:val="BE6B78DB"/>
    <w:rsid w:val="BEDDBF82"/>
    <w:rsid w:val="BF7B7E08"/>
    <w:rsid w:val="BF7F96CC"/>
    <w:rsid w:val="BF7FBD10"/>
    <w:rsid w:val="BF9361DE"/>
    <w:rsid w:val="BFBF021A"/>
    <w:rsid w:val="BFBF178C"/>
    <w:rsid w:val="BFDFCF0D"/>
    <w:rsid w:val="BFEC68AA"/>
    <w:rsid w:val="BFF76B4A"/>
    <w:rsid w:val="C6DF89E5"/>
    <w:rsid w:val="C79F19E4"/>
    <w:rsid w:val="CDFFAC00"/>
    <w:rsid w:val="CF46D031"/>
    <w:rsid w:val="CFFE7EC2"/>
    <w:rsid w:val="D4DB371C"/>
    <w:rsid w:val="D5EC763C"/>
    <w:rsid w:val="D6BF88E4"/>
    <w:rsid w:val="D7E19179"/>
    <w:rsid w:val="DD5F9983"/>
    <w:rsid w:val="DDA9F7F3"/>
    <w:rsid w:val="DDBE0B23"/>
    <w:rsid w:val="DDFB1D7E"/>
    <w:rsid w:val="DE9B75B2"/>
    <w:rsid w:val="DEC140DE"/>
    <w:rsid w:val="DEF38265"/>
    <w:rsid w:val="DF3D238A"/>
    <w:rsid w:val="DFDF6FFD"/>
    <w:rsid w:val="DFEF0EE4"/>
    <w:rsid w:val="DFFBD6A3"/>
    <w:rsid w:val="DFFDF312"/>
    <w:rsid w:val="DFFEE374"/>
    <w:rsid w:val="DFFF0F33"/>
    <w:rsid w:val="E77E999E"/>
    <w:rsid w:val="E77ED40E"/>
    <w:rsid w:val="E7EFC98A"/>
    <w:rsid w:val="E95796A1"/>
    <w:rsid w:val="EADF24BD"/>
    <w:rsid w:val="EAF8FA4D"/>
    <w:rsid w:val="EAFDD7F2"/>
    <w:rsid w:val="EB7D77AF"/>
    <w:rsid w:val="EBBFD553"/>
    <w:rsid w:val="EBFCE99A"/>
    <w:rsid w:val="EBFF9B6B"/>
    <w:rsid w:val="ED3CCEFD"/>
    <w:rsid w:val="EFB79CEA"/>
    <w:rsid w:val="EFFB7771"/>
    <w:rsid w:val="EFFBEAC0"/>
    <w:rsid w:val="EFFD715F"/>
    <w:rsid w:val="EFFFFC4F"/>
    <w:rsid w:val="F2FFFD92"/>
    <w:rsid w:val="F3D1CB71"/>
    <w:rsid w:val="F57BF323"/>
    <w:rsid w:val="F5FBC4EA"/>
    <w:rsid w:val="F6DE363F"/>
    <w:rsid w:val="F6DF35C2"/>
    <w:rsid w:val="F76ED157"/>
    <w:rsid w:val="F7A9A685"/>
    <w:rsid w:val="F7BB6958"/>
    <w:rsid w:val="F7DF41DA"/>
    <w:rsid w:val="F7DF4564"/>
    <w:rsid w:val="F7EF03F5"/>
    <w:rsid w:val="F9EF02E5"/>
    <w:rsid w:val="FAEFB359"/>
    <w:rsid w:val="FB67C16B"/>
    <w:rsid w:val="FB989C12"/>
    <w:rsid w:val="FB9FA78A"/>
    <w:rsid w:val="FBB934D3"/>
    <w:rsid w:val="FBBCB117"/>
    <w:rsid w:val="FBC58328"/>
    <w:rsid w:val="FBEFF27A"/>
    <w:rsid w:val="FCAE7AD5"/>
    <w:rsid w:val="FD4FAB0C"/>
    <w:rsid w:val="FD7FEFF9"/>
    <w:rsid w:val="FD89D143"/>
    <w:rsid w:val="FDA58E22"/>
    <w:rsid w:val="FDEB2F8F"/>
    <w:rsid w:val="FDFA2B48"/>
    <w:rsid w:val="FDFEC19F"/>
    <w:rsid w:val="FE5A903C"/>
    <w:rsid w:val="FE9BCC9C"/>
    <w:rsid w:val="FEBAD3B8"/>
    <w:rsid w:val="FEEE5D63"/>
    <w:rsid w:val="FEEFB55D"/>
    <w:rsid w:val="FEEFF0C7"/>
    <w:rsid w:val="FEFC9062"/>
    <w:rsid w:val="FF3E1BAE"/>
    <w:rsid w:val="FF6BC98F"/>
    <w:rsid w:val="FFB67B96"/>
    <w:rsid w:val="FFBD3CFB"/>
    <w:rsid w:val="FFBF7C1C"/>
    <w:rsid w:val="FFD99708"/>
    <w:rsid w:val="FFDA5010"/>
    <w:rsid w:val="FFDB0291"/>
    <w:rsid w:val="FFDB9677"/>
    <w:rsid w:val="FFE712BD"/>
    <w:rsid w:val="FFEB9431"/>
    <w:rsid w:val="FFFF2485"/>
    <w:rsid w:val="FFFF35C1"/>
    <w:rsid w:val="FFFFF8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25"/>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6"/>
    <w:qFormat/>
    <w:uiPriority w:val="0"/>
    <w:pPr>
      <w:keepNext/>
      <w:keepLines/>
      <w:widowControl w:val="0"/>
      <w:suppressLineNumbers w:val="0"/>
      <w:spacing w:before="480" w:beforeAutospacing="0" w:after="80" w:afterAutospacing="0" w:line="276" w:lineRule="auto"/>
      <w:ind w:left="0" w:right="0"/>
      <w:jc w:val="left"/>
      <w:outlineLvl w:val="0"/>
    </w:pPr>
    <w:rPr>
      <w:rFonts w:hint="eastAsia" w:ascii="Times New Roman" w:hAnsi="Times New Roman" w:eastAsia="等线 Light" w:cs="Times New Roman"/>
      <w:b/>
      <w:bCs/>
      <w:color w:val="000000"/>
      <w:kern w:val="2"/>
      <w:sz w:val="28"/>
      <w:szCs w:val="28"/>
      <w:lang w:val="en-US" w:eastAsia="zh-CN" w:bidi="ar"/>
    </w:rPr>
  </w:style>
  <w:style w:type="paragraph" w:styleId="3">
    <w:name w:val="heading 2"/>
    <w:basedOn w:val="1"/>
    <w:next w:val="1"/>
    <w:link w:val="26"/>
    <w:unhideWhenUsed/>
    <w:qFormat/>
    <w:uiPriority w:val="0"/>
    <w:pPr>
      <w:spacing w:before="0" w:beforeAutospacing="1" w:after="0" w:afterAutospacing="1" w:line="360" w:lineRule="auto"/>
      <w:jc w:val="left"/>
    </w:pPr>
    <w:rPr>
      <w:rFonts w:hint="eastAsia" w:ascii="Times New Roman" w:hAnsi="Times New Roman" w:eastAsia="宋体" w:cs="宋体"/>
      <w:b/>
      <w:bCs/>
      <w:kern w:val="0"/>
      <w:sz w:val="24"/>
      <w:szCs w:val="24"/>
      <w:lang w:val="en-US" w:eastAsia="zh-CN" w:bidi="ar"/>
    </w:rPr>
  </w:style>
  <w:style w:type="character" w:default="1" w:styleId="11">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link w:val="24"/>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iPriority w:val="0"/>
  </w:style>
  <w:style w:type="paragraph" w:styleId="7">
    <w:name w:val="toc 2"/>
    <w:basedOn w:val="1"/>
    <w:next w:val="1"/>
    <w:uiPriority w:val="0"/>
    <w:pPr>
      <w:ind w:left="420" w:leftChars="200"/>
    </w:p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table" w:styleId="10">
    <w:name w:val="Table Grid"/>
    <w:basedOn w:val="9"/>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2"/>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2">
    <w:name w:val="Strong"/>
    <w:basedOn w:val="11"/>
    <w:qFormat/>
    <w:uiPriority w:val="0"/>
    <w:rPr>
      <w:b/>
    </w:rPr>
  </w:style>
  <w:style w:type="character" w:styleId="13">
    <w:name w:val="FollowedHyperlink"/>
    <w:basedOn w:val="11"/>
    <w:uiPriority w:val="0"/>
    <w:rPr>
      <w:color w:val="954F72"/>
      <w:u w:val="single"/>
    </w:rPr>
  </w:style>
  <w:style w:type="character" w:styleId="14">
    <w:name w:val="Emphasis"/>
    <w:basedOn w:val="11"/>
    <w:qFormat/>
    <w:uiPriority w:val="0"/>
    <w:rPr>
      <w:i/>
    </w:rPr>
  </w:style>
  <w:style w:type="character" w:styleId="15">
    <w:name w:val="Hyperlink"/>
    <w:basedOn w:val="11"/>
    <w:uiPriority w:val="0"/>
    <w:rPr>
      <w:color w:val="0563C1"/>
      <w:u w:val="single"/>
    </w:rPr>
  </w:style>
  <w:style w:type="character" w:customStyle="1" w:styleId="16">
    <w:name w:val="标题 1 字符"/>
    <w:basedOn w:val="11"/>
    <w:link w:val="2"/>
    <w:uiPriority w:val="0"/>
    <w:rPr>
      <w:rFonts w:hint="eastAsia" w:ascii="Times New Roman" w:hAnsi="Times New Roman" w:eastAsia="等线 Light" w:cs="Times New Roman"/>
      <w:b/>
      <w:bCs/>
      <w:color w:val="000000"/>
      <w:sz w:val="28"/>
      <w:szCs w:val="28"/>
      <w:lang w:val="en-US"/>
    </w:rPr>
  </w:style>
  <w:style w:type="table" w:customStyle="1" w:styleId="17">
    <w:name w:val="Table Normal"/>
    <w:basedOn w:val="9"/>
    <w:semiHidden/>
    <w:uiPriority w:val="0"/>
    <w:pPr>
      <w:keepNext w:val="0"/>
      <w:keepLines w:val="0"/>
      <w:widowControl/>
      <w:suppressLineNumbers w:val="0"/>
      <w:spacing w:before="0" w:beforeAutospacing="0" w:after="0" w:afterAutospacing="0"/>
      <w:ind w:left="0" w:right="0"/>
    </w:pPr>
    <w:rPr>
      <w:rFonts w:hint="default" w:ascii="Calibri" w:hAnsi="Calibri" w:cs="Calibri"/>
      <w:sz w:val="20"/>
      <w:szCs w:val="20"/>
    </w:rPr>
    <w:tblPr>
      <w:tblCellMar>
        <w:top w:w="0" w:type="dxa"/>
        <w:left w:w="108" w:type="dxa"/>
        <w:bottom w:w="0" w:type="dxa"/>
        <w:right w:w="108" w:type="dxa"/>
      </w:tblCellMar>
    </w:tblPr>
  </w:style>
  <w:style w:type="character" w:customStyle="1" w:styleId="18">
    <w:name w:val="10"/>
    <w:basedOn w:val="11"/>
    <w:uiPriority w:val="0"/>
    <w:rPr>
      <w:rFonts w:hint="default" w:ascii="Times New Roman" w:hAnsi="Times New Roman" w:cs="Times New Roman"/>
    </w:rPr>
  </w:style>
  <w:style w:type="character" w:customStyle="1" w:styleId="19">
    <w:name w:val="15"/>
    <w:basedOn w:val="11"/>
    <w:uiPriority w:val="0"/>
    <w:rPr>
      <w:rFonts w:hint="default" w:ascii="Times New Roman" w:hAnsi="Times New Roman" w:cs="Times New Roman"/>
      <w:color w:val="0563C1"/>
      <w:u w:val="single"/>
    </w:rPr>
  </w:style>
  <w:style w:type="character" w:customStyle="1" w:styleId="20">
    <w:name w:val="footnote description Char"/>
    <w:basedOn w:val="11"/>
    <w:link w:val="21"/>
    <w:uiPriority w:val="0"/>
    <w:rPr>
      <w:rFonts w:hint="default" w:ascii="Verdana" w:hAnsi="Verdana" w:eastAsia="Verdana" w:cs="Verdana"/>
      <w:color w:val="000000"/>
      <w:sz w:val="16"/>
    </w:rPr>
  </w:style>
  <w:style w:type="paragraph" w:customStyle="1" w:styleId="21">
    <w:name w:val="footnote description"/>
    <w:basedOn w:val="1"/>
    <w:next w:val="1"/>
    <w:link w:val="20"/>
    <w:uiPriority w:val="0"/>
    <w:pPr>
      <w:keepNext w:val="0"/>
      <w:keepLines w:val="0"/>
      <w:widowControl/>
      <w:suppressLineNumbers w:val="0"/>
      <w:spacing w:before="0" w:beforeAutospacing="0" w:after="0" w:afterAutospacing="0" w:line="285" w:lineRule="auto"/>
      <w:ind w:left="120" w:right="0" w:hanging="2"/>
      <w:jc w:val="left"/>
    </w:pPr>
    <w:rPr>
      <w:rFonts w:hint="default" w:ascii="Verdana" w:hAnsi="Verdana" w:eastAsia="Verdana" w:cs="Verdana"/>
      <w:color w:val="000000"/>
      <w:kern w:val="0"/>
      <w:sz w:val="16"/>
      <w:szCs w:val="22"/>
      <w:lang w:val="en-US" w:eastAsia="zh-CN" w:bidi="ar"/>
    </w:rPr>
  </w:style>
  <w:style w:type="character" w:customStyle="1" w:styleId="22">
    <w:name w:val="footnote mark"/>
    <w:basedOn w:val="11"/>
    <w:uiPriority w:val="0"/>
    <w:rPr>
      <w:rFonts w:hint="default" w:ascii="Verdana" w:hAnsi="Verdana" w:eastAsia="Verdana" w:cs="Verdana"/>
      <w:color w:val="000000"/>
      <w:sz w:val="20"/>
      <w:vertAlign w:val="superscript"/>
    </w:rPr>
  </w:style>
  <w:style w:type="table" w:customStyle="1" w:styleId="23">
    <w:name w:val="TableGrid"/>
    <w:basedOn w:val="9"/>
    <w:uiPriority w:val="0"/>
    <w:pPr>
      <w:keepNext w:val="0"/>
      <w:keepLines w:val="0"/>
      <w:widowControl/>
      <w:suppressLineNumbers w:val="0"/>
      <w:spacing w:before="0" w:beforeAutospacing="0" w:after="0" w:afterAutospacing="0"/>
      <w:ind w:left="0" w:right="0"/>
    </w:pPr>
    <w:rPr>
      <w:rFonts w:hint="default" w:ascii="Calibri" w:hAnsi="Calibri" w:cs="Times New Roman"/>
      <w:sz w:val="22"/>
      <w:szCs w:val="22"/>
    </w:rPr>
    <w:tblPr>
      <w:tblCellMar>
        <w:top w:w="0" w:type="dxa"/>
        <w:left w:w="0" w:type="dxa"/>
        <w:bottom w:w="0" w:type="dxa"/>
        <w:right w:w="0" w:type="dxa"/>
      </w:tblCellMar>
    </w:tblPr>
  </w:style>
  <w:style w:type="character" w:customStyle="1" w:styleId="24">
    <w:name w:val="页眉 字符"/>
    <w:basedOn w:val="11"/>
    <w:link w:val="5"/>
    <w:uiPriority w:val="0"/>
    <w:rPr>
      <w:sz w:val="24"/>
      <w:szCs w:val="24"/>
      <w:lang w:val="nl" w:eastAsia="nl"/>
    </w:rPr>
  </w:style>
  <w:style w:type="character" w:customStyle="1" w:styleId="25">
    <w:name w:val="正文 Char"/>
    <w:link w:val="1"/>
    <w:uiPriority w:val="0"/>
    <w:rPr>
      <w:rFonts w:asciiTheme="minorHAnsi" w:hAnsiTheme="minorHAnsi" w:eastAsiaTheme="minorEastAsia" w:cstheme="minorBidi"/>
      <w:kern w:val="2"/>
      <w:sz w:val="21"/>
      <w:szCs w:val="24"/>
      <w:lang w:val="en-US" w:eastAsia="zh-CN" w:bidi="ar-SA"/>
    </w:rPr>
  </w:style>
  <w:style w:type="character" w:customStyle="1" w:styleId="26">
    <w:name w:val="标题 2 Char"/>
    <w:link w:val="3"/>
    <w:uiPriority w:val="0"/>
    <w:rPr>
      <w:rFonts w:hint="eastAsia" w:ascii="Times New Roman" w:hAnsi="Times New Roman" w:eastAsia="宋体" w:cs="宋体"/>
      <w:b/>
      <w:bCs/>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0</Words>
  <Characters>0</Characters>
  <Lines>1</Lines>
  <Paragraphs>1</Paragraphs>
  <TotalTime>0</TotalTime>
  <ScaleCrop>false</ScaleCrop>
  <LinksUpToDate>false</LinksUpToDate>
  <CharactersWithSpaces>0</CharactersWithSpaces>
  <Application>WPS Office WWO_wpscloud_20260422194245-febe6525c7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2026-05-01T17:25:00Z</dcterms:created>
  <dc:creator>郢</dc:creator>
  <cp:lastModifiedBy>郢</cp:lastModifiedBy>
  <dcterms:modified xsi:type="dcterms:W3CDTF">2026-05-03T23:50:56Z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2052-12.9.0.26352</vt:lpwstr>
  </property>
  <property fmtid="{D5CDD505-2E9C-101B-9397-08002B2CF9AE}" pid="3" name="ICV">
    <vt:lpwstr>EF46B22A6616E56CE06EF76941B42DAD_43</vt:lpwstr>
  </property>
</Properties>
</file>