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9F2A6" w14:textId="465B0260" w:rsidR="007639FB" w:rsidRPr="00815660" w:rsidRDefault="007639FB" w:rsidP="007639FB">
      <w:pPr>
        <w:spacing w:line="240" w:lineRule="auto"/>
        <w:jc w:val="center"/>
        <w:rPr>
          <w:rFonts w:ascii="Arial" w:hAnsi="Arial" w:cs="Arial"/>
          <w:sz w:val="36"/>
          <w:szCs w:val="36"/>
          <w:lang w:eastAsia="en-US"/>
        </w:rPr>
      </w:pPr>
      <w:r w:rsidRPr="00815660">
        <w:rPr>
          <w:rFonts w:ascii="Arial" w:hAnsi="Arial" w:cs="Arial"/>
          <w:sz w:val="36"/>
          <w:szCs w:val="36"/>
          <w:lang w:eastAsia="en-US"/>
        </w:rPr>
        <w:t>XI</w:t>
      </w:r>
      <w:r w:rsidR="00AF0505">
        <w:rPr>
          <w:rFonts w:ascii="Arial" w:hAnsi="Arial" w:cs="Arial"/>
          <w:sz w:val="36"/>
          <w:szCs w:val="36"/>
          <w:lang w:eastAsia="en-US"/>
        </w:rPr>
        <w:t>’</w:t>
      </w:r>
      <w:r w:rsidRPr="00815660">
        <w:rPr>
          <w:rFonts w:ascii="Arial" w:hAnsi="Arial" w:cs="Arial"/>
          <w:sz w:val="36"/>
          <w:szCs w:val="36"/>
          <w:lang w:eastAsia="en-US"/>
        </w:rPr>
        <w:t>AN JIAOTONG</w:t>
      </w:r>
      <w:r>
        <w:rPr>
          <w:rFonts w:ascii="Arial" w:hAnsi="Arial" w:cs="Arial"/>
          <w:sz w:val="36"/>
          <w:szCs w:val="36"/>
          <w:lang w:eastAsia="en-US"/>
        </w:rPr>
        <w:t>-</w:t>
      </w:r>
      <w:r w:rsidRPr="00815660">
        <w:rPr>
          <w:rFonts w:ascii="Arial" w:hAnsi="Arial" w:cs="Arial"/>
          <w:sz w:val="36"/>
          <w:szCs w:val="36"/>
          <w:lang w:eastAsia="en-US"/>
        </w:rPr>
        <w:t>LIVERPOOL UNIVERSITY</w:t>
      </w:r>
    </w:p>
    <w:p w14:paraId="103E8DAB" w14:textId="77777777" w:rsidR="007639FB" w:rsidRPr="00815660" w:rsidRDefault="007639FB" w:rsidP="007639FB">
      <w:pPr>
        <w:spacing w:line="240" w:lineRule="auto"/>
        <w:jc w:val="center"/>
        <w:rPr>
          <w:rFonts w:ascii="宋体" w:eastAsia="宋体" w:hAnsi="宋体" w:cs="Arial" w:hint="eastAsia"/>
          <w:sz w:val="48"/>
          <w:szCs w:val="48"/>
        </w:rPr>
      </w:pPr>
      <w:r w:rsidRPr="00815660">
        <w:rPr>
          <w:rFonts w:ascii="宋体" w:eastAsia="宋体" w:hAnsi="宋体" w:cs="Arial"/>
          <w:sz w:val="48"/>
          <w:szCs w:val="48"/>
          <w:lang w:eastAsia="en-US"/>
        </w:rPr>
        <w:t>西 交 利 物 浦 大 学</w:t>
      </w:r>
    </w:p>
    <w:p w14:paraId="4ACD97E9" w14:textId="77777777" w:rsidR="007639FB" w:rsidRPr="00815660" w:rsidRDefault="007639FB" w:rsidP="007639FB">
      <w:pPr>
        <w:spacing w:line="240" w:lineRule="auto"/>
        <w:jc w:val="center"/>
        <w:rPr>
          <w:rFonts w:ascii="Arial" w:hAnsi="Arial" w:cs="Arial"/>
          <w:sz w:val="36"/>
          <w:szCs w:val="36"/>
          <w:lang w:eastAsia="en-US"/>
        </w:rPr>
      </w:pPr>
      <w:r w:rsidRPr="00815660">
        <w:rPr>
          <w:rFonts w:ascii="Arial" w:hAnsi="Arial" w:cs="Arial"/>
          <w:sz w:val="36"/>
          <w:szCs w:val="36"/>
          <w:lang w:eastAsia="en-US"/>
        </w:rPr>
        <w:t>COURSEWORK SUBMISSION COVER SHEET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370"/>
        <w:gridCol w:w="3294"/>
        <w:gridCol w:w="3396"/>
      </w:tblGrid>
      <w:tr w:rsidR="007639FB" w:rsidRPr="007D379A" w14:paraId="0634AF55" w14:textId="77777777" w:rsidTr="00A81E3A">
        <w:trPr>
          <w:trHeight w:val="362"/>
        </w:trPr>
        <w:tc>
          <w:tcPr>
            <w:tcW w:w="1308" w:type="pct"/>
            <w:vAlign w:val="center"/>
          </w:tcPr>
          <w:p w14:paraId="4C49A7BA" w14:textId="77777777" w:rsidR="007639FB" w:rsidRPr="007D379A" w:rsidRDefault="007639FB" w:rsidP="00A81E3A">
            <w:pPr>
              <w:autoSpaceDE w:val="0"/>
              <w:autoSpaceDN w:val="0"/>
              <w:spacing w:before="60"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Name</w:t>
            </w:r>
          </w:p>
        </w:tc>
        <w:tc>
          <w:tcPr>
            <w:tcW w:w="1818" w:type="pct"/>
            <w:vAlign w:val="center"/>
          </w:tcPr>
          <w:p w14:paraId="40B45B7E" w14:textId="77777777" w:rsidR="007639FB" w:rsidRPr="007D379A" w:rsidRDefault="007639FB" w:rsidP="00A81E3A">
            <w:pPr>
              <w:autoSpaceDE w:val="0"/>
              <w:autoSpaceDN w:val="0"/>
              <w:spacing w:before="60"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Liu (Surname)</w:t>
            </w:r>
          </w:p>
        </w:tc>
        <w:tc>
          <w:tcPr>
            <w:tcW w:w="1874" w:type="pct"/>
            <w:vAlign w:val="center"/>
          </w:tcPr>
          <w:p w14:paraId="6226D134" w14:textId="77777777" w:rsidR="007639FB" w:rsidRPr="007D379A" w:rsidRDefault="007639FB" w:rsidP="00A81E3A">
            <w:pPr>
              <w:autoSpaceDE w:val="0"/>
              <w:autoSpaceDN w:val="0"/>
              <w:spacing w:before="60"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Jingwei (Other Names)</w:t>
            </w:r>
          </w:p>
        </w:tc>
      </w:tr>
      <w:tr w:rsidR="007639FB" w:rsidRPr="007D379A" w14:paraId="7EEEEC57" w14:textId="77777777" w:rsidTr="00A81E3A">
        <w:trPr>
          <w:trHeight w:val="359"/>
        </w:trPr>
        <w:tc>
          <w:tcPr>
            <w:tcW w:w="1308" w:type="pct"/>
            <w:vAlign w:val="center"/>
          </w:tcPr>
          <w:p w14:paraId="2E36F186" w14:textId="77777777" w:rsidR="007639FB" w:rsidRPr="007D379A" w:rsidRDefault="007639FB" w:rsidP="00A81E3A">
            <w:pPr>
              <w:autoSpaceDE w:val="0"/>
              <w:autoSpaceDN w:val="0"/>
              <w:spacing w:before="60"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Student Number</w:t>
            </w:r>
          </w:p>
        </w:tc>
        <w:tc>
          <w:tcPr>
            <w:tcW w:w="3692" w:type="pct"/>
            <w:gridSpan w:val="2"/>
            <w:vAlign w:val="center"/>
          </w:tcPr>
          <w:p w14:paraId="0CDC6A83" w14:textId="77777777" w:rsidR="007639FB" w:rsidRPr="007D379A" w:rsidRDefault="007639FB" w:rsidP="00A81E3A">
            <w:pPr>
              <w:autoSpaceDE w:val="0"/>
              <w:autoSpaceDN w:val="0"/>
              <w:spacing w:after="0" w:line="240" w:lineRule="auto"/>
              <w:ind w:firstLineChars="50" w:firstLine="100"/>
              <w:rPr>
                <w:rFonts w:ascii="Verdana" w:hAnsi="Verdana" w:cs="Verdana"/>
                <w:kern w:val="0"/>
                <w:sz w:val="20"/>
                <w:szCs w:val="22"/>
                <w14:ligatures w14:val="none"/>
              </w:rPr>
            </w:pPr>
            <w:r w:rsidRPr="007D379A">
              <w:rPr>
                <w:rFonts w:ascii="Verdana" w:hAnsi="Verdana" w:cs="Verdana"/>
                <w:kern w:val="0"/>
                <w:sz w:val="20"/>
                <w:szCs w:val="22"/>
                <w14:ligatures w14:val="none"/>
              </w:rPr>
              <w:t>2253336</w:t>
            </w:r>
          </w:p>
        </w:tc>
      </w:tr>
      <w:tr w:rsidR="007639FB" w:rsidRPr="007D379A" w14:paraId="208E7043" w14:textId="77777777" w:rsidTr="00A81E3A">
        <w:trPr>
          <w:trHeight w:val="364"/>
        </w:trPr>
        <w:tc>
          <w:tcPr>
            <w:tcW w:w="1308" w:type="pct"/>
            <w:vAlign w:val="center"/>
          </w:tcPr>
          <w:p w14:paraId="2EEDD41F" w14:textId="77777777" w:rsidR="007639FB" w:rsidRPr="007D379A" w:rsidRDefault="007639FB" w:rsidP="00A81E3A">
            <w:pPr>
              <w:autoSpaceDE w:val="0"/>
              <w:autoSpaceDN w:val="0"/>
              <w:spacing w:before="62"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Programme</w:t>
            </w:r>
          </w:p>
        </w:tc>
        <w:tc>
          <w:tcPr>
            <w:tcW w:w="3692" w:type="pct"/>
            <w:gridSpan w:val="2"/>
            <w:vAlign w:val="center"/>
          </w:tcPr>
          <w:p w14:paraId="74EF6F51" w14:textId="77777777" w:rsidR="007639FB" w:rsidRPr="007D379A" w:rsidRDefault="007639FB" w:rsidP="00A81E3A">
            <w:pPr>
              <w:autoSpaceDE w:val="0"/>
              <w:autoSpaceDN w:val="0"/>
              <w:spacing w:after="0" w:line="240" w:lineRule="auto"/>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 xml:space="preserve"> Bachelor of Accounting (BA)</w:t>
            </w:r>
          </w:p>
        </w:tc>
      </w:tr>
      <w:tr w:rsidR="007639FB" w:rsidRPr="007D379A" w14:paraId="5C8C874A" w14:textId="77777777" w:rsidTr="00A81E3A">
        <w:trPr>
          <w:trHeight w:val="361"/>
        </w:trPr>
        <w:tc>
          <w:tcPr>
            <w:tcW w:w="1308" w:type="pct"/>
            <w:vAlign w:val="center"/>
          </w:tcPr>
          <w:p w14:paraId="13757B4E" w14:textId="77777777" w:rsidR="007639FB" w:rsidRPr="007D379A" w:rsidRDefault="007639FB" w:rsidP="00A81E3A">
            <w:pPr>
              <w:autoSpaceDE w:val="0"/>
              <w:autoSpaceDN w:val="0"/>
              <w:spacing w:before="60"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Module Title</w:t>
            </w:r>
          </w:p>
        </w:tc>
        <w:tc>
          <w:tcPr>
            <w:tcW w:w="3692" w:type="pct"/>
            <w:gridSpan w:val="2"/>
            <w:vAlign w:val="center"/>
          </w:tcPr>
          <w:p w14:paraId="1D082552" w14:textId="77777777" w:rsidR="007639FB" w:rsidRPr="007D379A" w:rsidRDefault="007639FB" w:rsidP="00A81E3A">
            <w:pPr>
              <w:autoSpaceDE w:val="0"/>
              <w:autoSpaceDN w:val="0"/>
              <w:spacing w:after="0" w:line="240" w:lineRule="auto"/>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 xml:space="preserve"> FYP </w:t>
            </w:r>
            <w:r>
              <w:rPr>
                <w:rFonts w:ascii="Verdana" w:eastAsia="Verdana" w:hAnsi="Verdana" w:cs="Verdana"/>
                <w:kern w:val="0"/>
                <w:sz w:val="20"/>
                <w:szCs w:val="22"/>
                <w:lang w:eastAsia="en-US"/>
                <w14:ligatures w14:val="none"/>
              </w:rPr>
              <w:t>-</w:t>
            </w:r>
            <w:r w:rsidRPr="007D379A">
              <w:rPr>
                <w:rFonts w:ascii="Verdana" w:eastAsia="Verdana" w:hAnsi="Verdana" w:cs="Verdana"/>
                <w:kern w:val="0"/>
                <w:sz w:val="20"/>
                <w:szCs w:val="22"/>
                <w:lang w:eastAsia="en-US"/>
                <w14:ligatures w14:val="none"/>
              </w:rPr>
              <w:t xml:space="preserve"> ACCOUNTING</w:t>
            </w:r>
          </w:p>
        </w:tc>
      </w:tr>
      <w:tr w:rsidR="007639FB" w:rsidRPr="007D379A" w14:paraId="3AAD26A7" w14:textId="77777777" w:rsidTr="00A81E3A">
        <w:trPr>
          <w:trHeight w:val="364"/>
        </w:trPr>
        <w:tc>
          <w:tcPr>
            <w:tcW w:w="1308" w:type="pct"/>
            <w:vAlign w:val="center"/>
          </w:tcPr>
          <w:p w14:paraId="162F0D2F" w14:textId="77777777" w:rsidR="007639FB" w:rsidRPr="007D379A" w:rsidRDefault="007639FB" w:rsidP="00A81E3A">
            <w:pPr>
              <w:autoSpaceDE w:val="0"/>
              <w:autoSpaceDN w:val="0"/>
              <w:spacing w:before="62"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Module Code</w:t>
            </w:r>
          </w:p>
        </w:tc>
        <w:tc>
          <w:tcPr>
            <w:tcW w:w="3692" w:type="pct"/>
            <w:gridSpan w:val="2"/>
            <w:vAlign w:val="center"/>
          </w:tcPr>
          <w:p w14:paraId="26197BBF" w14:textId="77777777" w:rsidR="007639FB" w:rsidRPr="007D379A" w:rsidRDefault="007639FB" w:rsidP="00A81E3A">
            <w:pPr>
              <w:autoSpaceDE w:val="0"/>
              <w:autoSpaceDN w:val="0"/>
              <w:spacing w:after="0" w:line="240" w:lineRule="auto"/>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 xml:space="preserve"> ACC304</w:t>
            </w:r>
          </w:p>
        </w:tc>
      </w:tr>
      <w:tr w:rsidR="007639FB" w:rsidRPr="007D379A" w14:paraId="5D87C079" w14:textId="77777777" w:rsidTr="00A81E3A">
        <w:trPr>
          <w:trHeight w:val="362"/>
        </w:trPr>
        <w:tc>
          <w:tcPr>
            <w:tcW w:w="1308" w:type="pct"/>
            <w:vAlign w:val="center"/>
          </w:tcPr>
          <w:p w14:paraId="1FB0AD76" w14:textId="77777777" w:rsidR="007639FB" w:rsidRPr="007D379A" w:rsidRDefault="007639FB" w:rsidP="00A81E3A">
            <w:pPr>
              <w:autoSpaceDE w:val="0"/>
              <w:autoSpaceDN w:val="0"/>
              <w:spacing w:before="60"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Assignment Title</w:t>
            </w:r>
          </w:p>
        </w:tc>
        <w:tc>
          <w:tcPr>
            <w:tcW w:w="3692" w:type="pct"/>
            <w:gridSpan w:val="2"/>
            <w:vAlign w:val="center"/>
          </w:tcPr>
          <w:p w14:paraId="57FB44B5" w14:textId="2EA7FF5E" w:rsidR="007639FB" w:rsidRPr="007D379A" w:rsidRDefault="007639FB" w:rsidP="00A81E3A">
            <w:pPr>
              <w:autoSpaceDE w:val="0"/>
              <w:autoSpaceDN w:val="0"/>
              <w:spacing w:after="0" w:line="240" w:lineRule="auto"/>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 xml:space="preserve"> CASE </w:t>
            </w:r>
            <w:r>
              <w:rPr>
                <w:rFonts w:ascii="Verdana" w:hAnsi="Verdana" w:cs="Verdana" w:hint="eastAsia"/>
                <w:kern w:val="0"/>
                <w:sz w:val="20"/>
                <w:szCs w:val="22"/>
                <w14:ligatures w14:val="none"/>
              </w:rPr>
              <w:t>B</w:t>
            </w:r>
            <w:r w:rsidRPr="007D379A">
              <w:rPr>
                <w:rFonts w:ascii="Verdana" w:eastAsia="Verdana" w:hAnsi="Verdana" w:cs="Verdana"/>
                <w:kern w:val="0"/>
                <w:sz w:val="20"/>
                <w:szCs w:val="22"/>
                <w:lang w:eastAsia="en-US"/>
                <w14:ligatures w14:val="none"/>
              </w:rPr>
              <w:t xml:space="preserve"> REPORT</w:t>
            </w:r>
          </w:p>
        </w:tc>
      </w:tr>
      <w:tr w:rsidR="007639FB" w:rsidRPr="007D379A" w14:paraId="1CD952AB" w14:textId="77777777" w:rsidTr="00A81E3A">
        <w:trPr>
          <w:trHeight w:val="364"/>
        </w:trPr>
        <w:tc>
          <w:tcPr>
            <w:tcW w:w="1308" w:type="pct"/>
            <w:vAlign w:val="center"/>
          </w:tcPr>
          <w:p w14:paraId="3BEFD14D" w14:textId="77777777" w:rsidR="007639FB" w:rsidRPr="007D379A" w:rsidRDefault="007639FB" w:rsidP="00A81E3A">
            <w:pPr>
              <w:autoSpaceDE w:val="0"/>
              <w:autoSpaceDN w:val="0"/>
              <w:spacing w:before="60"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Submission Deadline</w:t>
            </w:r>
          </w:p>
        </w:tc>
        <w:tc>
          <w:tcPr>
            <w:tcW w:w="3692" w:type="pct"/>
            <w:gridSpan w:val="2"/>
            <w:vAlign w:val="center"/>
          </w:tcPr>
          <w:p w14:paraId="7A3D4DA9" w14:textId="77777777" w:rsidR="007639FB" w:rsidRPr="007D379A" w:rsidRDefault="007639FB" w:rsidP="00A81E3A">
            <w:pPr>
              <w:autoSpaceDE w:val="0"/>
              <w:autoSpaceDN w:val="0"/>
              <w:spacing w:after="0" w:line="240" w:lineRule="auto"/>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 xml:space="preserve"> MAY 31</w:t>
            </w:r>
            <w:r w:rsidRPr="007D379A">
              <w:rPr>
                <w:rFonts w:ascii="Verdana" w:eastAsia="Verdana" w:hAnsi="Verdana" w:cs="Verdana"/>
                <w:kern w:val="0"/>
                <w:sz w:val="20"/>
                <w:szCs w:val="22"/>
                <w:vertAlign w:val="superscript"/>
                <w:lang w:eastAsia="en-US"/>
                <w14:ligatures w14:val="none"/>
              </w:rPr>
              <w:t>st</w:t>
            </w:r>
            <w:r w:rsidRPr="007D379A">
              <w:rPr>
                <w:rFonts w:ascii="Verdana" w:eastAsia="Verdana" w:hAnsi="Verdana" w:cs="Verdana"/>
                <w:kern w:val="0"/>
                <w:sz w:val="20"/>
                <w:szCs w:val="22"/>
                <w:lang w:eastAsia="en-US"/>
                <w14:ligatures w14:val="none"/>
              </w:rPr>
              <w:t>, 2026</w:t>
            </w:r>
          </w:p>
        </w:tc>
      </w:tr>
      <w:tr w:rsidR="007639FB" w:rsidRPr="007D379A" w14:paraId="0383A304" w14:textId="77777777" w:rsidTr="00A81E3A">
        <w:trPr>
          <w:trHeight w:val="359"/>
        </w:trPr>
        <w:tc>
          <w:tcPr>
            <w:tcW w:w="1308" w:type="pct"/>
            <w:vAlign w:val="center"/>
          </w:tcPr>
          <w:p w14:paraId="584530C7" w14:textId="77777777" w:rsidR="007639FB" w:rsidRPr="007D379A" w:rsidRDefault="007639FB" w:rsidP="00A81E3A">
            <w:pPr>
              <w:autoSpaceDE w:val="0"/>
              <w:autoSpaceDN w:val="0"/>
              <w:spacing w:before="60"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Module Leader</w:t>
            </w:r>
          </w:p>
        </w:tc>
        <w:tc>
          <w:tcPr>
            <w:tcW w:w="3692" w:type="pct"/>
            <w:gridSpan w:val="2"/>
            <w:vAlign w:val="center"/>
          </w:tcPr>
          <w:p w14:paraId="716D2725" w14:textId="77777777" w:rsidR="007639FB" w:rsidRPr="007D379A" w:rsidRDefault="007639FB" w:rsidP="00A81E3A">
            <w:pPr>
              <w:autoSpaceDE w:val="0"/>
              <w:autoSpaceDN w:val="0"/>
              <w:spacing w:after="0" w:line="240" w:lineRule="auto"/>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 xml:space="preserve"> Mohamed Omran</w:t>
            </w:r>
          </w:p>
        </w:tc>
      </w:tr>
    </w:tbl>
    <w:p w14:paraId="6C118B92" w14:textId="77777777" w:rsidR="007639FB" w:rsidRPr="007D379A" w:rsidRDefault="007639FB" w:rsidP="007639FB">
      <w:pPr>
        <w:autoSpaceDE w:val="0"/>
        <w:autoSpaceDN w:val="0"/>
        <w:spacing w:before="8" w:after="0" w:line="240" w:lineRule="auto"/>
        <w:rPr>
          <w:rFonts w:ascii="Verdana" w:eastAsia="Verdana" w:hAnsi="Verdana" w:cs="Verdana"/>
          <w:kern w:val="0"/>
          <w:sz w:val="21"/>
          <w:szCs w:val="20"/>
          <w:lang w:eastAsia="en-US"/>
          <w14:ligatures w14:val="none"/>
        </w:rPr>
      </w:pPr>
    </w:p>
    <w:p w14:paraId="782445F0" w14:textId="77777777" w:rsidR="007639FB" w:rsidRPr="007D379A" w:rsidRDefault="007639FB" w:rsidP="007639FB">
      <w:pPr>
        <w:rPr>
          <w:rFonts w:ascii="Verdana" w:hAnsi="Verdana"/>
          <w:sz w:val="15"/>
          <w:szCs w:val="15"/>
          <w:lang w:eastAsia="en-US"/>
        </w:rPr>
      </w:pPr>
      <w:r w:rsidRPr="007D379A">
        <w:rPr>
          <w:rFonts w:ascii="Verdana" w:hAnsi="Verdana"/>
          <w:sz w:val="15"/>
          <w:szCs w:val="15"/>
          <w:lang w:eastAsia="en-US"/>
        </w:rPr>
        <w:t>By uploading or submitting this coursework submission cover sheet, I certify the following:</w:t>
      </w:r>
    </w:p>
    <w:p w14:paraId="229C0997" w14:textId="6C383CCA" w:rsidR="007639FB" w:rsidRPr="007D379A" w:rsidRDefault="007639FB" w:rsidP="007639FB">
      <w:pPr>
        <w:pStyle w:val="a9"/>
        <w:numPr>
          <w:ilvl w:val="0"/>
          <w:numId w:val="1"/>
        </w:numPr>
        <w:rPr>
          <w:rFonts w:ascii="Verdana" w:hAnsi="Verdana"/>
          <w:sz w:val="15"/>
          <w:szCs w:val="15"/>
          <w:lang w:eastAsia="en-US"/>
        </w:rPr>
      </w:pPr>
      <w:r w:rsidRPr="007D379A">
        <w:rPr>
          <w:rFonts w:ascii="Verdana" w:hAnsi="Verdana"/>
          <w:sz w:val="15"/>
          <w:szCs w:val="15"/>
          <w:lang w:eastAsia="en-US"/>
        </w:rPr>
        <w:t>I have read and understood the definitions of collusion, copying, plagiarism, dishonest use of data, and academic offences involving Artificial Intelligence (AI) as outlined in the Academic Integrity Policy of Xi</w:t>
      </w:r>
      <w:r w:rsidR="00AF0505">
        <w:rPr>
          <w:rFonts w:ascii="Verdana" w:hAnsi="Verdana"/>
          <w:sz w:val="15"/>
          <w:szCs w:val="15"/>
          <w:lang w:eastAsia="en-US"/>
        </w:rPr>
        <w:t>’</w:t>
      </w:r>
      <w:r w:rsidRPr="007D379A">
        <w:rPr>
          <w:rFonts w:ascii="Verdana" w:hAnsi="Verdana"/>
          <w:sz w:val="15"/>
          <w:szCs w:val="15"/>
          <w:lang w:eastAsia="en-US"/>
        </w:rPr>
        <w:t xml:space="preserve">an </w:t>
      </w:r>
      <w:proofErr w:type="spellStart"/>
      <w:r w:rsidRPr="007D379A">
        <w:rPr>
          <w:rFonts w:ascii="Verdana" w:hAnsi="Verdana"/>
          <w:sz w:val="15"/>
          <w:szCs w:val="15"/>
          <w:lang w:eastAsia="en-US"/>
        </w:rPr>
        <w:t>Jiaotong</w:t>
      </w:r>
      <w:proofErr w:type="spellEnd"/>
      <w:r>
        <w:rPr>
          <w:rFonts w:ascii="Verdana" w:hAnsi="Verdana"/>
          <w:sz w:val="15"/>
          <w:szCs w:val="15"/>
          <w:lang w:eastAsia="en-US"/>
        </w:rPr>
        <w:t>-</w:t>
      </w:r>
      <w:r w:rsidRPr="007D379A">
        <w:rPr>
          <w:rFonts w:ascii="Verdana" w:hAnsi="Verdana"/>
          <w:sz w:val="15"/>
          <w:szCs w:val="15"/>
          <w:lang w:eastAsia="en-US"/>
        </w:rPr>
        <w:t>Liverpool University.</w:t>
      </w:r>
    </w:p>
    <w:p w14:paraId="5728B401" w14:textId="77777777" w:rsidR="007639FB" w:rsidRPr="007D379A" w:rsidRDefault="007639FB" w:rsidP="007639FB">
      <w:pPr>
        <w:pStyle w:val="a9"/>
        <w:numPr>
          <w:ilvl w:val="0"/>
          <w:numId w:val="1"/>
        </w:numPr>
        <w:rPr>
          <w:rFonts w:ascii="Verdana" w:hAnsi="Verdana"/>
          <w:sz w:val="15"/>
          <w:szCs w:val="15"/>
          <w:lang w:eastAsia="en-US"/>
        </w:rPr>
      </w:pPr>
      <w:r w:rsidRPr="007D379A">
        <w:rPr>
          <w:rFonts w:ascii="Verdana" w:hAnsi="Verdana"/>
          <w:sz w:val="15"/>
          <w:szCs w:val="15"/>
          <w:lang w:eastAsia="en-US"/>
        </w:rPr>
        <w:t>This work is my own, original work produced specifically for this assignment. It does not misrepresent the work of another person or institution, nor does it present the work generated by AI as my own. Additionally, it is a submission that has not been previously published, or submitted to another module.</w:t>
      </w:r>
    </w:p>
    <w:p w14:paraId="4F8E7583" w14:textId="77777777" w:rsidR="007639FB" w:rsidRPr="007D379A" w:rsidRDefault="007639FB" w:rsidP="007639FB">
      <w:pPr>
        <w:pStyle w:val="a9"/>
        <w:numPr>
          <w:ilvl w:val="0"/>
          <w:numId w:val="1"/>
        </w:numPr>
        <w:rPr>
          <w:rFonts w:ascii="Verdana" w:hAnsi="Verdana"/>
          <w:sz w:val="15"/>
          <w:szCs w:val="15"/>
          <w:lang w:eastAsia="en-US"/>
        </w:rPr>
      </w:pPr>
      <w:r w:rsidRPr="007D379A">
        <w:rPr>
          <w:rFonts w:ascii="Verdana" w:hAnsi="Verdana"/>
          <w:sz w:val="15"/>
          <w:szCs w:val="15"/>
          <w:lang w:eastAsia="en-US"/>
        </w:rPr>
        <w:t>This work is not the product of unauthorized collaboration between myself and others.</w:t>
      </w:r>
    </w:p>
    <w:p w14:paraId="273EF2B1" w14:textId="77777777" w:rsidR="007639FB" w:rsidRPr="007D379A" w:rsidRDefault="007639FB" w:rsidP="007639FB">
      <w:pPr>
        <w:pStyle w:val="a9"/>
        <w:numPr>
          <w:ilvl w:val="0"/>
          <w:numId w:val="1"/>
        </w:numPr>
        <w:rPr>
          <w:rFonts w:ascii="Verdana" w:hAnsi="Verdana"/>
          <w:sz w:val="15"/>
          <w:szCs w:val="15"/>
          <w:lang w:eastAsia="en-US"/>
        </w:rPr>
      </w:pPr>
      <w:r w:rsidRPr="007D379A">
        <w:rPr>
          <w:rFonts w:ascii="Verdana" w:hAnsi="Verdana"/>
          <w:sz w:val="15"/>
          <w:szCs w:val="15"/>
          <w:lang w:eastAsia="en-US"/>
        </w:rPr>
        <w:t>This work is free of embellished or fabricated data.</w:t>
      </w:r>
    </w:p>
    <w:p w14:paraId="34F12A72" w14:textId="77777777" w:rsidR="007639FB" w:rsidRPr="007D379A" w:rsidRDefault="007639FB" w:rsidP="007639FB">
      <w:pPr>
        <w:rPr>
          <w:rFonts w:ascii="Verdana" w:hAnsi="Verdana"/>
          <w:sz w:val="15"/>
          <w:szCs w:val="15"/>
        </w:rPr>
      </w:pPr>
      <w:r w:rsidRPr="007D379A">
        <w:rPr>
          <w:rFonts w:ascii="Verdana" w:hAnsi="Verdana"/>
          <w:sz w:val="15"/>
          <w:szCs w:val="15"/>
          <w:lang w:eastAsia="en-US"/>
        </w:rPr>
        <w:t>I understand that collusion, copying, plagiarism, dishonest use of data, academic offences involving AI, and submitting procured work are serious academic misconduct. By uploading or submitting this cover sheet, I acknowledge that I am subject to disciplinary action if I am found to have committed such acts.</w:t>
      </w:r>
    </w:p>
    <w:p w14:paraId="22F62F75" w14:textId="77777777" w:rsidR="007639FB" w:rsidRPr="007D379A" w:rsidRDefault="007639FB" w:rsidP="007639FB">
      <w:pPr>
        <w:tabs>
          <w:tab w:val="left" w:pos="5378"/>
        </w:tabs>
        <w:autoSpaceDE w:val="0"/>
        <w:autoSpaceDN w:val="0"/>
        <w:spacing w:before="1" w:after="0" w:line="240" w:lineRule="auto"/>
        <w:ind w:left="340"/>
        <w:rPr>
          <w:rFonts w:ascii="Verdana" w:hAnsi="Verdana" w:cs="Verdana"/>
          <w:kern w:val="0"/>
          <w:sz w:val="20"/>
          <w:szCs w:val="22"/>
          <w14:ligatures w14:val="none"/>
        </w:rPr>
      </w:pPr>
      <w:r w:rsidRPr="007D379A">
        <w:rPr>
          <w:rFonts w:ascii="Verdana" w:eastAsia="Verdana" w:hAnsi="Verdana" w:cs="Verdana"/>
          <w:kern w:val="0"/>
          <w:sz w:val="20"/>
          <w:szCs w:val="22"/>
          <w:lang w:eastAsia="en-US"/>
          <w14:ligatures w14:val="none"/>
        </w:rPr>
        <w:t>Signature</w:t>
      </w:r>
      <w:r w:rsidRPr="007D379A">
        <w:rPr>
          <w:rFonts w:ascii="Verdana" w:eastAsia="Verdana" w:hAnsi="Verdana" w:cs="Verdana"/>
          <w:spacing w:val="-19"/>
          <w:kern w:val="0"/>
          <w:sz w:val="20"/>
          <w:szCs w:val="22"/>
          <w:lang w:eastAsia="en-US"/>
          <w14:ligatures w14:val="none"/>
        </w:rPr>
        <w:t xml:space="preserve"> </w:t>
      </w:r>
      <w:r w:rsidRPr="007D379A">
        <w:rPr>
          <w:rFonts w:ascii="Verdana" w:eastAsia="Verdana" w:hAnsi="Verdana" w:cs="Verdana"/>
          <w:kern w:val="0"/>
          <w:sz w:val="20"/>
          <w:szCs w:val="22"/>
          <w:lang w:eastAsia="en-US"/>
          <w14:ligatures w14:val="none"/>
        </w:rPr>
        <w:t>………</w:t>
      </w:r>
      <w:r w:rsidRPr="007D379A">
        <w:rPr>
          <w:rFonts w:ascii="Verdana" w:hAnsi="Verdana" w:cs="Verdana"/>
          <w:kern w:val="0"/>
          <w:sz w:val="20"/>
          <w:szCs w:val="22"/>
          <w14:ligatures w14:val="none"/>
        </w:rPr>
        <w:t>Jingwei Liu</w:t>
      </w:r>
      <w:r w:rsidRPr="007D379A">
        <w:rPr>
          <w:rFonts w:ascii="Verdana" w:eastAsia="Verdana" w:hAnsi="Verdana" w:cs="Verdana"/>
          <w:kern w:val="0"/>
          <w:sz w:val="20"/>
          <w:szCs w:val="22"/>
          <w:lang w:eastAsia="en-US"/>
          <w14:ligatures w14:val="none"/>
        </w:rPr>
        <w:t>…………………</w:t>
      </w:r>
      <w:r w:rsidRPr="007D379A">
        <w:rPr>
          <w:rFonts w:ascii="Verdana" w:eastAsia="Verdana" w:hAnsi="Verdana" w:cs="Verdana"/>
          <w:kern w:val="0"/>
          <w:sz w:val="20"/>
          <w:szCs w:val="22"/>
          <w:lang w:eastAsia="en-US"/>
          <w14:ligatures w14:val="none"/>
        </w:rPr>
        <w:tab/>
        <w:t>Date</w:t>
      </w:r>
      <w:r w:rsidRPr="007D379A">
        <w:rPr>
          <w:rFonts w:ascii="Verdana" w:eastAsia="Verdana" w:hAnsi="Verdana" w:cs="Verdana"/>
          <w:spacing w:val="-9"/>
          <w:kern w:val="0"/>
          <w:sz w:val="20"/>
          <w:szCs w:val="22"/>
          <w:lang w:eastAsia="en-US"/>
          <w14:ligatures w14:val="none"/>
        </w:rPr>
        <w:t xml:space="preserve"> </w:t>
      </w:r>
      <w:r w:rsidRPr="007D379A">
        <w:rPr>
          <w:rFonts w:ascii="Verdana" w:eastAsia="Verdana" w:hAnsi="Verdana" w:cs="Verdana"/>
          <w:kern w:val="0"/>
          <w:sz w:val="20"/>
          <w:szCs w:val="22"/>
          <w:lang w:eastAsia="en-US"/>
          <w14:ligatures w14:val="none"/>
        </w:rPr>
        <w:t>……</w:t>
      </w:r>
      <w:r w:rsidRPr="007D379A">
        <w:rPr>
          <w:rFonts w:ascii="Verdana" w:eastAsia="Verdana" w:hAnsi="Verdana" w:cs="Verdana"/>
          <w:iCs/>
          <w:kern w:val="0"/>
          <w:sz w:val="20"/>
          <w:szCs w:val="22"/>
          <w:lang w:eastAsia="en-US"/>
          <w14:ligatures w14:val="none"/>
        </w:rPr>
        <w:t>…</w:t>
      </w:r>
      <w:r w:rsidRPr="007D379A">
        <w:rPr>
          <w:rFonts w:ascii="Verdana" w:hAnsi="Verdana" w:cs="Verdana"/>
          <w:iCs/>
          <w:kern w:val="0"/>
          <w:sz w:val="20"/>
          <w:szCs w:val="22"/>
          <w14:ligatures w14:val="none"/>
        </w:rPr>
        <w:t>2026/5/31</w:t>
      </w:r>
      <w:r w:rsidRPr="007D379A">
        <w:rPr>
          <w:rFonts w:ascii="Verdana" w:eastAsia="Verdana" w:hAnsi="Verdana" w:cs="Verdana"/>
          <w:iCs/>
          <w:kern w:val="0"/>
          <w:sz w:val="20"/>
          <w:szCs w:val="22"/>
          <w:lang w:eastAsia="en-US"/>
          <w14:ligatures w14:val="none"/>
        </w:rPr>
        <w:t>……</w:t>
      </w:r>
      <w:r w:rsidRPr="007D379A">
        <w:rPr>
          <w:rFonts w:ascii="Verdana" w:eastAsia="Verdana" w:hAnsi="Verdana" w:cs="Verdana"/>
          <w:kern w:val="0"/>
          <w:sz w:val="20"/>
          <w:szCs w:val="22"/>
          <w:lang w:eastAsia="en-US"/>
          <w14:ligatures w14:val="none"/>
        </w:rPr>
        <w:t>……………</w:t>
      </w:r>
    </w:p>
    <w:p w14:paraId="59875F63" w14:textId="77777777" w:rsidR="007639FB" w:rsidRPr="007D379A" w:rsidRDefault="007639FB" w:rsidP="007639FB">
      <w:pPr>
        <w:autoSpaceDE w:val="0"/>
        <w:autoSpaceDN w:val="0"/>
        <w:spacing w:before="1" w:after="0" w:line="240" w:lineRule="auto"/>
        <w:rPr>
          <w:rFonts w:ascii="Verdana" w:eastAsia="Verdana" w:hAnsi="Verdana" w:cs="Verdana"/>
          <w:kern w:val="0"/>
          <w:sz w:val="12"/>
          <w:szCs w:val="20"/>
          <w:lang w:eastAsia="en-US"/>
          <w14:ligatures w14:val="none"/>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75"/>
        <w:gridCol w:w="2207"/>
        <w:gridCol w:w="2301"/>
        <w:gridCol w:w="2877"/>
      </w:tblGrid>
      <w:tr w:rsidR="007639FB" w:rsidRPr="007D379A" w14:paraId="76B5A408" w14:textId="77777777" w:rsidTr="00A81E3A">
        <w:trPr>
          <w:trHeight w:val="484"/>
          <w:jc w:val="center"/>
        </w:trPr>
        <w:tc>
          <w:tcPr>
            <w:tcW w:w="924" w:type="pct"/>
            <w:vMerge w:val="restart"/>
          </w:tcPr>
          <w:p w14:paraId="39634889" w14:textId="77777777" w:rsidR="007639FB" w:rsidRPr="007D379A" w:rsidRDefault="007639FB" w:rsidP="00A81E3A">
            <w:pPr>
              <w:autoSpaceDE w:val="0"/>
              <w:autoSpaceDN w:val="0"/>
              <w:spacing w:before="122" w:after="0" w:line="240" w:lineRule="auto"/>
              <w:ind w:left="213" w:right="165"/>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For Academic Office use:</w:t>
            </w:r>
          </w:p>
        </w:tc>
        <w:tc>
          <w:tcPr>
            <w:tcW w:w="1218" w:type="pct"/>
          </w:tcPr>
          <w:p w14:paraId="30E27501" w14:textId="77777777" w:rsidR="007639FB" w:rsidRPr="007D379A" w:rsidRDefault="007639FB" w:rsidP="00A81E3A">
            <w:pPr>
              <w:autoSpaceDE w:val="0"/>
              <w:autoSpaceDN w:val="0"/>
              <w:spacing w:before="122" w:after="0" w:line="240" w:lineRule="auto"/>
              <w:ind w:firstLineChars="100" w:firstLine="200"/>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Date Received</w:t>
            </w:r>
          </w:p>
        </w:tc>
        <w:tc>
          <w:tcPr>
            <w:tcW w:w="1270" w:type="pct"/>
          </w:tcPr>
          <w:p w14:paraId="7AAF7AE8" w14:textId="77777777" w:rsidR="007639FB" w:rsidRPr="007D379A" w:rsidRDefault="007639FB" w:rsidP="00A81E3A">
            <w:pPr>
              <w:autoSpaceDE w:val="0"/>
              <w:autoSpaceDN w:val="0"/>
              <w:spacing w:before="122"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Working Days Late</w:t>
            </w:r>
          </w:p>
        </w:tc>
        <w:tc>
          <w:tcPr>
            <w:tcW w:w="1588" w:type="pct"/>
          </w:tcPr>
          <w:p w14:paraId="390B046D" w14:textId="77777777" w:rsidR="007639FB" w:rsidRPr="007D379A" w:rsidRDefault="007639FB" w:rsidP="00A81E3A">
            <w:pPr>
              <w:autoSpaceDE w:val="0"/>
              <w:autoSpaceDN w:val="0"/>
              <w:spacing w:before="122" w:after="0" w:line="240" w:lineRule="auto"/>
              <w:ind w:left="913" w:right="893"/>
              <w:jc w:val="center"/>
              <w:rPr>
                <w:rFonts w:ascii="Verdana" w:hAnsi="Verdana" w:cs="Verdana"/>
                <w:kern w:val="0"/>
                <w:sz w:val="13"/>
                <w:szCs w:val="22"/>
                <w14:ligatures w14:val="none"/>
              </w:rPr>
            </w:pPr>
            <w:r w:rsidRPr="007D379A">
              <w:rPr>
                <w:rFonts w:ascii="Verdana" w:eastAsia="Verdana" w:hAnsi="Verdana" w:cs="Verdana"/>
                <w:kern w:val="0"/>
                <w:sz w:val="20"/>
                <w:szCs w:val="22"/>
                <w:lang w:eastAsia="en-US"/>
                <w14:ligatures w14:val="none"/>
              </w:rPr>
              <w:t>Penalty</w:t>
            </w:r>
            <w:hyperlink w:anchor="_bookmark0" w:history="1">
              <w:r w:rsidRPr="007D379A">
                <w:rPr>
                  <w:rFonts w:ascii="Verdana" w:eastAsia="Verdana" w:hAnsi="Verdana" w:cs="Verdana"/>
                  <w:kern w:val="0"/>
                  <w:position w:val="7"/>
                  <w:sz w:val="13"/>
                  <w:szCs w:val="22"/>
                  <w:lang w:eastAsia="en-US"/>
                  <w14:ligatures w14:val="none"/>
                </w:rPr>
                <w:t>1</w:t>
              </w:r>
            </w:hyperlink>
          </w:p>
        </w:tc>
      </w:tr>
      <w:tr w:rsidR="007639FB" w:rsidRPr="007D379A" w14:paraId="77753B59" w14:textId="77777777" w:rsidTr="00A81E3A">
        <w:trPr>
          <w:trHeight w:val="481"/>
          <w:jc w:val="center"/>
        </w:trPr>
        <w:tc>
          <w:tcPr>
            <w:tcW w:w="924" w:type="pct"/>
            <w:vMerge/>
            <w:tcBorders>
              <w:top w:val="nil"/>
            </w:tcBorders>
          </w:tcPr>
          <w:p w14:paraId="3162D053" w14:textId="77777777" w:rsidR="007639FB" w:rsidRPr="007D379A" w:rsidRDefault="007639FB" w:rsidP="00A81E3A">
            <w:pPr>
              <w:autoSpaceDE w:val="0"/>
              <w:autoSpaceDN w:val="0"/>
              <w:spacing w:after="0" w:line="240" w:lineRule="auto"/>
              <w:rPr>
                <w:rFonts w:ascii="Verdana" w:eastAsia="Verdana" w:hAnsi="Verdana" w:cs="Verdana"/>
                <w:kern w:val="0"/>
                <w:sz w:val="2"/>
                <w:szCs w:val="2"/>
                <w:lang w:eastAsia="en-US"/>
                <w14:ligatures w14:val="none"/>
              </w:rPr>
            </w:pPr>
          </w:p>
        </w:tc>
        <w:tc>
          <w:tcPr>
            <w:tcW w:w="1218" w:type="pct"/>
          </w:tcPr>
          <w:p w14:paraId="36DEDF16" w14:textId="77777777" w:rsidR="007639FB" w:rsidRPr="007D379A" w:rsidRDefault="007639FB" w:rsidP="00A81E3A">
            <w:pPr>
              <w:autoSpaceDE w:val="0"/>
              <w:autoSpaceDN w:val="0"/>
              <w:spacing w:after="0" w:line="240" w:lineRule="auto"/>
              <w:rPr>
                <w:rFonts w:ascii="Verdana" w:eastAsia="Verdana" w:hAnsi="Verdana" w:cs="Verdana"/>
                <w:kern w:val="0"/>
                <w:sz w:val="20"/>
                <w:szCs w:val="22"/>
                <w:lang w:eastAsia="en-US"/>
                <w14:ligatures w14:val="none"/>
              </w:rPr>
            </w:pPr>
          </w:p>
        </w:tc>
        <w:tc>
          <w:tcPr>
            <w:tcW w:w="1270" w:type="pct"/>
          </w:tcPr>
          <w:p w14:paraId="1F212E27" w14:textId="77777777" w:rsidR="007639FB" w:rsidRPr="007D379A" w:rsidRDefault="007639FB" w:rsidP="00A81E3A">
            <w:pPr>
              <w:autoSpaceDE w:val="0"/>
              <w:autoSpaceDN w:val="0"/>
              <w:spacing w:after="0" w:line="240" w:lineRule="auto"/>
              <w:rPr>
                <w:rFonts w:ascii="Verdana" w:eastAsia="Verdana" w:hAnsi="Verdana" w:cs="Verdana"/>
                <w:kern w:val="0"/>
                <w:sz w:val="20"/>
                <w:szCs w:val="22"/>
                <w:lang w:eastAsia="en-US"/>
                <w14:ligatures w14:val="none"/>
              </w:rPr>
            </w:pPr>
          </w:p>
        </w:tc>
        <w:tc>
          <w:tcPr>
            <w:tcW w:w="1588" w:type="pct"/>
          </w:tcPr>
          <w:p w14:paraId="56F45BDE" w14:textId="77777777" w:rsidR="007639FB" w:rsidRPr="007D379A" w:rsidRDefault="007639FB" w:rsidP="00A81E3A">
            <w:pPr>
              <w:autoSpaceDE w:val="0"/>
              <w:autoSpaceDN w:val="0"/>
              <w:spacing w:after="0" w:line="240" w:lineRule="auto"/>
              <w:rPr>
                <w:rFonts w:ascii="Verdana" w:eastAsia="Verdana" w:hAnsi="Verdana" w:cs="Verdana"/>
                <w:kern w:val="0"/>
                <w:sz w:val="20"/>
                <w:szCs w:val="22"/>
                <w:lang w:eastAsia="en-US"/>
                <w14:ligatures w14:val="none"/>
              </w:rPr>
            </w:pPr>
          </w:p>
        </w:tc>
      </w:tr>
    </w:tbl>
    <w:p w14:paraId="6772AE28" w14:textId="77777777" w:rsidR="007639FB" w:rsidRPr="007D379A" w:rsidRDefault="007639FB" w:rsidP="007639FB">
      <w:pPr>
        <w:autoSpaceDE w:val="0"/>
        <w:autoSpaceDN w:val="0"/>
        <w:spacing w:before="11" w:after="0" w:line="240" w:lineRule="auto"/>
        <w:rPr>
          <w:rFonts w:ascii="Verdana" w:hAnsi="Verdana" w:cs="Verdana"/>
          <w:kern w:val="0"/>
          <w:position w:val="7"/>
          <w:sz w:val="13"/>
          <w:szCs w:val="22"/>
          <w14:ligatures w14:val="none"/>
        </w:rPr>
      </w:pPr>
    </w:p>
    <w:p w14:paraId="359012DE" w14:textId="77777777" w:rsidR="007639FB" w:rsidRPr="007D379A" w:rsidRDefault="007639FB" w:rsidP="007639FB">
      <w:pPr>
        <w:autoSpaceDE w:val="0"/>
        <w:autoSpaceDN w:val="0"/>
        <w:spacing w:before="11" w:after="0" w:line="240" w:lineRule="auto"/>
        <w:rPr>
          <w:rFonts w:ascii="Verdana" w:eastAsia="Verdana" w:hAnsi="Verdana" w:cs="Verdana"/>
          <w:kern w:val="0"/>
          <w:sz w:val="16"/>
          <w:szCs w:val="22"/>
          <w:lang w:eastAsia="en-US"/>
          <w14:ligatures w14:val="none"/>
        </w:rPr>
      </w:pPr>
      <w:r w:rsidRPr="007D379A">
        <w:rPr>
          <w:rFonts w:ascii="Verdana" w:eastAsia="Verdana" w:hAnsi="Verdana" w:cs="Verdana"/>
          <w:noProof/>
          <w:kern w:val="0"/>
          <w:sz w:val="20"/>
          <w:szCs w:val="20"/>
          <w:lang w:eastAsia="en-US"/>
          <w14:ligatures w14:val="none"/>
        </w:rPr>
        <mc:AlternateContent>
          <mc:Choice Requires="wps">
            <w:drawing>
              <wp:anchor distT="0" distB="0" distL="0" distR="0" simplePos="0" relativeHeight="251659264" behindDoc="1" locked="0" layoutInCell="1" allowOverlap="1" wp14:anchorId="73309C6C" wp14:editId="2AEDC9E8">
                <wp:simplePos x="0" y="0"/>
                <wp:positionH relativeFrom="page">
                  <wp:posOffset>850265</wp:posOffset>
                </wp:positionH>
                <wp:positionV relativeFrom="paragraph">
                  <wp:posOffset>109220</wp:posOffset>
                </wp:positionV>
                <wp:extent cx="1828800" cy="7620"/>
                <wp:effectExtent l="2540" t="3810" r="0" b="0"/>
                <wp:wrapTopAndBottom/>
                <wp:docPr id="247467266"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5DD414" id="矩形 2" o:spid="_x0000_s1026" style="position:absolute;margin-left:66.95pt;margin-top:8.6pt;width:2in;height:.6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" fillcolor="black" stroked="f">
                <w10:wrap type="topAndBottom" anchorx="page"/>
              </v:rect>
            </w:pict>
          </mc:Fallback>
        </mc:AlternateContent>
      </w:r>
      <w:bookmarkStart w:id="0" w:name="_bookmark0"/>
      <w:bookmarkEnd w:id="0"/>
      <w:r w:rsidRPr="007D379A">
        <w:rPr>
          <w:rFonts w:ascii="Verdana" w:eastAsia="Verdana" w:hAnsi="Verdana" w:cs="Verdana"/>
          <w:kern w:val="0"/>
          <w:position w:val="7"/>
          <w:sz w:val="13"/>
          <w:szCs w:val="22"/>
          <w:lang w:eastAsia="en-US"/>
          <w14:ligatures w14:val="none"/>
        </w:rPr>
        <w:t xml:space="preserve">1 </w:t>
      </w:r>
      <w:r w:rsidRPr="007D379A">
        <w:rPr>
          <w:rFonts w:ascii="Verdana" w:eastAsia="Verdana" w:hAnsi="Verdana" w:cs="Verdana"/>
          <w:kern w:val="0"/>
          <w:sz w:val="16"/>
          <w:szCs w:val="22"/>
          <w:lang w:eastAsia="en-US"/>
          <w14:ligatures w14:val="none"/>
        </w:rPr>
        <w:t>Please refer to clause 43 (</w:t>
      </w:r>
      <w:proofErr w:type="spellStart"/>
      <w:r w:rsidRPr="007D379A">
        <w:rPr>
          <w:rFonts w:ascii="Verdana" w:eastAsia="Verdana" w:hAnsi="Verdana" w:cs="Verdana"/>
          <w:kern w:val="0"/>
          <w:sz w:val="16"/>
          <w:szCs w:val="22"/>
          <w:lang w:eastAsia="en-US"/>
          <w14:ligatures w14:val="none"/>
        </w:rPr>
        <w:t>i</w:t>
      </w:r>
      <w:proofErr w:type="spellEnd"/>
      <w:r w:rsidRPr="007D379A">
        <w:rPr>
          <w:rFonts w:ascii="Verdana" w:eastAsia="Verdana" w:hAnsi="Verdana" w:cs="Verdana"/>
          <w:kern w:val="0"/>
          <w:sz w:val="16"/>
          <w:szCs w:val="22"/>
          <w:lang w:eastAsia="en-US"/>
          <w14:ligatures w14:val="none"/>
        </w:rPr>
        <w:t xml:space="preserve">), (ii) and (iii) of the Code of Practice on Assessment for the standard system of penalties for the late submission of assessment work based on </w:t>
      </w:r>
      <w:r w:rsidRPr="007D379A">
        <w:rPr>
          <w:rFonts w:ascii="Verdana" w:eastAsia="Verdana" w:hAnsi="Verdana" w:cs="Verdana"/>
          <w:b/>
          <w:kern w:val="0"/>
          <w:sz w:val="16"/>
          <w:szCs w:val="22"/>
          <w:lang w:eastAsia="en-US"/>
          <w14:ligatures w14:val="none"/>
        </w:rPr>
        <w:t>working days</w:t>
      </w:r>
      <w:r w:rsidRPr="007D379A">
        <w:rPr>
          <w:rFonts w:ascii="Verdana" w:eastAsia="Verdana" w:hAnsi="Verdana" w:cs="Verdana"/>
          <w:kern w:val="0"/>
          <w:sz w:val="16"/>
          <w:szCs w:val="22"/>
          <w:lang w:eastAsia="en-US"/>
          <w14:ligatures w14:val="none"/>
        </w:rPr>
        <w:t>.</w:t>
      </w:r>
    </w:p>
    <w:p w14:paraId="50A3CF12" w14:textId="77777777" w:rsidR="008314C9" w:rsidRPr="00843C65" w:rsidRDefault="008314C9" w:rsidP="00311959">
      <w:pPr>
        <w:tabs>
          <w:tab w:val="left" w:pos="4536"/>
        </w:tabs>
        <w:spacing w:line="360" w:lineRule="auto"/>
        <w:jc w:val="center"/>
        <w:rPr>
          <w:rFonts w:ascii="Times New Roman" w:hAnsi="Times New Roman" w:cs="Times New Roman"/>
          <w:b/>
          <w:bCs/>
          <w:sz w:val="28"/>
          <w:szCs w:val="28"/>
        </w:rPr>
      </w:pPr>
      <w:r w:rsidRPr="00843C65">
        <w:rPr>
          <w:rFonts w:ascii="Times New Roman" w:hAnsi="Times New Roman" w:cs="Times New Roman"/>
          <w:b/>
          <w:bCs/>
          <w:sz w:val="28"/>
          <w:szCs w:val="28"/>
        </w:rPr>
        <w:lastRenderedPageBreak/>
        <w:t>Table of Contents</w:t>
      </w:r>
    </w:p>
    <w:p w14:paraId="3CA01E4C" w14:textId="19B2991A" w:rsidR="00235171" w:rsidRPr="00843C65" w:rsidRDefault="0005165A" w:rsidP="00311959">
      <w:pPr>
        <w:pStyle w:val="TOC1"/>
        <w:spacing w:line="360" w:lineRule="auto"/>
      </w:pPr>
      <w:r w:rsidRPr="00843C65">
        <w:rPr>
          <w:noProof w:val="0"/>
        </w:rPr>
        <w:fldChar w:fldCharType="begin"/>
      </w:r>
      <w:r w:rsidRPr="00843C65">
        <w:rPr>
          <w:noProof w:val="0"/>
        </w:rPr>
        <w:instrText xml:space="preserve"> TOC \o "1-3" \h \z \u </w:instrText>
      </w:r>
      <w:r w:rsidRPr="00843C65">
        <w:rPr>
          <w:noProof w:val="0"/>
        </w:rPr>
        <w:fldChar w:fldCharType="separate"/>
      </w:r>
      <w:hyperlink w:anchor="_Toc229797758" w:history="1">
        <w:r w:rsidR="00235171" w:rsidRPr="00843C65">
          <w:rPr>
            <w:rStyle w:val="af3"/>
            <w:b/>
            <w:bCs/>
          </w:rPr>
          <w:t>Introduction</w:t>
        </w:r>
        <w:r w:rsidR="00235171" w:rsidRPr="00843C65">
          <w:rPr>
            <w:webHidden/>
          </w:rPr>
          <w:tab/>
        </w:r>
        <w:r w:rsidR="00235171" w:rsidRPr="00843C65">
          <w:rPr>
            <w:webHidden/>
          </w:rPr>
          <w:fldChar w:fldCharType="begin"/>
        </w:r>
        <w:r w:rsidR="00235171" w:rsidRPr="00843C65">
          <w:rPr>
            <w:webHidden/>
          </w:rPr>
          <w:instrText xml:space="preserve"> PAGEREF _Toc229797758 \h </w:instrText>
        </w:r>
        <w:r w:rsidR="00235171" w:rsidRPr="00843C65">
          <w:rPr>
            <w:webHidden/>
          </w:rPr>
        </w:r>
        <w:r w:rsidR="00235171" w:rsidRPr="00843C65">
          <w:rPr>
            <w:webHidden/>
          </w:rPr>
          <w:fldChar w:fldCharType="separate"/>
        </w:r>
        <w:r w:rsidR="00EA0349">
          <w:rPr>
            <w:webHidden/>
          </w:rPr>
          <w:t>3</w:t>
        </w:r>
        <w:r w:rsidR="00235171" w:rsidRPr="00843C65">
          <w:rPr>
            <w:webHidden/>
          </w:rPr>
          <w:fldChar w:fldCharType="end"/>
        </w:r>
      </w:hyperlink>
    </w:p>
    <w:p w14:paraId="65B71B81" w14:textId="1591ECEF" w:rsidR="00235171" w:rsidRPr="00843C65" w:rsidRDefault="00235171" w:rsidP="00311959">
      <w:pPr>
        <w:pStyle w:val="TOC1"/>
        <w:spacing w:line="360" w:lineRule="auto"/>
      </w:pPr>
      <w:hyperlink w:anchor="_Toc229797759" w:history="1">
        <w:r w:rsidRPr="00843C65">
          <w:rPr>
            <w:rStyle w:val="af3"/>
            <w:b/>
            <w:bCs/>
          </w:rPr>
          <w:t>Section 1: The Auditor</w:t>
        </w:r>
        <w:r w:rsidR="00AF0505">
          <w:rPr>
            <w:rStyle w:val="af3"/>
            <w:b/>
            <w:bCs/>
          </w:rPr>
          <w:t>’</w:t>
        </w:r>
        <w:r w:rsidRPr="00843C65">
          <w:rPr>
            <w:rStyle w:val="af3"/>
            <w:b/>
            <w:bCs/>
          </w:rPr>
          <w:t>s Evolving Responsibility in Auditing ESG Reports</w:t>
        </w:r>
        <w:r w:rsidRPr="00843C65">
          <w:rPr>
            <w:webHidden/>
          </w:rPr>
          <w:tab/>
        </w:r>
        <w:r w:rsidRPr="00843C65">
          <w:rPr>
            <w:webHidden/>
          </w:rPr>
          <w:fldChar w:fldCharType="begin"/>
        </w:r>
        <w:r w:rsidRPr="00843C65">
          <w:rPr>
            <w:webHidden/>
          </w:rPr>
          <w:instrText xml:space="preserve"> PAGEREF _Toc229797759 \h </w:instrText>
        </w:r>
        <w:r w:rsidRPr="00843C65">
          <w:rPr>
            <w:webHidden/>
          </w:rPr>
        </w:r>
        <w:r w:rsidRPr="00843C65">
          <w:rPr>
            <w:webHidden/>
          </w:rPr>
          <w:fldChar w:fldCharType="separate"/>
        </w:r>
        <w:r w:rsidR="00EA0349">
          <w:rPr>
            <w:webHidden/>
          </w:rPr>
          <w:t>4</w:t>
        </w:r>
        <w:r w:rsidRPr="00843C65">
          <w:rPr>
            <w:webHidden/>
          </w:rPr>
          <w:fldChar w:fldCharType="end"/>
        </w:r>
      </w:hyperlink>
    </w:p>
    <w:p w14:paraId="3CA71229" w14:textId="726E69FB" w:rsidR="00235171" w:rsidRPr="00843C65" w:rsidRDefault="00235171" w:rsidP="00311959">
      <w:pPr>
        <w:pStyle w:val="TOC2"/>
        <w:tabs>
          <w:tab w:val="right" w:leader="dot" w:pos="9060"/>
        </w:tabs>
        <w:spacing w:line="360" w:lineRule="auto"/>
        <w:ind w:left="440"/>
        <w:rPr>
          <w:rFonts w:ascii="Times New Roman" w:hAnsi="Times New Roman" w:cs="Times New Roman"/>
          <w:noProof/>
          <w:sz w:val="24"/>
        </w:rPr>
      </w:pPr>
      <w:hyperlink w:anchor="_Toc229797760" w:history="1">
        <w:r w:rsidRPr="00843C65">
          <w:rPr>
            <w:rStyle w:val="af3"/>
            <w:rFonts w:ascii="Times New Roman" w:hAnsi="Times New Roman" w:cs="Times New Roman"/>
            <w:noProof/>
            <w:sz w:val="24"/>
          </w:rPr>
          <w:t>1.1 The Assurance Engagement</w:t>
        </w:r>
        <w:r w:rsidRPr="00843C65">
          <w:rPr>
            <w:rFonts w:ascii="Times New Roman" w:hAnsi="Times New Roman" w:cs="Times New Roman"/>
            <w:noProof/>
            <w:webHidden/>
            <w:sz w:val="24"/>
          </w:rPr>
          <w:tab/>
        </w:r>
        <w:r w:rsidRPr="00843C65">
          <w:rPr>
            <w:rFonts w:ascii="Times New Roman" w:hAnsi="Times New Roman" w:cs="Times New Roman"/>
            <w:noProof/>
            <w:webHidden/>
            <w:sz w:val="24"/>
          </w:rPr>
          <w:fldChar w:fldCharType="begin"/>
        </w:r>
        <w:r w:rsidRPr="00843C65">
          <w:rPr>
            <w:rFonts w:ascii="Times New Roman" w:hAnsi="Times New Roman" w:cs="Times New Roman"/>
            <w:noProof/>
            <w:webHidden/>
            <w:sz w:val="24"/>
          </w:rPr>
          <w:instrText xml:space="preserve"> PAGEREF _Toc229797760 \h </w:instrText>
        </w:r>
        <w:r w:rsidRPr="00843C65">
          <w:rPr>
            <w:rFonts w:ascii="Times New Roman" w:hAnsi="Times New Roman" w:cs="Times New Roman"/>
            <w:noProof/>
            <w:webHidden/>
            <w:sz w:val="24"/>
          </w:rPr>
        </w:r>
        <w:r w:rsidRPr="00843C65">
          <w:rPr>
            <w:rFonts w:ascii="Times New Roman" w:hAnsi="Times New Roman" w:cs="Times New Roman"/>
            <w:noProof/>
            <w:webHidden/>
            <w:sz w:val="24"/>
          </w:rPr>
          <w:fldChar w:fldCharType="separate"/>
        </w:r>
        <w:r w:rsidR="00EA0349">
          <w:rPr>
            <w:rFonts w:ascii="Times New Roman" w:hAnsi="Times New Roman" w:cs="Times New Roman"/>
            <w:noProof/>
            <w:webHidden/>
            <w:sz w:val="24"/>
          </w:rPr>
          <w:t>4</w:t>
        </w:r>
        <w:r w:rsidRPr="00843C65">
          <w:rPr>
            <w:rFonts w:ascii="Times New Roman" w:hAnsi="Times New Roman" w:cs="Times New Roman"/>
            <w:noProof/>
            <w:webHidden/>
            <w:sz w:val="24"/>
          </w:rPr>
          <w:fldChar w:fldCharType="end"/>
        </w:r>
      </w:hyperlink>
    </w:p>
    <w:p w14:paraId="707070C1" w14:textId="3180F30B" w:rsidR="00235171" w:rsidRPr="00843C65" w:rsidRDefault="00235171" w:rsidP="00311959">
      <w:pPr>
        <w:pStyle w:val="TOC2"/>
        <w:tabs>
          <w:tab w:val="right" w:leader="dot" w:pos="9060"/>
        </w:tabs>
        <w:spacing w:line="360" w:lineRule="auto"/>
        <w:ind w:left="440"/>
        <w:rPr>
          <w:rFonts w:ascii="Times New Roman" w:hAnsi="Times New Roman" w:cs="Times New Roman"/>
          <w:noProof/>
          <w:sz w:val="24"/>
        </w:rPr>
      </w:pPr>
      <w:hyperlink w:anchor="_Toc229797761" w:history="1">
        <w:r w:rsidRPr="00843C65">
          <w:rPr>
            <w:rStyle w:val="af3"/>
            <w:rFonts w:ascii="Times New Roman" w:hAnsi="Times New Roman" w:cs="Times New Roman"/>
            <w:noProof/>
            <w:sz w:val="24"/>
          </w:rPr>
          <w:t>1.2 Challenges and Professional Scepticism</w:t>
        </w:r>
        <w:r w:rsidRPr="00843C65">
          <w:rPr>
            <w:rFonts w:ascii="Times New Roman" w:hAnsi="Times New Roman" w:cs="Times New Roman"/>
            <w:noProof/>
            <w:webHidden/>
            <w:sz w:val="24"/>
          </w:rPr>
          <w:tab/>
        </w:r>
        <w:r w:rsidRPr="00843C65">
          <w:rPr>
            <w:rFonts w:ascii="Times New Roman" w:hAnsi="Times New Roman" w:cs="Times New Roman"/>
            <w:noProof/>
            <w:webHidden/>
            <w:sz w:val="24"/>
          </w:rPr>
          <w:fldChar w:fldCharType="begin"/>
        </w:r>
        <w:r w:rsidRPr="00843C65">
          <w:rPr>
            <w:rFonts w:ascii="Times New Roman" w:hAnsi="Times New Roman" w:cs="Times New Roman"/>
            <w:noProof/>
            <w:webHidden/>
            <w:sz w:val="24"/>
          </w:rPr>
          <w:instrText xml:space="preserve"> PAGEREF _Toc229797761 \h </w:instrText>
        </w:r>
        <w:r w:rsidRPr="00843C65">
          <w:rPr>
            <w:rFonts w:ascii="Times New Roman" w:hAnsi="Times New Roman" w:cs="Times New Roman"/>
            <w:noProof/>
            <w:webHidden/>
            <w:sz w:val="24"/>
          </w:rPr>
        </w:r>
        <w:r w:rsidRPr="00843C65">
          <w:rPr>
            <w:rFonts w:ascii="Times New Roman" w:hAnsi="Times New Roman" w:cs="Times New Roman"/>
            <w:noProof/>
            <w:webHidden/>
            <w:sz w:val="24"/>
          </w:rPr>
          <w:fldChar w:fldCharType="separate"/>
        </w:r>
        <w:r w:rsidR="00EA0349">
          <w:rPr>
            <w:rFonts w:ascii="Times New Roman" w:hAnsi="Times New Roman" w:cs="Times New Roman"/>
            <w:noProof/>
            <w:webHidden/>
            <w:sz w:val="24"/>
          </w:rPr>
          <w:t>5</w:t>
        </w:r>
        <w:r w:rsidRPr="00843C65">
          <w:rPr>
            <w:rFonts w:ascii="Times New Roman" w:hAnsi="Times New Roman" w:cs="Times New Roman"/>
            <w:noProof/>
            <w:webHidden/>
            <w:sz w:val="24"/>
          </w:rPr>
          <w:fldChar w:fldCharType="end"/>
        </w:r>
      </w:hyperlink>
    </w:p>
    <w:p w14:paraId="24A28F5B" w14:textId="726FCE40" w:rsidR="00235171" w:rsidRPr="00843C65" w:rsidRDefault="00235171" w:rsidP="00311959">
      <w:pPr>
        <w:pStyle w:val="TOC2"/>
        <w:tabs>
          <w:tab w:val="right" w:leader="dot" w:pos="9060"/>
        </w:tabs>
        <w:spacing w:line="360" w:lineRule="auto"/>
        <w:ind w:left="440"/>
        <w:rPr>
          <w:rFonts w:ascii="Times New Roman" w:hAnsi="Times New Roman" w:cs="Times New Roman"/>
          <w:noProof/>
          <w:sz w:val="24"/>
        </w:rPr>
      </w:pPr>
      <w:hyperlink w:anchor="_Toc229797762" w:history="1">
        <w:r w:rsidRPr="00843C65">
          <w:rPr>
            <w:rStyle w:val="af3"/>
            <w:rFonts w:ascii="Times New Roman" w:hAnsi="Times New Roman" w:cs="Times New Roman"/>
            <w:noProof/>
            <w:sz w:val="24"/>
          </w:rPr>
          <w:t>1.3 Materiality and Stakeholders</w:t>
        </w:r>
        <w:r w:rsidRPr="00843C65">
          <w:rPr>
            <w:rFonts w:ascii="Times New Roman" w:hAnsi="Times New Roman" w:cs="Times New Roman"/>
            <w:noProof/>
            <w:webHidden/>
            <w:sz w:val="24"/>
          </w:rPr>
          <w:tab/>
        </w:r>
        <w:r w:rsidRPr="00843C65">
          <w:rPr>
            <w:rFonts w:ascii="Times New Roman" w:hAnsi="Times New Roman" w:cs="Times New Roman"/>
            <w:noProof/>
            <w:webHidden/>
            <w:sz w:val="24"/>
          </w:rPr>
          <w:fldChar w:fldCharType="begin"/>
        </w:r>
        <w:r w:rsidRPr="00843C65">
          <w:rPr>
            <w:rFonts w:ascii="Times New Roman" w:hAnsi="Times New Roman" w:cs="Times New Roman"/>
            <w:noProof/>
            <w:webHidden/>
            <w:sz w:val="24"/>
          </w:rPr>
          <w:instrText xml:space="preserve"> PAGEREF _Toc229797762 \h </w:instrText>
        </w:r>
        <w:r w:rsidRPr="00843C65">
          <w:rPr>
            <w:rFonts w:ascii="Times New Roman" w:hAnsi="Times New Roman" w:cs="Times New Roman"/>
            <w:noProof/>
            <w:webHidden/>
            <w:sz w:val="24"/>
          </w:rPr>
        </w:r>
        <w:r w:rsidRPr="00843C65">
          <w:rPr>
            <w:rFonts w:ascii="Times New Roman" w:hAnsi="Times New Roman" w:cs="Times New Roman"/>
            <w:noProof/>
            <w:webHidden/>
            <w:sz w:val="24"/>
          </w:rPr>
          <w:fldChar w:fldCharType="separate"/>
        </w:r>
        <w:r w:rsidR="00EA0349">
          <w:rPr>
            <w:rFonts w:ascii="Times New Roman" w:hAnsi="Times New Roman" w:cs="Times New Roman"/>
            <w:noProof/>
            <w:webHidden/>
            <w:sz w:val="24"/>
          </w:rPr>
          <w:t>8</w:t>
        </w:r>
        <w:r w:rsidRPr="00843C65">
          <w:rPr>
            <w:rFonts w:ascii="Times New Roman" w:hAnsi="Times New Roman" w:cs="Times New Roman"/>
            <w:noProof/>
            <w:webHidden/>
            <w:sz w:val="24"/>
          </w:rPr>
          <w:fldChar w:fldCharType="end"/>
        </w:r>
      </w:hyperlink>
    </w:p>
    <w:p w14:paraId="0B6257A0" w14:textId="634870B6" w:rsidR="00235171" w:rsidRPr="00843C65" w:rsidRDefault="00235171" w:rsidP="00311959">
      <w:pPr>
        <w:pStyle w:val="TOC1"/>
        <w:spacing w:line="360" w:lineRule="auto"/>
      </w:pPr>
      <w:hyperlink w:anchor="_Toc229797763" w:history="1">
        <w:r w:rsidRPr="00843C65">
          <w:rPr>
            <w:rStyle w:val="af3"/>
            <w:b/>
            <w:bCs/>
          </w:rPr>
          <w:t>Section 2: Leveraging Technology for Enhanced Audit Efficiency and Effectiveness</w:t>
        </w:r>
        <w:r w:rsidRPr="00843C65">
          <w:rPr>
            <w:webHidden/>
          </w:rPr>
          <w:tab/>
        </w:r>
        <w:r w:rsidRPr="00843C65">
          <w:rPr>
            <w:webHidden/>
          </w:rPr>
          <w:fldChar w:fldCharType="begin"/>
        </w:r>
        <w:r w:rsidRPr="00843C65">
          <w:rPr>
            <w:webHidden/>
          </w:rPr>
          <w:instrText xml:space="preserve"> PAGEREF _Toc229797763 \h </w:instrText>
        </w:r>
        <w:r w:rsidRPr="00843C65">
          <w:rPr>
            <w:webHidden/>
          </w:rPr>
        </w:r>
        <w:r w:rsidRPr="00843C65">
          <w:rPr>
            <w:webHidden/>
          </w:rPr>
          <w:fldChar w:fldCharType="separate"/>
        </w:r>
        <w:r w:rsidR="00EA0349">
          <w:rPr>
            <w:webHidden/>
          </w:rPr>
          <w:t>10</w:t>
        </w:r>
        <w:r w:rsidRPr="00843C65">
          <w:rPr>
            <w:webHidden/>
          </w:rPr>
          <w:fldChar w:fldCharType="end"/>
        </w:r>
      </w:hyperlink>
    </w:p>
    <w:p w14:paraId="56C84621" w14:textId="6E9DBCC4" w:rsidR="00235171" w:rsidRPr="00843C65" w:rsidRDefault="00235171" w:rsidP="00311959">
      <w:pPr>
        <w:pStyle w:val="TOC2"/>
        <w:tabs>
          <w:tab w:val="right" w:leader="dot" w:pos="9060"/>
        </w:tabs>
        <w:spacing w:line="360" w:lineRule="auto"/>
        <w:ind w:left="440"/>
        <w:rPr>
          <w:rFonts w:ascii="Times New Roman" w:hAnsi="Times New Roman" w:cs="Times New Roman"/>
          <w:noProof/>
          <w:sz w:val="24"/>
        </w:rPr>
      </w:pPr>
      <w:hyperlink w:anchor="_Toc229797764" w:history="1">
        <w:r w:rsidRPr="00843C65">
          <w:rPr>
            <w:rStyle w:val="af3"/>
            <w:rFonts w:ascii="Times New Roman" w:hAnsi="Times New Roman" w:cs="Times New Roman"/>
            <w:noProof/>
            <w:sz w:val="24"/>
          </w:rPr>
          <w:t>2.1 AI in Audit Procedures</w:t>
        </w:r>
        <w:r w:rsidRPr="00843C65">
          <w:rPr>
            <w:rFonts w:ascii="Times New Roman" w:hAnsi="Times New Roman" w:cs="Times New Roman"/>
            <w:noProof/>
            <w:webHidden/>
            <w:sz w:val="24"/>
          </w:rPr>
          <w:tab/>
        </w:r>
        <w:r w:rsidRPr="00843C65">
          <w:rPr>
            <w:rFonts w:ascii="Times New Roman" w:hAnsi="Times New Roman" w:cs="Times New Roman"/>
            <w:noProof/>
            <w:webHidden/>
            <w:sz w:val="24"/>
          </w:rPr>
          <w:fldChar w:fldCharType="begin"/>
        </w:r>
        <w:r w:rsidRPr="00843C65">
          <w:rPr>
            <w:rFonts w:ascii="Times New Roman" w:hAnsi="Times New Roman" w:cs="Times New Roman"/>
            <w:noProof/>
            <w:webHidden/>
            <w:sz w:val="24"/>
          </w:rPr>
          <w:instrText xml:space="preserve"> PAGEREF _Toc229797764 \h </w:instrText>
        </w:r>
        <w:r w:rsidRPr="00843C65">
          <w:rPr>
            <w:rFonts w:ascii="Times New Roman" w:hAnsi="Times New Roman" w:cs="Times New Roman"/>
            <w:noProof/>
            <w:webHidden/>
            <w:sz w:val="24"/>
          </w:rPr>
        </w:r>
        <w:r w:rsidRPr="00843C65">
          <w:rPr>
            <w:rFonts w:ascii="Times New Roman" w:hAnsi="Times New Roman" w:cs="Times New Roman"/>
            <w:noProof/>
            <w:webHidden/>
            <w:sz w:val="24"/>
          </w:rPr>
          <w:fldChar w:fldCharType="separate"/>
        </w:r>
        <w:r w:rsidR="00EA0349">
          <w:rPr>
            <w:rFonts w:ascii="Times New Roman" w:hAnsi="Times New Roman" w:cs="Times New Roman"/>
            <w:noProof/>
            <w:webHidden/>
            <w:sz w:val="24"/>
          </w:rPr>
          <w:t>10</w:t>
        </w:r>
        <w:r w:rsidRPr="00843C65">
          <w:rPr>
            <w:rFonts w:ascii="Times New Roman" w:hAnsi="Times New Roman" w:cs="Times New Roman"/>
            <w:noProof/>
            <w:webHidden/>
            <w:sz w:val="24"/>
          </w:rPr>
          <w:fldChar w:fldCharType="end"/>
        </w:r>
      </w:hyperlink>
    </w:p>
    <w:p w14:paraId="5C3731E2" w14:textId="515173CB" w:rsidR="00235171" w:rsidRPr="00843C65" w:rsidRDefault="00235171" w:rsidP="00311959">
      <w:pPr>
        <w:pStyle w:val="TOC2"/>
        <w:tabs>
          <w:tab w:val="right" w:leader="dot" w:pos="9060"/>
        </w:tabs>
        <w:spacing w:line="360" w:lineRule="auto"/>
        <w:ind w:left="440"/>
        <w:rPr>
          <w:rFonts w:ascii="Times New Roman" w:hAnsi="Times New Roman" w:cs="Times New Roman"/>
          <w:noProof/>
          <w:sz w:val="24"/>
        </w:rPr>
      </w:pPr>
      <w:hyperlink w:anchor="_Toc229797765" w:history="1">
        <w:r w:rsidRPr="00843C65">
          <w:rPr>
            <w:rStyle w:val="af3"/>
            <w:rFonts w:ascii="Times New Roman" w:hAnsi="Times New Roman" w:cs="Times New Roman"/>
            <w:noProof/>
            <w:sz w:val="24"/>
          </w:rPr>
          <w:t>2.2 Blockchain for Trust and Verification</w:t>
        </w:r>
        <w:r w:rsidRPr="00843C65">
          <w:rPr>
            <w:rFonts w:ascii="Times New Roman" w:hAnsi="Times New Roman" w:cs="Times New Roman"/>
            <w:noProof/>
            <w:webHidden/>
            <w:sz w:val="24"/>
          </w:rPr>
          <w:tab/>
        </w:r>
        <w:r w:rsidRPr="00843C65">
          <w:rPr>
            <w:rFonts w:ascii="Times New Roman" w:hAnsi="Times New Roman" w:cs="Times New Roman"/>
            <w:noProof/>
            <w:webHidden/>
            <w:sz w:val="24"/>
          </w:rPr>
          <w:fldChar w:fldCharType="begin"/>
        </w:r>
        <w:r w:rsidRPr="00843C65">
          <w:rPr>
            <w:rFonts w:ascii="Times New Roman" w:hAnsi="Times New Roman" w:cs="Times New Roman"/>
            <w:noProof/>
            <w:webHidden/>
            <w:sz w:val="24"/>
          </w:rPr>
          <w:instrText xml:space="preserve"> PAGEREF _Toc229797765 \h </w:instrText>
        </w:r>
        <w:r w:rsidRPr="00843C65">
          <w:rPr>
            <w:rFonts w:ascii="Times New Roman" w:hAnsi="Times New Roman" w:cs="Times New Roman"/>
            <w:noProof/>
            <w:webHidden/>
            <w:sz w:val="24"/>
          </w:rPr>
        </w:r>
        <w:r w:rsidRPr="00843C65">
          <w:rPr>
            <w:rFonts w:ascii="Times New Roman" w:hAnsi="Times New Roman" w:cs="Times New Roman"/>
            <w:noProof/>
            <w:webHidden/>
            <w:sz w:val="24"/>
          </w:rPr>
          <w:fldChar w:fldCharType="separate"/>
        </w:r>
        <w:r w:rsidR="00EA0349">
          <w:rPr>
            <w:rFonts w:ascii="Times New Roman" w:hAnsi="Times New Roman" w:cs="Times New Roman"/>
            <w:noProof/>
            <w:webHidden/>
            <w:sz w:val="24"/>
          </w:rPr>
          <w:t>12</w:t>
        </w:r>
        <w:r w:rsidRPr="00843C65">
          <w:rPr>
            <w:rFonts w:ascii="Times New Roman" w:hAnsi="Times New Roman" w:cs="Times New Roman"/>
            <w:noProof/>
            <w:webHidden/>
            <w:sz w:val="24"/>
          </w:rPr>
          <w:fldChar w:fldCharType="end"/>
        </w:r>
      </w:hyperlink>
    </w:p>
    <w:p w14:paraId="4C819965" w14:textId="2C9D978E" w:rsidR="00235171" w:rsidRPr="00843C65" w:rsidRDefault="00235171" w:rsidP="00311959">
      <w:pPr>
        <w:pStyle w:val="TOC2"/>
        <w:tabs>
          <w:tab w:val="right" w:leader="dot" w:pos="9060"/>
        </w:tabs>
        <w:spacing w:line="360" w:lineRule="auto"/>
        <w:ind w:left="440"/>
        <w:rPr>
          <w:rFonts w:ascii="Times New Roman" w:hAnsi="Times New Roman" w:cs="Times New Roman"/>
          <w:noProof/>
          <w:sz w:val="24"/>
        </w:rPr>
      </w:pPr>
      <w:hyperlink w:anchor="_Toc229797766" w:history="1">
        <w:r w:rsidRPr="00843C65">
          <w:rPr>
            <w:rStyle w:val="af3"/>
            <w:rFonts w:ascii="Times New Roman" w:hAnsi="Times New Roman" w:cs="Times New Roman"/>
            <w:noProof/>
            <w:sz w:val="24"/>
          </w:rPr>
          <w:t>2.3 The Future Auditor</w:t>
        </w:r>
        <w:r w:rsidR="003801AA" w:rsidRPr="00843C65">
          <w:rPr>
            <w:rStyle w:val="af3"/>
            <w:rFonts w:ascii="Times New Roman" w:hAnsi="Times New Roman" w:cs="Times New Roman"/>
            <w:noProof/>
            <w:sz w:val="24"/>
          </w:rPr>
          <w:t>—</w:t>
        </w:r>
        <w:r w:rsidRPr="00843C65">
          <w:rPr>
            <w:rStyle w:val="af3"/>
            <w:rFonts w:ascii="Times New Roman" w:hAnsi="Times New Roman" w:cs="Times New Roman"/>
            <w:noProof/>
            <w:sz w:val="24"/>
          </w:rPr>
          <w:t>Skills and Ethics</w:t>
        </w:r>
        <w:r w:rsidRPr="00843C65">
          <w:rPr>
            <w:rFonts w:ascii="Times New Roman" w:hAnsi="Times New Roman" w:cs="Times New Roman"/>
            <w:noProof/>
            <w:webHidden/>
            <w:sz w:val="24"/>
          </w:rPr>
          <w:tab/>
        </w:r>
        <w:r w:rsidRPr="00843C65">
          <w:rPr>
            <w:rFonts w:ascii="Times New Roman" w:hAnsi="Times New Roman" w:cs="Times New Roman"/>
            <w:noProof/>
            <w:webHidden/>
            <w:sz w:val="24"/>
          </w:rPr>
          <w:fldChar w:fldCharType="begin"/>
        </w:r>
        <w:r w:rsidRPr="00843C65">
          <w:rPr>
            <w:rFonts w:ascii="Times New Roman" w:hAnsi="Times New Roman" w:cs="Times New Roman"/>
            <w:noProof/>
            <w:webHidden/>
            <w:sz w:val="24"/>
          </w:rPr>
          <w:instrText xml:space="preserve"> PAGEREF _Toc229797766 \h </w:instrText>
        </w:r>
        <w:r w:rsidRPr="00843C65">
          <w:rPr>
            <w:rFonts w:ascii="Times New Roman" w:hAnsi="Times New Roman" w:cs="Times New Roman"/>
            <w:noProof/>
            <w:webHidden/>
            <w:sz w:val="24"/>
          </w:rPr>
        </w:r>
        <w:r w:rsidRPr="00843C65">
          <w:rPr>
            <w:rFonts w:ascii="Times New Roman" w:hAnsi="Times New Roman" w:cs="Times New Roman"/>
            <w:noProof/>
            <w:webHidden/>
            <w:sz w:val="24"/>
          </w:rPr>
          <w:fldChar w:fldCharType="separate"/>
        </w:r>
        <w:r w:rsidR="00EA0349">
          <w:rPr>
            <w:rFonts w:ascii="Times New Roman" w:hAnsi="Times New Roman" w:cs="Times New Roman"/>
            <w:noProof/>
            <w:webHidden/>
            <w:sz w:val="24"/>
          </w:rPr>
          <w:t>13</w:t>
        </w:r>
        <w:r w:rsidRPr="00843C65">
          <w:rPr>
            <w:rFonts w:ascii="Times New Roman" w:hAnsi="Times New Roman" w:cs="Times New Roman"/>
            <w:noProof/>
            <w:webHidden/>
            <w:sz w:val="24"/>
          </w:rPr>
          <w:fldChar w:fldCharType="end"/>
        </w:r>
      </w:hyperlink>
    </w:p>
    <w:p w14:paraId="22E69FEB" w14:textId="0F4F6267" w:rsidR="00235171" w:rsidRPr="00843C65" w:rsidRDefault="003801AA" w:rsidP="00311959">
      <w:pPr>
        <w:pStyle w:val="TOC1"/>
        <w:spacing w:line="360" w:lineRule="auto"/>
      </w:pPr>
      <w:hyperlink w:anchor="_Toc229797767" w:history="1">
        <w:r w:rsidRPr="00843C65">
          <w:rPr>
            <w:rStyle w:val="af3"/>
            <w:b/>
            <w:bCs/>
          </w:rPr>
          <w:t>Co</w:t>
        </w:r>
        <w:r w:rsidR="00235171" w:rsidRPr="00843C65">
          <w:rPr>
            <w:rStyle w:val="af3"/>
            <w:b/>
            <w:bCs/>
          </w:rPr>
          <w:t>nclusion</w:t>
        </w:r>
        <w:r w:rsidR="00235171" w:rsidRPr="00843C65">
          <w:rPr>
            <w:webHidden/>
          </w:rPr>
          <w:tab/>
        </w:r>
        <w:r w:rsidR="00235171" w:rsidRPr="00843C65">
          <w:rPr>
            <w:webHidden/>
          </w:rPr>
          <w:fldChar w:fldCharType="begin"/>
        </w:r>
        <w:r w:rsidR="00235171" w:rsidRPr="00843C65">
          <w:rPr>
            <w:webHidden/>
          </w:rPr>
          <w:instrText xml:space="preserve"> PAGEREF _Toc229797767 \h </w:instrText>
        </w:r>
        <w:r w:rsidR="00235171" w:rsidRPr="00843C65">
          <w:rPr>
            <w:webHidden/>
          </w:rPr>
        </w:r>
        <w:r w:rsidR="00235171" w:rsidRPr="00843C65">
          <w:rPr>
            <w:webHidden/>
          </w:rPr>
          <w:fldChar w:fldCharType="separate"/>
        </w:r>
        <w:r w:rsidR="00EA0349">
          <w:rPr>
            <w:webHidden/>
          </w:rPr>
          <w:t>15</w:t>
        </w:r>
        <w:r w:rsidR="00235171" w:rsidRPr="00843C65">
          <w:rPr>
            <w:webHidden/>
          </w:rPr>
          <w:fldChar w:fldCharType="end"/>
        </w:r>
      </w:hyperlink>
    </w:p>
    <w:p w14:paraId="0491C740" w14:textId="6354AA01" w:rsidR="00235171" w:rsidRPr="00843C65" w:rsidRDefault="003801AA" w:rsidP="00311959">
      <w:pPr>
        <w:pStyle w:val="TOC1"/>
        <w:spacing w:line="360" w:lineRule="auto"/>
      </w:pPr>
      <w:hyperlink w:anchor="_Toc229797768" w:history="1">
        <w:r w:rsidRPr="00843C65">
          <w:rPr>
            <w:rStyle w:val="af3"/>
            <w:b/>
            <w:bCs/>
          </w:rPr>
          <w:t>Re</w:t>
        </w:r>
        <w:r w:rsidR="00235171" w:rsidRPr="00843C65">
          <w:rPr>
            <w:rStyle w:val="af3"/>
            <w:b/>
            <w:bCs/>
          </w:rPr>
          <w:t>ference</w:t>
        </w:r>
        <w:r w:rsidR="00311959" w:rsidRPr="00843C65">
          <w:rPr>
            <w:rStyle w:val="af3"/>
            <w:b/>
            <w:bCs/>
          </w:rPr>
          <w:t>s</w:t>
        </w:r>
        <w:r w:rsidR="00235171" w:rsidRPr="00843C65">
          <w:rPr>
            <w:webHidden/>
          </w:rPr>
          <w:tab/>
        </w:r>
        <w:r w:rsidR="00235171" w:rsidRPr="00843C65">
          <w:rPr>
            <w:webHidden/>
          </w:rPr>
          <w:fldChar w:fldCharType="begin"/>
        </w:r>
        <w:r w:rsidR="00235171" w:rsidRPr="00843C65">
          <w:rPr>
            <w:webHidden/>
          </w:rPr>
          <w:instrText xml:space="preserve"> PAGEREF _Toc229797768 \h </w:instrText>
        </w:r>
        <w:r w:rsidR="00235171" w:rsidRPr="00843C65">
          <w:rPr>
            <w:webHidden/>
          </w:rPr>
        </w:r>
        <w:r w:rsidR="00235171" w:rsidRPr="00843C65">
          <w:rPr>
            <w:webHidden/>
          </w:rPr>
          <w:fldChar w:fldCharType="separate"/>
        </w:r>
        <w:r w:rsidR="00EA0349">
          <w:rPr>
            <w:webHidden/>
          </w:rPr>
          <w:t>16</w:t>
        </w:r>
        <w:r w:rsidR="00235171" w:rsidRPr="00843C65">
          <w:rPr>
            <w:webHidden/>
          </w:rPr>
          <w:fldChar w:fldCharType="end"/>
        </w:r>
      </w:hyperlink>
    </w:p>
    <w:p w14:paraId="198A3023" w14:textId="6795A3A9" w:rsidR="008314C9" w:rsidRPr="00311959" w:rsidRDefault="0005165A" w:rsidP="00311959">
      <w:pPr>
        <w:spacing w:line="360" w:lineRule="auto"/>
        <w:rPr>
          <w:rFonts w:ascii="Times New Roman" w:hAnsi="Times New Roman" w:cs="Times New Roman"/>
          <w:sz w:val="24"/>
        </w:rPr>
      </w:pPr>
      <w:r w:rsidRPr="00843C65">
        <w:rPr>
          <w:rFonts w:ascii="Times New Roman" w:hAnsi="Times New Roman" w:cs="Times New Roman"/>
          <w:sz w:val="24"/>
        </w:rPr>
        <w:fldChar w:fldCharType="end"/>
      </w:r>
    </w:p>
    <w:p w14:paraId="7A48D083" w14:textId="3D7730FC" w:rsidR="008314C9" w:rsidRPr="00311959" w:rsidRDefault="008314C9" w:rsidP="00311959">
      <w:pPr>
        <w:spacing w:line="360" w:lineRule="auto"/>
        <w:rPr>
          <w:rFonts w:ascii="Times New Roman" w:hAnsi="Times New Roman" w:cs="Times New Roman"/>
          <w:sz w:val="24"/>
        </w:rPr>
      </w:pPr>
    </w:p>
    <w:p w14:paraId="3F684FF1" w14:textId="77777777" w:rsidR="008314C9" w:rsidRPr="00311959" w:rsidRDefault="008314C9" w:rsidP="00311959">
      <w:pPr>
        <w:spacing w:line="360" w:lineRule="auto"/>
        <w:rPr>
          <w:rFonts w:ascii="Times New Roman" w:hAnsi="Times New Roman" w:cs="Times New Roman"/>
          <w:sz w:val="24"/>
        </w:rPr>
      </w:pPr>
    </w:p>
    <w:p w14:paraId="7F1015BE" w14:textId="77777777" w:rsidR="008314C9" w:rsidRPr="00311959" w:rsidRDefault="008314C9" w:rsidP="00311959">
      <w:pPr>
        <w:spacing w:line="360" w:lineRule="auto"/>
        <w:rPr>
          <w:rFonts w:ascii="Times New Roman" w:hAnsi="Times New Roman" w:cs="Times New Roman"/>
          <w:sz w:val="24"/>
        </w:rPr>
      </w:pPr>
    </w:p>
    <w:p w14:paraId="704948B6" w14:textId="77777777" w:rsidR="008314C9" w:rsidRPr="00311959" w:rsidRDefault="008314C9" w:rsidP="00311959">
      <w:pPr>
        <w:spacing w:line="360" w:lineRule="auto"/>
        <w:rPr>
          <w:rFonts w:ascii="Times New Roman" w:hAnsi="Times New Roman" w:cs="Times New Roman"/>
          <w:sz w:val="24"/>
        </w:rPr>
      </w:pPr>
    </w:p>
    <w:p w14:paraId="6ECD31BD" w14:textId="77777777" w:rsidR="008314C9" w:rsidRPr="00311959" w:rsidRDefault="008314C9" w:rsidP="00311959">
      <w:pPr>
        <w:spacing w:line="360" w:lineRule="auto"/>
        <w:rPr>
          <w:rFonts w:ascii="Times New Roman" w:hAnsi="Times New Roman" w:cs="Times New Roman"/>
          <w:sz w:val="24"/>
        </w:rPr>
      </w:pPr>
    </w:p>
    <w:p w14:paraId="2388F6EF" w14:textId="77777777" w:rsidR="008314C9" w:rsidRPr="00311959" w:rsidRDefault="008314C9" w:rsidP="00311959">
      <w:pPr>
        <w:spacing w:line="360" w:lineRule="auto"/>
        <w:rPr>
          <w:rFonts w:ascii="Times New Roman" w:hAnsi="Times New Roman" w:cs="Times New Roman"/>
          <w:sz w:val="24"/>
        </w:rPr>
      </w:pPr>
    </w:p>
    <w:p w14:paraId="3E158E88" w14:textId="77777777" w:rsidR="008314C9" w:rsidRPr="00311959" w:rsidRDefault="008314C9" w:rsidP="00311959">
      <w:pPr>
        <w:spacing w:line="360" w:lineRule="auto"/>
        <w:rPr>
          <w:rFonts w:ascii="Times New Roman" w:hAnsi="Times New Roman" w:cs="Times New Roman"/>
          <w:sz w:val="24"/>
        </w:rPr>
      </w:pPr>
    </w:p>
    <w:p w14:paraId="5647A551" w14:textId="77777777" w:rsidR="00235171" w:rsidRPr="00311959" w:rsidRDefault="00235171" w:rsidP="00311959">
      <w:pPr>
        <w:spacing w:line="360" w:lineRule="auto"/>
        <w:rPr>
          <w:rFonts w:ascii="Times New Roman" w:hAnsi="Times New Roman" w:cs="Times New Roman"/>
          <w:sz w:val="24"/>
        </w:rPr>
      </w:pPr>
    </w:p>
    <w:p w14:paraId="1FFDD2BE" w14:textId="09C19D1B" w:rsidR="008314C9" w:rsidRPr="00311959" w:rsidRDefault="008314C9" w:rsidP="00AD3B15">
      <w:pPr>
        <w:pStyle w:val="31"/>
        <w:spacing w:line="360" w:lineRule="auto"/>
        <w:jc w:val="both"/>
      </w:pPr>
      <w:bookmarkStart w:id="1" w:name="_Toc229797758"/>
      <w:r w:rsidRPr="00311959">
        <w:lastRenderedPageBreak/>
        <w:t>Introduction</w:t>
      </w:r>
      <w:bookmarkEnd w:id="1"/>
    </w:p>
    <w:p w14:paraId="47DA91F9" w14:textId="7A5AB70A" w:rsidR="005D079A" w:rsidRPr="00311959" w:rsidRDefault="001D09D7" w:rsidP="00AD3B15">
      <w:pPr>
        <w:spacing w:line="360" w:lineRule="auto"/>
        <w:jc w:val="both"/>
        <w:rPr>
          <w:rFonts w:ascii="Times New Roman" w:hAnsi="Times New Roman" w:cs="Times New Roman"/>
          <w:sz w:val="24"/>
        </w:rPr>
      </w:pPr>
      <w:r w:rsidRPr="001D09D7">
        <w:rPr>
          <w:rFonts w:ascii="Times New Roman" w:hAnsi="Times New Roman" w:cs="Times New Roman"/>
          <w:sz w:val="24"/>
        </w:rPr>
        <w:t>This internal report is addressed to the KPMG engagement manager responsible for GreenTech Solutions Ltd. (GTS). It evaluates how KPMG should approach the concurrent financial statement audit and first-time limited assurance engagement over GTS</w:t>
      </w:r>
      <w:r w:rsidR="00AF0505">
        <w:rPr>
          <w:rFonts w:ascii="Times New Roman" w:hAnsi="Times New Roman" w:cs="Times New Roman"/>
          <w:sz w:val="24"/>
        </w:rPr>
        <w:t>’</w:t>
      </w:r>
      <w:r w:rsidRPr="001D09D7">
        <w:rPr>
          <w:rFonts w:ascii="Times New Roman" w:hAnsi="Times New Roman" w:cs="Times New Roman"/>
          <w:sz w:val="24"/>
        </w:rPr>
        <w:t>s selected Environmental, Social and Governance (ESG) indicators. The analysis is based on the GTS case facts, relevant International Standards on Auditing (ISAs), International Standard on Assurance Engagements (ISAE) 3000 and ISAE 3410, and the potential use of artificial intelligence (AI) and blockchain. It focuses on assurance boundaries, three ESG evidence challenges—data quality, measurement inconsistency and supply-chain reliance—stakeholder-sensitive materiality, and technology-enabled procedures that improve assurance quality without weakening professional judgement.</w:t>
      </w:r>
    </w:p>
    <w:p w14:paraId="64C35574" w14:textId="77777777" w:rsidR="005D079A" w:rsidRPr="00311959" w:rsidRDefault="005D079A" w:rsidP="00AD3B15">
      <w:pPr>
        <w:spacing w:line="360" w:lineRule="auto"/>
        <w:jc w:val="both"/>
        <w:rPr>
          <w:rFonts w:ascii="Times New Roman" w:hAnsi="Times New Roman" w:cs="Times New Roman"/>
          <w:sz w:val="24"/>
        </w:rPr>
      </w:pPr>
    </w:p>
    <w:p w14:paraId="31B247FA" w14:textId="77777777" w:rsidR="005D079A" w:rsidRPr="00311959" w:rsidRDefault="005D079A" w:rsidP="00AD3B15">
      <w:pPr>
        <w:spacing w:line="360" w:lineRule="auto"/>
        <w:jc w:val="both"/>
        <w:rPr>
          <w:rFonts w:ascii="Times New Roman" w:hAnsi="Times New Roman" w:cs="Times New Roman"/>
          <w:sz w:val="24"/>
        </w:rPr>
      </w:pPr>
    </w:p>
    <w:p w14:paraId="0CB2A21C" w14:textId="77777777" w:rsidR="005D079A" w:rsidRPr="00311959" w:rsidRDefault="005D079A" w:rsidP="00AD3B15">
      <w:pPr>
        <w:spacing w:line="360" w:lineRule="auto"/>
        <w:jc w:val="both"/>
        <w:rPr>
          <w:rFonts w:ascii="Times New Roman" w:hAnsi="Times New Roman" w:cs="Times New Roman"/>
          <w:sz w:val="24"/>
        </w:rPr>
      </w:pPr>
    </w:p>
    <w:p w14:paraId="2B7545B8" w14:textId="77777777" w:rsidR="005D079A" w:rsidRPr="00311959" w:rsidRDefault="005D079A" w:rsidP="00AD3B15">
      <w:pPr>
        <w:spacing w:line="360" w:lineRule="auto"/>
        <w:jc w:val="both"/>
        <w:rPr>
          <w:rFonts w:ascii="Times New Roman" w:hAnsi="Times New Roman" w:cs="Times New Roman"/>
          <w:sz w:val="24"/>
        </w:rPr>
      </w:pPr>
    </w:p>
    <w:p w14:paraId="22EEA1C5" w14:textId="77777777" w:rsidR="005D079A" w:rsidRPr="00311959" w:rsidRDefault="005D079A" w:rsidP="00AD3B15">
      <w:pPr>
        <w:spacing w:line="360" w:lineRule="auto"/>
        <w:jc w:val="both"/>
        <w:rPr>
          <w:rFonts w:ascii="Times New Roman" w:hAnsi="Times New Roman" w:cs="Times New Roman"/>
          <w:sz w:val="24"/>
        </w:rPr>
      </w:pPr>
    </w:p>
    <w:p w14:paraId="7BAF20A4" w14:textId="77777777" w:rsidR="005D079A" w:rsidRPr="00311959" w:rsidRDefault="005D079A" w:rsidP="00AD3B15">
      <w:pPr>
        <w:spacing w:line="360" w:lineRule="auto"/>
        <w:jc w:val="both"/>
        <w:rPr>
          <w:rFonts w:ascii="Times New Roman" w:hAnsi="Times New Roman" w:cs="Times New Roman"/>
          <w:sz w:val="24"/>
        </w:rPr>
      </w:pPr>
    </w:p>
    <w:p w14:paraId="5272D506" w14:textId="77777777" w:rsidR="005D079A" w:rsidRPr="00311959" w:rsidRDefault="005D079A" w:rsidP="00AD3B15">
      <w:pPr>
        <w:spacing w:line="360" w:lineRule="auto"/>
        <w:jc w:val="both"/>
        <w:rPr>
          <w:rFonts w:ascii="Times New Roman" w:hAnsi="Times New Roman" w:cs="Times New Roman"/>
          <w:sz w:val="24"/>
        </w:rPr>
      </w:pPr>
    </w:p>
    <w:p w14:paraId="68FC22B8" w14:textId="77777777" w:rsidR="005D079A" w:rsidRPr="00311959" w:rsidRDefault="005D079A" w:rsidP="00AD3B15">
      <w:pPr>
        <w:spacing w:line="360" w:lineRule="auto"/>
        <w:jc w:val="both"/>
        <w:rPr>
          <w:rFonts w:ascii="Times New Roman" w:hAnsi="Times New Roman" w:cs="Times New Roman"/>
          <w:sz w:val="24"/>
        </w:rPr>
      </w:pPr>
    </w:p>
    <w:p w14:paraId="6B284B26" w14:textId="77777777" w:rsidR="005D079A" w:rsidRPr="00311959" w:rsidRDefault="005D079A" w:rsidP="00AD3B15">
      <w:pPr>
        <w:spacing w:line="360" w:lineRule="auto"/>
        <w:jc w:val="both"/>
        <w:rPr>
          <w:rFonts w:ascii="Times New Roman" w:hAnsi="Times New Roman" w:cs="Times New Roman"/>
          <w:sz w:val="24"/>
        </w:rPr>
      </w:pPr>
    </w:p>
    <w:p w14:paraId="0A20FB46" w14:textId="77777777" w:rsidR="005D079A" w:rsidRDefault="005D079A" w:rsidP="00AD3B15">
      <w:pPr>
        <w:spacing w:line="360" w:lineRule="auto"/>
        <w:jc w:val="both"/>
        <w:rPr>
          <w:rFonts w:ascii="Times New Roman" w:hAnsi="Times New Roman" w:cs="Times New Roman"/>
          <w:sz w:val="24"/>
        </w:rPr>
      </w:pPr>
    </w:p>
    <w:p w14:paraId="08891EB1" w14:textId="77777777" w:rsidR="006C61DC" w:rsidRDefault="006C61DC" w:rsidP="00AD3B15">
      <w:pPr>
        <w:spacing w:line="360" w:lineRule="auto"/>
        <w:jc w:val="both"/>
        <w:rPr>
          <w:rFonts w:ascii="Times New Roman" w:hAnsi="Times New Roman" w:cs="Times New Roman"/>
          <w:sz w:val="24"/>
        </w:rPr>
      </w:pPr>
    </w:p>
    <w:p w14:paraId="1EB1444F" w14:textId="77777777" w:rsidR="006C61DC" w:rsidRPr="00311959" w:rsidRDefault="006C61DC" w:rsidP="00AD3B15">
      <w:pPr>
        <w:spacing w:line="360" w:lineRule="auto"/>
        <w:jc w:val="both"/>
        <w:rPr>
          <w:rFonts w:ascii="Times New Roman" w:hAnsi="Times New Roman" w:cs="Times New Roman"/>
          <w:sz w:val="24"/>
        </w:rPr>
      </w:pPr>
    </w:p>
    <w:p w14:paraId="1C7F2F8C" w14:textId="77777777" w:rsidR="005D079A" w:rsidRPr="00311959" w:rsidRDefault="005D079A" w:rsidP="00AD3B15">
      <w:pPr>
        <w:spacing w:line="360" w:lineRule="auto"/>
        <w:jc w:val="both"/>
        <w:rPr>
          <w:rFonts w:ascii="Times New Roman" w:hAnsi="Times New Roman" w:cs="Times New Roman"/>
          <w:sz w:val="24"/>
        </w:rPr>
      </w:pPr>
    </w:p>
    <w:p w14:paraId="41A940C2" w14:textId="282FC60B" w:rsidR="008314C9" w:rsidRPr="00311959" w:rsidRDefault="008314C9" w:rsidP="00AD3B15">
      <w:pPr>
        <w:pStyle w:val="31"/>
        <w:spacing w:line="360" w:lineRule="auto"/>
        <w:jc w:val="both"/>
      </w:pPr>
      <w:bookmarkStart w:id="2" w:name="_Toc229797759"/>
      <w:r w:rsidRPr="00311959">
        <w:lastRenderedPageBreak/>
        <w:t>Section 1: The Auditor</w:t>
      </w:r>
      <w:r w:rsidR="00AF0505">
        <w:t>’</w:t>
      </w:r>
      <w:r w:rsidRPr="00311959">
        <w:t>s Evolving Responsibility in Auditing ESG Reports</w:t>
      </w:r>
      <w:bookmarkEnd w:id="2"/>
    </w:p>
    <w:p w14:paraId="6EA8A4F1" w14:textId="2285A1B8" w:rsidR="00ED0EC3" w:rsidRPr="00311959" w:rsidRDefault="00ED0EC3" w:rsidP="00AD3B15">
      <w:pPr>
        <w:spacing w:line="360" w:lineRule="auto"/>
        <w:jc w:val="both"/>
        <w:rPr>
          <w:rFonts w:ascii="Times New Roman" w:hAnsi="Times New Roman" w:cs="Times New Roman"/>
          <w:sz w:val="24"/>
        </w:rPr>
      </w:pPr>
      <w:r w:rsidRPr="00ED0EC3">
        <w:rPr>
          <w:rFonts w:ascii="Times New Roman" w:hAnsi="Times New Roman" w:cs="Times New Roman"/>
          <w:sz w:val="24"/>
        </w:rPr>
        <w:t>Because the financial audit and ESG assurance run concurrently, KPMG should first define each engagement</w:t>
      </w:r>
      <w:r w:rsidR="00AF0505">
        <w:rPr>
          <w:rFonts w:ascii="Times New Roman" w:hAnsi="Times New Roman" w:cs="Times New Roman"/>
          <w:sz w:val="24"/>
        </w:rPr>
        <w:t>’</w:t>
      </w:r>
      <w:r w:rsidRPr="00ED0EC3">
        <w:rPr>
          <w:rFonts w:ascii="Times New Roman" w:hAnsi="Times New Roman" w:cs="Times New Roman"/>
          <w:sz w:val="24"/>
        </w:rPr>
        <w:t>s subject matter, criteria, evidence requirements and reporting form (International Auditing and Assurance Standards Board [IAASB], 2013).</w:t>
      </w:r>
    </w:p>
    <w:p w14:paraId="15263A55" w14:textId="0B8B9F6C" w:rsidR="008314C9" w:rsidRPr="00311959" w:rsidRDefault="008314C9" w:rsidP="00AD3B15">
      <w:pPr>
        <w:pStyle w:val="41"/>
        <w:spacing w:line="360" w:lineRule="auto"/>
        <w:jc w:val="both"/>
      </w:pPr>
      <w:bookmarkStart w:id="3" w:name="_Toc229797760"/>
      <w:r w:rsidRPr="00311959">
        <w:t>1.1 The Assurance Engagement</w:t>
      </w:r>
      <w:bookmarkEnd w:id="3"/>
    </w:p>
    <w:p w14:paraId="7AA968AB" w14:textId="4E26030C" w:rsidR="00ED0EC3" w:rsidRPr="00311959" w:rsidRDefault="00ED0EC3" w:rsidP="00AD3B15">
      <w:pPr>
        <w:spacing w:line="360" w:lineRule="auto"/>
        <w:jc w:val="both"/>
        <w:rPr>
          <w:rFonts w:ascii="Times New Roman" w:hAnsi="Times New Roman" w:cs="Times New Roman"/>
          <w:sz w:val="24"/>
        </w:rPr>
      </w:pPr>
      <w:r w:rsidRPr="00ED0EC3">
        <w:rPr>
          <w:rFonts w:ascii="Times New Roman" w:hAnsi="Times New Roman" w:cs="Times New Roman"/>
          <w:sz w:val="24"/>
        </w:rPr>
        <w:t>Both engagements enhance users</w:t>
      </w:r>
      <w:r w:rsidR="00AF0505">
        <w:rPr>
          <w:rFonts w:ascii="Times New Roman" w:hAnsi="Times New Roman" w:cs="Times New Roman"/>
          <w:sz w:val="24"/>
        </w:rPr>
        <w:t>’</w:t>
      </w:r>
      <w:r w:rsidRPr="00ED0EC3">
        <w:rPr>
          <w:rFonts w:ascii="Times New Roman" w:hAnsi="Times New Roman" w:cs="Times New Roman"/>
          <w:sz w:val="24"/>
        </w:rPr>
        <w:t xml:space="preserve"> confidence, but at different levels. The financial statement audit is conducted under the ISAs and covers GTS</w:t>
      </w:r>
      <w:r w:rsidR="00AF0505">
        <w:rPr>
          <w:rFonts w:ascii="Times New Roman" w:hAnsi="Times New Roman" w:cs="Times New Roman"/>
          <w:sz w:val="24"/>
        </w:rPr>
        <w:t>’</w:t>
      </w:r>
      <w:r w:rsidRPr="00ED0EC3">
        <w:rPr>
          <w:rFonts w:ascii="Times New Roman" w:hAnsi="Times New Roman" w:cs="Times New Roman"/>
          <w:sz w:val="24"/>
        </w:rPr>
        <w:t>s financial statements as a whole. By contrast, the ESG engagement is performed under ISAE 3000 and covers selected indicators only: recycled content percentage, Scope 1 and 2 greenhouse gas (GHG) emissions and workforce diversity metrics. Accordingly, they differ in subject matter, assurance level, procedures and reporting outcome (IAASB, 2013).</w:t>
      </w:r>
    </w:p>
    <w:p w14:paraId="66D86D00" w14:textId="011174AB" w:rsidR="004B5CE2" w:rsidRPr="004B5CE2" w:rsidRDefault="004B5CE2" w:rsidP="004B5CE2">
      <w:pPr>
        <w:pStyle w:val="af6"/>
        <w:keepNext/>
        <w:spacing w:line="360" w:lineRule="auto"/>
        <w:rPr>
          <w:rFonts w:ascii="Times New Roman" w:hAnsi="Times New Roman" w:cs="Times New Roman"/>
          <w:sz w:val="24"/>
          <w:szCs w:val="24"/>
        </w:rPr>
      </w:pPr>
      <w:r w:rsidRPr="004B5CE2">
        <w:rPr>
          <w:rFonts w:ascii="Times New Roman" w:hAnsi="Times New Roman" w:cs="Times New Roman"/>
          <w:b/>
          <w:bCs/>
          <w:sz w:val="24"/>
          <w:szCs w:val="24"/>
        </w:rPr>
        <w:t xml:space="preserve">Table </w:t>
      </w:r>
      <w:r w:rsidRPr="004B5CE2">
        <w:rPr>
          <w:rFonts w:ascii="Times New Roman" w:hAnsi="Times New Roman" w:cs="Times New Roman"/>
          <w:b/>
          <w:bCs/>
          <w:sz w:val="24"/>
          <w:szCs w:val="24"/>
        </w:rPr>
        <w:fldChar w:fldCharType="begin"/>
      </w:r>
      <w:r w:rsidRPr="004B5CE2">
        <w:rPr>
          <w:rFonts w:ascii="Times New Roman" w:hAnsi="Times New Roman" w:cs="Times New Roman"/>
          <w:b/>
          <w:bCs/>
          <w:sz w:val="24"/>
          <w:szCs w:val="24"/>
        </w:rPr>
        <w:instrText xml:space="preserve"> SEQ Table \* ARABIC </w:instrText>
      </w:r>
      <w:r w:rsidRPr="004B5CE2">
        <w:rPr>
          <w:rFonts w:ascii="Times New Roman" w:hAnsi="Times New Roman" w:cs="Times New Roman"/>
          <w:b/>
          <w:bCs/>
          <w:sz w:val="24"/>
          <w:szCs w:val="24"/>
        </w:rPr>
        <w:fldChar w:fldCharType="separate"/>
      </w:r>
      <w:r w:rsidR="001C3B04">
        <w:rPr>
          <w:rFonts w:ascii="Times New Roman" w:hAnsi="Times New Roman" w:cs="Times New Roman"/>
          <w:b/>
          <w:bCs/>
          <w:noProof/>
          <w:sz w:val="24"/>
          <w:szCs w:val="24"/>
        </w:rPr>
        <w:t>1</w:t>
      </w:r>
      <w:r w:rsidRPr="004B5CE2">
        <w:rPr>
          <w:rFonts w:ascii="Times New Roman" w:hAnsi="Times New Roman" w:cs="Times New Roman"/>
          <w:b/>
          <w:bCs/>
          <w:sz w:val="24"/>
          <w:szCs w:val="24"/>
        </w:rPr>
        <w:fldChar w:fldCharType="end"/>
      </w:r>
      <w:r w:rsidRPr="004B5CE2">
        <w:rPr>
          <w:rFonts w:ascii="Times New Roman" w:hAnsi="Times New Roman" w:cs="Times New Roman"/>
          <w:b/>
          <w:bCs/>
          <w:sz w:val="24"/>
          <w:szCs w:val="24"/>
        </w:rPr>
        <w:t>.</w:t>
      </w:r>
      <w:r w:rsidRPr="004B5CE2">
        <w:rPr>
          <w:rFonts w:ascii="Times New Roman" w:hAnsi="Times New Roman" w:cs="Times New Roman"/>
          <w:sz w:val="24"/>
          <w:szCs w:val="24"/>
        </w:rPr>
        <w:t xml:space="preserve"> Financial Audit versus ESG Limited Assurance for GTS</w:t>
      </w:r>
    </w:p>
    <w:tbl>
      <w:tblPr>
        <w:tblStyle w:val="af2"/>
        <w:tblW w:w="0" w:type="auto"/>
        <w:tblLook w:val="04A0" w:firstRow="1" w:lastRow="0" w:firstColumn="1" w:lastColumn="0" w:noHBand="0" w:noVBand="1"/>
      </w:tblPr>
      <w:tblGrid>
        <w:gridCol w:w="1816"/>
        <w:gridCol w:w="3810"/>
        <w:gridCol w:w="3434"/>
      </w:tblGrid>
      <w:tr w:rsidR="00707714" w:rsidRPr="00311959" w14:paraId="5D5B9C2F" w14:textId="77777777" w:rsidTr="004C674F">
        <w:tc>
          <w:tcPr>
            <w:tcW w:w="0" w:type="auto"/>
            <w:shd w:val="clear" w:color="auto" w:fill="DEEAF6" w:themeFill="accent5" w:themeFillTint="33"/>
            <w:vAlign w:val="center"/>
          </w:tcPr>
          <w:p w14:paraId="1F83B89F" w14:textId="379A43EE" w:rsidR="00707714" w:rsidRPr="00707714" w:rsidRDefault="00707714" w:rsidP="00707714">
            <w:pPr>
              <w:spacing w:line="360" w:lineRule="auto"/>
              <w:jc w:val="center"/>
              <w:rPr>
                <w:rFonts w:ascii="Times New Roman" w:hAnsi="Times New Roman" w:cs="Times New Roman"/>
                <w:sz w:val="24"/>
                <w:szCs w:val="28"/>
              </w:rPr>
            </w:pPr>
            <w:r w:rsidRPr="00707714">
              <w:rPr>
                <w:rFonts w:ascii="Times New Roman" w:hAnsi="Times New Roman" w:cs="Times New Roman"/>
                <w:b/>
                <w:bCs/>
                <w:sz w:val="24"/>
                <w:szCs w:val="28"/>
              </w:rPr>
              <w:t>Area</w:t>
            </w:r>
          </w:p>
        </w:tc>
        <w:tc>
          <w:tcPr>
            <w:tcW w:w="0" w:type="auto"/>
            <w:shd w:val="clear" w:color="auto" w:fill="DEEAF6" w:themeFill="accent5" w:themeFillTint="33"/>
            <w:vAlign w:val="center"/>
          </w:tcPr>
          <w:p w14:paraId="1B4E5C9E" w14:textId="38086918" w:rsidR="00707714" w:rsidRPr="00707714" w:rsidRDefault="00707714" w:rsidP="00707714">
            <w:pPr>
              <w:spacing w:line="360" w:lineRule="auto"/>
              <w:jc w:val="center"/>
              <w:rPr>
                <w:rFonts w:ascii="Times New Roman" w:hAnsi="Times New Roman" w:cs="Times New Roman"/>
                <w:b/>
                <w:bCs/>
                <w:sz w:val="24"/>
                <w:szCs w:val="28"/>
              </w:rPr>
            </w:pPr>
            <w:r w:rsidRPr="00707714">
              <w:rPr>
                <w:rFonts w:ascii="Times New Roman" w:hAnsi="Times New Roman" w:cs="Times New Roman"/>
                <w:b/>
                <w:bCs/>
                <w:sz w:val="24"/>
                <w:szCs w:val="28"/>
              </w:rPr>
              <w:t>Financial statement audit</w:t>
            </w:r>
          </w:p>
        </w:tc>
        <w:tc>
          <w:tcPr>
            <w:tcW w:w="0" w:type="auto"/>
            <w:shd w:val="clear" w:color="auto" w:fill="DEEAF6" w:themeFill="accent5" w:themeFillTint="33"/>
            <w:vAlign w:val="center"/>
          </w:tcPr>
          <w:p w14:paraId="2843DD5C" w14:textId="6A6C6E89" w:rsidR="00707714" w:rsidRPr="00707714" w:rsidRDefault="00707714" w:rsidP="00707714">
            <w:pPr>
              <w:spacing w:line="360" w:lineRule="auto"/>
              <w:jc w:val="center"/>
              <w:rPr>
                <w:rFonts w:ascii="Times New Roman" w:hAnsi="Times New Roman" w:cs="Times New Roman"/>
                <w:sz w:val="24"/>
                <w:szCs w:val="28"/>
              </w:rPr>
            </w:pPr>
            <w:r w:rsidRPr="00707714">
              <w:rPr>
                <w:rFonts w:ascii="Times New Roman" w:hAnsi="Times New Roman" w:cs="Times New Roman"/>
                <w:b/>
                <w:bCs/>
                <w:sz w:val="24"/>
                <w:szCs w:val="28"/>
              </w:rPr>
              <w:t>ESG limited assurance</w:t>
            </w:r>
          </w:p>
        </w:tc>
      </w:tr>
      <w:tr w:rsidR="00707714" w:rsidRPr="00311959" w14:paraId="7C613546" w14:textId="77777777" w:rsidTr="004C674F">
        <w:tc>
          <w:tcPr>
            <w:tcW w:w="0" w:type="auto"/>
            <w:vAlign w:val="center"/>
          </w:tcPr>
          <w:p w14:paraId="00F4C8B3" w14:textId="1C10AA2B" w:rsidR="00707714" w:rsidRPr="00707714" w:rsidRDefault="00707714" w:rsidP="00707714">
            <w:pPr>
              <w:spacing w:line="360" w:lineRule="auto"/>
              <w:jc w:val="center"/>
              <w:rPr>
                <w:rFonts w:ascii="Times New Roman" w:hAnsi="Times New Roman" w:cs="Times New Roman"/>
                <w:sz w:val="24"/>
                <w:szCs w:val="28"/>
              </w:rPr>
            </w:pPr>
            <w:r w:rsidRPr="00707714">
              <w:rPr>
                <w:rFonts w:ascii="Times New Roman" w:hAnsi="Times New Roman" w:cs="Times New Roman"/>
                <w:sz w:val="24"/>
                <w:szCs w:val="28"/>
              </w:rPr>
              <w:t>Standards</w:t>
            </w:r>
          </w:p>
        </w:tc>
        <w:tc>
          <w:tcPr>
            <w:tcW w:w="0" w:type="auto"/>
            <w:vAlign w:val="center"/>
          </w:tcPr>
          <w:p w14:paraId="49C42895" w14:textId="798708CC" w:rsidR="00707714" w:rsidRPr="00707714" w:rsidRDefault="00707714" w:rsidP="00707714">
            <w:pPr>
              <w:spacing w:line="360" w:lineRule="auto"/>
              <w:jc w:val="center"/>
              <w:rPr>
                <w:rFonts w:ascii="Times New Roman" w:hAnsi="Times New Roman" w:cs="Times New Roman"/>
                <w:sz w:val="24"/>
                <w:szCs w:val="28"/>
              </w:rPr>
            </w:pPr>
            <w:r w:rsidRPr="00707714">
              <w:rPr>
                <w:rFonts w:ascii="Times New Roman" w:hAnsi="Times New Roman" w:cs="Times New Roman"/>
                <w:sz w:val="24"/>
                <w:szCs w:val="28"/>
              </w:rPr>
              <w:t>ISAs</w:t>
            </w:r>
          </w:p>
        </w:tc>
        <w:tc>
          <w:tcPr>
            <w:tcW w:w="0" w:type="auto"/>
            <w:vAlign w:val="center"/>
          </w:tcPr>
          <w:p w14:paraId="0555C6C2" w14:textId="274E3950" w:rsidR="00707714" w:rsidRPr="00707714" w:rsidRDefault="00707714" w:rsidP="00707714">
            <w:pPr>
              <w:spacing w:line="360" w:lineRule="auto"/>
              <w:jc w:val="center"/>
              <w:rPr>
                <w:rFonts w:ascii="Times New Roman" w:hAnsi="Times New Roman" w:cs="Times New Roman"/>
                <w:sz w:val="24"/>
                <w:szCs w:val="28"/>
              </w:rPr>
            </w:pPr>
            <w:r w:rsidRPr="00707714">
              <w:rPr>
                <w:rFonts w:ascii="Times New Roman" w:hAnsi="Times New Roman" w:cs="Times New Roman"/>
                <w:sz w:val="24"/>
                <w:szCs w:val="28"/>
              </w:rPr>
              <w:t>ISAE 3000; ISAE 3410 for GHG</w:t>
            </w:r>
            <w:r w:rsidR="008F17BA">
              <w:rPr>
                <w:rFonts w:ascii="Times New Roman" w:hAnsi="Times New Roman" w:cs="Times New Roman" w:hint="eastAsia"/>
                <w:sz w:val="24"/>
                <w:szCs w:val="28"/>
              </w:rPr>
              <w:t xml:space="preserve"> </w:t>
            </w:r>
            <w:r w:rsidR="008F17BA" w:rsidRPr="008F17BA">
              <w:rPr>
                <w:rFonts w:ascii="Times New Roman" w:hAnsi="Times New Roman" w:cs="Times New Roman"/>
                <w:sz w:val="24"/>
                <w:szCs w:val="28"/>
              </w:rPr>
              <w:t>emissions</w:t>
            </w:r>
          </w:p>
        </w:tc>
      </w:tr>
      <w:tr w:rsidR="00707714" w:rsidRPr="00311959" w14:paraId="7D3A9D9E" w14:textId="77777777" w:rsidTr="004C674F">
        <w:tc>
          <w:tcPr>
            <w:tcW w:w="0" w:type="auto"/>
            <w:vAlign w:val="center"/>
          </w:tcPr>
          <w:p w14:paraId="68D4F850" w14:textId="02BBA62E" w:rsidR="00707714" w:rsidRPr="00707714" w:rsidRDefault="00707714" w:rsidP="00707714">
            <w:pPr>
              <w:spacing w:line="360" w:lineRule="auto"/>
              <w:jc w:val="center"/>
              <w:rPr>
                <w:rFonts w:ascii="Times New Roman" w:hAnsi="Times New Roman" w:cs="Times New Roman"/>
                <w:sz w:val="24"/>
                <w:szCs w:val="28"/>
              </w:rPr>
            </w:pPr>
            <w:r w:rsidRPr="00707714">
              <w:rPr>
                <w:rFonts w:ascii="Times New Roman" w:hAnsi="Times New Roman" w:cs="Times New Roman"/>
                <w:sz w:val="24"/>
                <w:szCs w:val="28"/>
              </w:rPr>
              <w:t>Subject matter</w:t>
            </w:r>
          </w:p>
        </w:tc>
        <w:tc>
          <w:tcPr>
            <w:tcW w:w="0" w:type="auto"/>
            <w:vAlign w:val="center"/>
          </w:tcPr>
          <w:p w14:paraId="4D470022" w14:textId="6523B466" w:rsidR="00707714" w:rsidRPr="00707714" w:rsidRDefault="00707714" w:rsidP="00707714">
            <w:pPr>
              <w:spacing w:line="360" w:lineRule="auto"/>
              <w:jc w:val="center"/>
              <w:rPr>
                <w:rFonts w:ascii="Times New Roman" w:hAnsi="Times New Roman" w:cs="Times New Roman"/>
                <w:sz w:val="24"/>
                <w:szCs w:val="28"/>
              </w:rPr>
            </w:pPr>
            <w:r w:rsidRPr="00707714">
              <w:rPr>
                <w:rFonts w:ascii="Times New Roman" w:hAnsi="Times New Roman" w:cs="Times New Roman"/>
                <w:sz w:val="24"/>
                <w:szCs w:val="28"/>
              </w:rPr>
              <w:t>Financial statements as a whole</w:t>
            </w:r>
          </w:p>
        </w:tc>
        <w:tc>
          <w:tcPr>
            <w:tcW w:w="0" w:type="auto"/>
            <w:vAlign w:val="center"/>
          </w:tcPr>
          <w:p w14:paraId="37DD07D8" w14:textId="36A41FB8" w:rsidR="00707714" w:rsidRPr="00707714" w:rsidRDefault="00707714" w:rsidP="00707714">
            <w:pPr>
              <w:spacing w:line="360" w:lineRule="auto"/>
              <w:jc w:val="center"/>
              <w:rPr>
                <w:rFonts w:ascii="Times New Roman" w:hAnsi="Times New Roman" w:cs="Times New Roman"/>
                <w:sz w:val="24"/>
                <w:szCs w:val="28"/>
              </w:rPr>
            </w:pPr>
            <w:r w:rsidRPr="00707714">
              <w:rPr>
                <w:rFonts w:ascii="Times New Roman" w:hAnsi="Times New Roman" w:cs="Times New Roman"/>
                <w:sz w:val="24"/>
                <w:szCs w:val="28"/>
              </w:rPr>
              <w:t>Selected ESG indicators</w:t>
            </w:r>
          </w:p>
        </w:tc>
      </w:tr>
      <w:tr w:rsidR="00707714" w:rsidRPr="00311959" w14:paraId="1A6CD150" w14:textId="77777777" w:rsidTr="004C674F">
        <w:tc>
          <w:tcPr>
            <w:tcW w:w="0" w:type="auto"/>
            <w:vAlign w:val="center"/>
          </w:tcPr>
          <w:p w14:paraId="76296CBF" w14:textId="2C94D320" w:rsidR="00707714" w:rsidRPr="00707714" w:rsidRDefault="00707714" w:rsidP="00707714">
            <w:pPr>
              <w:spacing w:line="360" w:lineRule="auto"/>
              <w:jc w:val="center"/>
              <w:rPr>
                <w:rFonts w:ascii="Times New Roman" w:hAnsi="Times New Roman" w:cs="Times New Roman"/>
                <w:sz w:val="24"/>
                <w:szCs w:val="28"/>
              </w:rPr>
            </w:pPr>
            <w:r w:rsidRPr="00707714">
              <w:rPr>
                <w:rFonts w:ascii="Times New Roman" w:hAnsi="Times New Roman" w:cs="Times New Roman"/>
                <w:sz w:val="24"/>
                <w:szCs w:val="28"/>
              </w:rPr>
              <w:t>Assurance level</w:t>
            </w:r>
          </w:p>
        </w:tc>
        <w:tc>
          <w:tcPr>
            <w:tcW w:w="0" w:type="auto"/>
            <w:vAlign w:val="center"/>
          </w:tcPr>
          <w:p w14:paraId="2E3DC928" w14:textId="5B365374" w:rsidR="00707714" w:rsidRPr="00707714" w:rsidRDefault="00707714" w:rsidP="00707714">
            <w:pPr>
              <w:spacing w:line="360" w:lineRule="auto"/>
              <w:jc w:val="center"/>
              <w:rPr>
                <w:rFonts w:ascii="Times New Roman" w:hAnsi="Times New Roman" w:cs="Times New Roman"/>
                <w:sz w:val="24"/>
                <w:szCs w:val="28"/>
              </w:rPr>
            </w:pPr>
            <w:r w:rsidRPr="00707714">
              <w:rPr>
                <w:rFonts w:ascii="Times New Roman" w:hAnsi="Times New Roman" w:cs="Times New Roman"/>
                <w:sz w:val="24"/>
                <w:szCs w:val="28"/>
              </w:rPr>
              <w:t>Reasonable / high</w:t>
            </w:r>
          </w:p>
        </w:tc>
        <w:tc>
          <w:tcPr>
            <w:tcW w:w="0" w:type="auto"/>
            <w:vAlign w:val="center"/>
          </w:tcPr>
          <w:p w14:paraId="135AE16B" w14:textId="1C1C97F9" w:rsidR="00707714" w:rsidRPr="00707714" w:rsidRDefault="00707714" w:rsidP="00707714">
            <w:pPr>
              <w:spacing w:line="360" w:lineRule="auto"/>
              <w:jc w:val="center"/>
              <w:rPr>
                <w:rFonts w:ascii="Times New Roman" w:hAnsi="Times New Roman" w:cs="Times New Roman"/>
                <w:sz w:val="24"/>
                <w:szCs w:val="28"/>
              </w:rPr>
            </w:pPr>
            <w:r w:rsidRPr="00707714">
              <w:rPr>
                <w:rFonts w:ascii="Times New Roman" w:hAnsi="Times New Roman" w:cs="Times New Roman"/>
                <w:sz w:val="24"/>
                <w:szCs w:val="28"/>
              </w:rPr>
              <w:t>Limited / moderate</w:t>
            </w:r>
          </w:p>
        </w:tc>
      </w:tr>
      <w:tr w:rsidR="00707714" w:rsidRPr="00311959" w14:paraId="39EEF11F" w14:textId="77777777" w:rsidTr="004C674F">
        <w:tc>
          <w:tcPr>
            <w:tcW w:w="0" w:type="auto"/>
            <w:vAlign w:val="center"/>
          </w:tcPr>
          <w:p w14:paraId="6556D58F" w14:textId="41EEAF26" w:rsidR="00707714" w:rsidRPr="00707714" w:rsidRDefault="00707714" w:rsidP="00707714">
            <w:pPr>
              <w:spacing w:line="360" w:lineRule="auto"/>
              <w:jc w:val="center"/>
              <w:rPr>
                <w:rFonts w:ascii="Times New Roman" w:hAnsi="Times New Roman" w:cs="Times New Roman"/>
                <w:sz w:val="24"/>
                <w:szCs w:val="28"/>
              </w:rPr>
            </w:pPr>
            <w:r w:rsidRPr="00707714">
              <w:rPr>
                <w:rFonts w:ascii="Times New Roman" w:hAnsi="Times New Roman" w:cs="Times New Roman"/>
                <w:sz w:val="24"/>
                <w:szCs w:val="28"/>
              </w:rPr>
              <w:t>Main procedures</w:t>
            </w:r>
          </w:p>
        </w:tc>
        <w:tc>
          <w:tcPr>
            <w:tcW w:w="0" w:type="auto"/>
            <w:vAlign w:val="center"/>
          </w:tcPr>
          <w:p w14:paraId="4F4BB168" w14:textId="3DBCB603" w:rsidR="00707714" w:rsidRPr="00707714" w:rsidRDefault="00707714" w:rsidP="00707714">
            <w:pPr>
              <w:spacing w:line="360" w:lineRule="auto"/>
              <w:jc w:val="center"/>
              <w:rPr>
                <w:rFonts w:ascii="Times New Roman" w:hAnsi="Times New Roman" w:cs="Times New Roman"/>
                <w:sz w:val="24"/>
                <w:szCs w:val="28"/>
              </w:rPr>
            </w:pPr>
            <w:r w:rsidRPr="00707714">
              <w:rPr>
                <w:rFonts w:ascii="Times New Roman" w:hAnsi="Times New Roman" w:cs="Times New Roman"/>
                <w:sz w:val="24"/>
                <w:szCs w:val="28"/>
              </w:rPr>
              <w:t>Risk assessment, controls and substantive testing</w:t>
            </w:r>
          </w:p>
        </w:tc>
        <w:tc>
          <w:tcPr>
            <w:tcW w:w="0" w:type="auto"/>
            <w:vAlign w:val="center"/>
          </w:tcPr>
          <w:p w14:paraId="25E1B02F" w14:textId="7BC515ED" w:rsidR="00707714" w:rsidRPr="00707714" w:rsidRDefault="00707714" w:rsidP="00707714">
            <w:pPr>
              <w:spacing w:line="360" w:lineRule="auto"/>
              <w:jc w:val="center"/>
              <w:rPr>
                <w:rFonts w:ascii="Times New Roman" w:hAnsi="Times New Roman" w:cs="Times New Roman"/>
                <w:sz w:val="24"/>
                <w:szCs w:val="28"/>
              </w:rPr>
            </w:pPr>
            <w:r w:rsidRPr="00707714">
              <w:rPr>
                <w:rFonts w:ascii="Times New Roman" w:hAnsi="Times New Roman" w:cs="Times New Roman"/>
                <w:sz w:val="24"/>
                <w:szCs w:val="28"/>
              </w:rPr>
              <w:t>Inquiry, analytics and limited inspection</w:t>
            </w:r>
          </w:p>
        </w:tc>
      </w:tr>
      <w:tr w:rsidR="00707714" w:rsidRPr="00311959" w14:paraId="4BC5C409" w14:textId="77777777" w:rsidTr="004C674F">
        <w:tc>
          <w:tcPr>
            <w:tcW w:w="0" w:type="auto"/>
            <w:vAlign w:val="center"/>
          </w:tcPr>
          <w:p w14:paraId="104B5EDE" w14:textId="07249D05" w:rsidR="00707714" w:rsidRPr="00707714" w:rsidRDefault="00707714" w:rsidP="00707714">
            <w:pPr>
              <w:spacing w:line="360" w:lineRule="auto"/>
              <w:jc w:val="center"/>
              <w:rPr>
                <w:rFonts w:ascii="Times New Roman" w:hAnsi="Times New Roman" w:cs="Times New Roman"/>
                <w:sz w:val="24"/>
                <w:szCs w:val="28"/>
              </w:rPr>
            </w:pPr>
            <w:r w:rsidRPr="00707714">
              <w:rPr>
                <w:rFonts w:ascii="Times New Roman" w:hAnsi="Times New Roman" w:cs="Times New Roman"/>
                <w:sz w:val="24"/>
                <w:szCs w:val="28"/>
              </w:rPr>
              <w:t>Reporting outcome</w:t>
            </w:r>
          </w:p>
        </w:tc>
        <w:tc>
          <w:tcPr>
            <w:tcW w:w="0" w:type="auto"/>
            <w:vAlign w:val="center"/>
          </w:tcPr>
          <w:p w14:paraId="3683210C" w14:textId="33030E72" w:rsidR="00707714" w:rsidRPr="00707714" w:rsidRDefault="00707714" w:rsidP="00707714">
            <w:pPr>
              <w:spacing w:line="360" w:lineRule="auto"/>
              <w:jc w:val="center"/>
              <w:rPr>
                <w:rFonts w:ascii="Times New Roman" w:hAnsi="Times New Roman" w:cs="Times New Roman"/>
                <w:sz w:val="24"/>
                <w:szCs w:val="28"/>
              </w:rPr>
            </w:pPr>
            <w:r w:rsidRPr="00707714">
              <w:rPr>
                <w:rFonts w:ascii="Times New Roman" w:hAnsi="Times New Roman" w:cs="Times New Roman"/>
                <w:sz w:val="24"/>
                <w:szCs w:val="28"/>
              </w:rPr>
              <w:t>Positive audit opinion</w:t>
            </w:r>
          </w:p>
        </w:tc>
        <w:tc>
          <w:tcPr>
            <w:tcW w:w="0" w:type="auto"/>
            <w:vAlign w:val="center"/>
          </w:tcPr>
          <w:p w14:paraId="5F979E40" w14:textId="285FF273" w:rsidR="00707714" w:rsidRPr="00707714" w:rsidRDefault="00707714" w:rsidP="00707714">
            <w:pPr>
              <w:spacing w:line="360" w:lineRule="auto"/>
              <w:jc w:val="center"/>
              <w:rPr>
                <w:rFonts w:ascii="Times New Roman" w:hAnsi="Times New Roman" w:cs="Times New Roman"/>
                <w:sz w:val="24"/>
                <w:szCs w:val="28"/>
              </w:rPr>
            </w:pPr>
            <w:r w:rsidRPr="00707714">
              <w:rPr>
                <w:rFonts w:ascii="Times New Roman" w:hAnsi="Times New Roman" w:cs="Times New Roman"/>
                <w:sz w:val="24"/>
                <w:szCs w:val="28"/>
              </w:rPr>
              <w:t>Negative assurance conclusion</w:t>
            </w:r>
          </w:p>
        </w:tc>
      </w:tr>
    </w:tbl>
    <w:p w14:paraId="531CAE9A" w14:textId="2578D851" w:rsidR="00CC4959" w:rsidRDefault="00ED0EC3" w:rsidP="002D698F">
      <w:pPr>
        <w:spacing w:before="120" w:line="360" w:lineRule="auto"/>
        <w:jc w:val="both"/>
        <w:rPr>
          <w:rFonts w:ascii="Times New Roman" w:hAnsi="Times New Roman" w:cs="Times New Roman"/>
          <w:sz w:val="24"/>
        </w:rPr>
      </w:pPr>
      <w:r w:rsidRPr="00ED0EC3">
        <w:rPr>
          <w:rFonts w:ascii="Times New Roman" w:hAnsi="Times New Roman" w:cs="Times New Roman"/>
          <w:sz w:val="24"/>
        </w:rPr>
        <w:t xml:space="preserve">As shown in Table 1, the financial audit requires reasonable assurance that the financial statements are free from material misstatement and sufficient appropriate evidence to support a positive opinion (IAASB, 2009a; IAASB, 2009b). </w:t>
      </w:r>
      <w:r w:rsidR="00FE545D" w:rsidRPr="00FE545D">
        <w:rPr>
          <w:rFonts w:ascii="Times New Roman" w:hAnsi="Times New Roman" w:cs="Times New Roman"/>
          <w:sz w:val="24"/>
        </w:rPr>
        <w:t>By contrast</w:t>
      </w:r>
      <w:r w:rsidR="00CC4959" w:rsidRPr="00CC4959">
        <w:rPr>
          <w:rFonts w:ascii="Times New Roman" w:hAnsi="Times New Roman" w:cs="Times New Roman"/>
          <w:sz w:val="24"/>
        </w:rPr>
        <w:t xml:space="preserve">, the ESG engagement is </w:t>
      </w:r>
      <w:r w:rsidR="00FE545D" w:rsidRPr="00FE545D">
        <w:rPr>
          <w:rFonts w:ascii="Times New Roman" w:hAnsi="Times New Roman" w:cs="Times New Roman"/>
          <w:sz w:val="24"/>
        </w:rPr>
        <w:t>governed by</w:t>
      </w:r>
      <w:r w:rsidR="00CC4959" w:rsidRPr="00CC4959">
        <w:rPr>
          <w:rFonts w:ascii="Times New Roman" w:hAnsi="Times New Roman" w:cs="Times New Roman"/>
          <w:sz w:val="24"/>
        </w:rPr>
        <w:t xml:space="preserve"> ISAE 3000, with ISAE 3410 applicable to Scope 1 and 2 GHG emissions (IAASB, 2012; IAASB, 2013). It is narrower in subject matter because it does not cover GTS</w:t>
      </w:r>
      <w:r w:rsidR="00AF0505">
        <w:rPr>
          <w:rFonts w:ascii="Times New Roman" w:hAnsi="Times New Roman" w:cs="Times New Roman"/>
          <w:sz w:val="24"/>
        </w:rPr>
        <w:t>’</w:t>
      </w:r>
      <w:r w:rsidR="00CC4959" w:rsidRPr="00CC4959">
        <w:rPr>
          <w:rFonts w:ascii="Times New Roman" w:hAnsi="Times New Roman" w:cs="Times New Roman"/>
          <w:sz w:val="24"/>
        </w:rPr>
        <w:t>s overall sustainability performance.</w:t>
      </w:r>
    </w:p>
    <w:p w14:paraId="15550564" w14:textId="73888994" w:rsidR="001D09D7" w:rsidRPr="001D09D7" w:rsidRDefault="001D09D7" w:rsidP="001D09D7">
      <w:pPr>
        <w:spacing w:line="360" w:lineRule="auto"/>
        <w:jc w:val="both"/>
        <w:rPr>
          <w:rFonts w:ascii="Times New Roman" w:hAnsi="Times New Roman" w:cs="Times New Roman"/>
          <w:sz w:val="24"/>
        </w:rPr>
      </w:pPr>
      <w:r w:rsidRPr="001D09D7">
        <w:rPr>
          <w:rFonts w:ascii="Times New Roman" w:hAnsi="Times New Roman" w:cs="Times New Roman" w:hint="eastAsia"/>
          <w:sz w:val="24"/>
        </w:rPr>
        <w:lastRenderedPageBreak/>
        <w:t>The assurance level is the key distinction. Reasonable assurance is high but not absolute, while limited assurance provides a lower level of confidence and is normally supported by less extensive procedures (IAASB, 2013). For GTS, limited assurance remains appropriate because the engagement terms specify selected metrics, this is the company</w:t>
      </w:r>
      <w:r w:rsidR="00AF0505">
        <w:rPr>
          <w:rFonts w:ascii="Times New Roman" w:hAnsi="Times New Roman" w:cs="Times New Roman"/>
          <w:sz w:val="24"/>
        </w:rPr>
        <w:t>’</w:t>
      </w:r>
      <w:r w:rsidRPr="001D09D7">
        <w:rPr>
          <w:rFonts w:ascii="Times New Roman" w:hAnsi="Times New Roman" w:cs="Times New Roman" w:hint="eastAsia"/>
          <w:sz w:val="24"/>
        </w:rPr>
        <w:t>s first ESG assurance engagement, and the relevant data systems and external evidence are less mature. The greenwashing allegations do not automatically change the agreed assurance level; instead, they increase the need for sceptical risk assessment and targeted procedures within the limited-assurance scope (IAASB, 2021).</w:t>
      </w:r>
    </w:p>
    <w:p w14:paraId="553A0064" w14:textId="0D97AFF6" w:rsidR="008078F6" w:rsidRDefault="001D09D7" w:rsidP="001D09D7">
      <w:pPr>
        <w:spacing w:line="360" w:lineRule="auto"/>
        <w:jc w:val="both"/>
        <w:rPr>
          <w:rFonts w:ascii="Times New Roman" w:hAnsi="Times New Roman" w:cs="Times New Roman"/>
          <w:sz w:val="24"/>
        </w:rPr>
      </w:pPr>
      <w:r w:rsidRPr="001D09D7">
        <w:rPr>
          <w:rFonts w:ascii="Times New Roman" w:hAnsi="Times New Roman" w:cs="Times New Roman" w:hint="eastAsia"/>
          <w:sz w:val="24"/>
        </w:rPr>
        <w:t>The reporting language should make this boundary clear. For GTS, KPMG</w:t>
      </w:r>
      <w:r w:rsidR="00AF0505">
        <w:rPr>
          <w:rFonts w:ascii="Times New Roman" w:hAnsi="Times New Roman" w:cs="Times New Roman"/>
          <w:sz w:val="24"/>
        </w:rPr>
        <w:t>’</w:t>
      </w:r>
      <w:r w:rsidRPr="001D09D7">
        <w:rPr>
          <w:rFonts w:ascii="Times New Roman" w:hAnsi="Times New Roman" w:cs="Times New Roman" w:hint="eastAsia"/>
          <w:sz w:val="24"/>
        </w:rPr>
        <w:t xml:space="preserve">s conclusion could state that </w:t>
      </w:r>
      <w:r w:rsidR="005A4E48">
        <w:rPr>
          <w:rFonts w:ascii="Times New Roman" w:hAnsi="Times New Roman" w:cs="Times New Roman"/>
          <w:sz w:val="24"/>
        </w:rPr>
        <w:t>“</w:t>
      </w:r>
      <w:r w:rsidRPr="001D09D7">
        <w:rPr>
          <w:rFonts w:ascii="Times New Roman" w:hAnsi="Times New Roman" w:cs="Times New Roman" w:hint="eastAsia"/>
          <w:sz w:val="24"/>
        </w:rPr>
        <w:t>nothing has come to our attention that causes us to believe that GTS</w:t>
      </w:r>
      <w:r w:rsidR="00AF0505">
        <w:rPr>
          <w:rFonts w:ascii="Times New Roman" w:hAnsi="Times New Roman" w:cs="Times New Roman"/>
          <w:sz w:val="24"/>
        </w:rPr>
        <w:t>’</w:t>
      </w:r>
      <w:r w:rsidRPr="001D09D7">
        <w:rPr>
          <w:rFonts w:ascii="Times New Roman" w:hAnsi="Times New Roman" w:cs="Times New Roman" w:hint="eastAsia"/>
          <w:sz w:val="24"/>
        </w:rPr>
        <w:t>s recycled content percentage, Scope 1 and 2 GHG emissions and workforce diversity metrics are not prepared, in all material respects, in accordance with the stated reporting criteria.</w:t>
      </w:r>
      <w:r w:rsidR="005A4E48">
        <w:rPr>
          <w:rFonts w:ascii="Times New Roman" w:hAnsi="Times New Roman" w:cs="Times New Roman"/>
          <w:sz w:val="24"/>
        </w:rPr>
        <w:t>”</w:t>
      </w:r>
      <w:r w:rsidRPr="001D09D7">
        <w:rPr>
          <w:rFonts w:ascii="Times New Roman" w:hAnsi="Times New Roman" w:cs="Times New Roman" w:hint="eastAsia"/>
          <w:sz w:val="24"/>
        </w:rPr>
        <w:t xml:space="preserve"> This negative-form conclusion is consistent with limited assurance, but it is not equivalent to audit-level assurance (IAASB, 2013). Users should not read it as assurance over the whole Sustainability Report, Supplier X</w:t>
      </w:r>
      <w:r w:rsidR="00AF0505">
        <w:rPr>
          <w:rFonts w:ascii="Times New Roman" w:hAnsi="Times New Roman" w:cs="Times New Roman"/>
          <w:sz w:val="24"/>
        </w:rPr>
        <w:t>’</w:t>
      </w:r>
      <w:r w:rsidRPr="001D09D7">
        <w:rPr>
          <w:rFonts w:ascii="Times New Roman" w:hAnsi="Times New Roman" w:cs="Times New Roman" w:hint="eastAsia"/>
          <w:sz w:val="24"/>
        </w:rPr>
        <w:t>s ethical sourcing, Scope 3 customer-use claims or all green marketing statements. This reduces the expectation gap and keeps KPMG</w:t>
      </w:r>
      <w:r w:rsidR="00AF0505">
        <w:rPr>
          <w:rFonts w:ascii="Times New Roman" w:hAnsi="Times New Roman" w:cs="Times New Roman"/>
          <w:sz w:val="24"/>
        </w:rPr>
        <w:t>’</w:t>
      </w:r>
      <w:r w:rsidRPr="001D09D7">
        <w:rPr>
          <w:rFonts w:ascii="Times New Roman" w:hAnsi="Times New Roman" w:cs="Times New Roman" w:hint="eastAsia"/>
          <w:sz w:val="24"/>
        </w:rPr>
        <w:t>s conclusion appropriately bounded.</w:t>
      </w:r>
    </w:p>
    <w:p w14:paraId="64D9A09D" w14:textId="77777777" w:rsidR="001D09D7" w:rsidRPr="00311959" w:rsidRDefault="001D09D7" w:rsidP="001D09D7">
      <w:pPr>
        <w:spacing w:line="360" w:lineRule="auto"/>
        <w:jc w:val="both"/>
        <w:rPr>
          <w:rFonts w:ascii="Times New Roman" w:hAnsi="Times New Roman" w:cs="Times New Roman"/>
          <w:sz w:val="24"/>
        </w:rPr>
      </w:pPr>
    </w:p>
    <w:p w14:paraId="769878E9" w14:textId="066FA4D1" w:rsidR="008314C9" w:rsidRPr="00311959" w:rsidRDefault="008314C9" w:rsidP="00AD3B15">
      <w:pPr>
        <w:pStyle w:val="41"/>
        <w:spacing w:line="360" w:lineRule="auto"/>
        <w:jc w:val="both"/>
      </w:pPr>
      <w:bookmarkStart w:id="4" w:name="_Toc229797761"/>
      <w:r w:rsidRPr="00311959">
        <w:t>1.2 Challenges and Professional Scepticism</w:t>
      </w:r>
      <w:bookmarkEnd w:id="4"/>
    </w:p>
    <w:p w14:paraId="21139B3E" w14:textId="10967BA8" w:rsidR="00C60FCD" w:rsidRPr="00311959" w:rsidRDefault="0069127B" w:rsidP="00AD3B15">
      <w:pPr>
        <w:spacing w:line="360" w:lineRule="auto"/>
        <w:jc w:val="both"/>
        <w:rPr>
          <w:rFonts w:ascii="Times New Roman" w:hAnsi="Times New Roman" w:cs="Times New Roman"/>
          <w:sz w:val="24"/>
        </w:rPr>
      </w:pPr>
      <w:r w:rsidRPr="0069127B">
        <w:rPr>
          <w:rFonts w:ascii="Times New Roman" w:hAnsi="Times New Roman" w:cs="Times New Roman"/>
          <w:sz w:val="24"/>
        </w:rPr>
        <w:t>GTS</w:t>
      </w:r>
      <w:r w:rsidR="00AF0505">
        <w:rPr>
          <w:rFonts w:ascii="Times New Roman" w:hAnsi="Times New Roman" w:cs="Times New Roman"/>
          <w:sz w:val="24"/>
        </w:rPr>
        <w:t>’</w:t>
      </w:r>
      <w:r w:rsidRPr="0069127B">
        <w:rPr>
          <w:rFonts w:ascii="Times New Roman" w:hAnsi="Times New Roman" w:cs="Times New Roman"/>
          <w:sz w:val="24"/>
        </w:rPr>
        <w:t>s ESG assurance engagement has high inherent risk because the selected indicators are non-financial, estimation-heavy and supported by less mature controls than financial information. The key issue is not only whether figures can be recalculated, but whether the data sources, reporting criteria and evidence trail are reliable enough to support a limited assurance conclusion (IAASB, 2021).</w:t>
      </w:r>
      <w:r w:rsidR="00B65FD7">
        <w:rPr>
          <w:rFonts w:ascii="Times New Roman" w:hAnsi="Times New Roman" w:cs="Times New Roman" w:hint="eastAsia"/>
          <w:sz w:val="24"/>
        </w:rPr>
        <w:t xml:space="preserve"> </w:t>
      </w:r>
      <w:r w:rsidR="00B65FD7" w:rsidRPr="00B65FD7">
        <w:rPr>
          <w:rFonts w:ascii="Times New Roman" w:hAnsi="Times New Roman" w:cs="Times New Roman"/>
          <w:sz w:val="24"/>
        </w:rPr>
        <w:t>Table 2 summarises the three case-specific ESG assurance challenges and the related sceptical audit responses.</w:t>
      </w:r>
    </w:p>
    <w:p w14:paraId="0F014D7E" w14:textId="0459F981" w:rsidR="004C674F" w:rsidRPr="004C674F" w:rsidRDefault="004C674F" w:rsidP="004C674F">
      <w:pPr>
        <w:pStyle w:val="af6"/>
        <w:keepNext/>
        <w:rPr>
          <w:rFonts w:ascii="Times New Roman" w:hAnsi="Times New Roman" w:cs="Times New Roman"/>
          <w:sz w:val="24"/>
          <w:szCs w:val="24"/>
        </w:rPr>
      </w:pPr>
      <w:r w:rsidRPr="004C674F">
        <w:rPr>
          <w:rFonts w:ascii="Times New Roman" w:hAnsi="Times New Roman" w:cs="Times New Roman"/>
          <w:b/>
          <w:bCs/>
          <w:sz w:val="24"/>
          <w:szCs w:val="24"/>
        </w:rPr>
        <w:lastRenderedPageBreak/>
        <w:t xml:space="preserve">Table </w:t>
      </w:r>
      <w:r w:rsidRPr="004C674F">
        <w:rPr>
          <w:rFonts w:ascii="Times New Roman" w:hAnsi="Times New Roman" w:cs="Times New Roman"/>
          <w:b/>
          <w:bCs/>
          <w:sz w:val="24"/>
          <w:szCs w:val="24"/>
        </w:rPr>
        <w:fldChar w:fldCharType="begin"/>
      </w:r>
      <w:r w:rsidRPr="004C674F">
        <w:rPr>
          <w:rFonts w:ascii="Times New Roman" w:hAnsi="Times New Roman" w:cs="Times New Roman"/>
          <w:b/>
          <w:bCs/>
          <w:sz w:val="24"/>
          <w:szCs w:val="24"/>
        </w:rPr>
        <w:instrText xml:space="preserve"> SEQ Table \* ARABIC </w:instrText>
      </w:r>
      <w:r w:rsidRPr="004C674F">
        <w:rPr>
          <w:rFonts w:ascii="Times New Roman" w:hAnsi="Times New Roman" w:cs="Times New Roman"/>
          <w:b/>
          <w:bCs/>
          <w:sz w:val="24"/>
          <w:szCs w:val="24"/>
        </w:rPr>
        <w:fldChar w:fldCharType="separate"/>
      </w:r>
      <w:r w:rsidR="001C3B04">
        <w:rPr>
          <w:rFonts w:ascii="Times New Roman" w:hAnsi="Times New Roman" w:cs="Times New Roman"/>
          <w:b/>
          <w:bCs/>
          <w:noProof/>
          <w:sz w:val="24"/>
          <w:szCs w:val="24"/>
        </w:rPr>
        <w:t>2</w:t>
      </w:r>
      <w:r w:rsidRPr="004C674F">
        <w:rPr>
          <w:rFonts w:ascii="Times New Roman" w:hAnsi="Times New Roman" w:cs="Times New Roman"/>
          <w:b/>
          <w:bCs/>
          <w:sz w:val="24"/>
          <w:szCs w:val="24"/>
        </w:rPr>
        <w:fldChar w:fldCharType="end"/>
      </w:r>
      <w:r w:rsidRPr="004C674F">
        <w:rPr>
          <w:rFonts w:ascii="Times New Roman" w:hAnsi="Times New Roman" w:cs="Times New Roman"/>
          <w:b/>
          <w:bCs/>
          <w:sz w:val="24"/>
          <w:szCs w:val="24"/>
        </w:rPr>
        <w:t>.</w:t>
      </w:r>
      <w:r w:rsidRPr="004C674F">
        <w:rPr>
          <w:rFonts w:ascii="Times New Roman" w:hAnsi="Times New Roman" w:cs="Times New Roman"/>
          <w:sz w:val="24"/>
          <w:szCs w:val="24"/>
        </w:rPr>
        <w:t xml:space="preserve"> ESG Assurance Challenges and Sceptical Responses for GTS</w:t>
      </w:r>
    </w:p>
    <w:tbl>
      <w:tblPr>
        <w:tblStyle w:val="af2"/>
        <w:tblW w:w="0" w:type="auto"/>
        <w:tblLook w:val="04A0" w:firstRow="1" w:lastRow="0" w:firstColumn="1" w:lastColumn="0" w:noHBand="0" w:noVBand="1"/>
      </w:tblPr>
      <w:tblGrid>
        <w:gridCol w:w="2691"/>
        <w:gridCol w:w="3060"/>
        <w:gridCol w:w="3309"/>
      </w:tblGrid>
      <w:tr w:rsidR="002A1C23" w:rsidRPr="00311959" w14:paraId="6AB4C152" w14:textId="77777777" w:rsidTr="00AF0E8E">
        <w:trPr>
          <w:cantSplit/>
          <w:tblHeader/>
        </w:trPr>
        <w:tc>
          <w:tcPr>
            <w:tcW w:w="0" w:type="auto"/>
            <w:shd w:val="clear" w:color="auto" w:fill="DEEAF6" w:themeFill="accent5" w:themeFillTint="33"/>
            <w:vAlign w:val="center"/>
            <w:hideMark/>
          </w:tcPr>
          <w:p w14:paraId="00E6AF00" w14:textId="6BBF5EDB" w:rsidR="002A1C23" w:rsidRPr="002A1C23" w:rsidRDefault="002A1C23" w:rsidP="002A1C23">
            <w:pPr>
              <w:spacing w:line="360" w:lineRule="auto"/>
              <w:jc w:val="center"/>
              <w:rPr>
                <w:rFonts w:ascii="Times New Roman" w:hAnsi="Times New Roman" w:cs="Times New Roman"/>
                <w:b/>
                <w:bCs/>
                <w:sz w:val="24"/>
                <w:szCs w:val="28"/>
              </w:rPr>
            </w:pPr>
            <w:r w:rsidRPr="002A1C23">
              <w:rPr>
                <w:rFonts w:ascii="Times New Roman" w:hAnsi="Times New Roman" w:cs="Times New Roman"/>
                <w:b/>
                <w:bCs/>
                <w:sz w:val="24"/>
                <w:szCs w:val="28"/>
              </w:rPr>
              <w:t>Challenge</w:t>
            </w:r>
          </w:p>
        </w:tc>
        <w:tc>
          <w:tcPr>
            <w:tcW w:w="0" w:type="auto"/>
            <w:shd w:val="clear" w:color="auto" w:fill="DEEAF6" w:themeFill="accent5" w:themeFillTint="33"/>
            <w:vAlign w:val="center"/>
            <w:hideMark/>
          </w:tcPr>
          <w:p w14:paraId="2CD4486D" w14:textId="46D89B13" w:rsidR="002A1C23" w:rsidRPr="002A1C23" w:rsidRDefault="002A1C23" w:rsidP="002A1C23">
            <w:pPr>
              <w:spacing w:line="360" w:lineRule="auto"/>
              <w:jc w:val="center"/>
              <w:rPr>
                <w:rFonts w:ascii="Times New Roman" w:hAnsi="Times New Roman" w:cs="Times New Roman"/>
                <w:b/>
                <w:bCs/>
                <w:sz w:val="24"/>
                <w:szCs w:val="28"/>
              </w:rPr>
            </w:pPr>
            <w:r w:rsidRPr="002A1C23">
              <w:rPr>
                <w:rFonts w:ascii="Times New Roman" w:hAnsi="Times New Roman" w:cs="Times New Roman"/>
                <w:b/>
                <w:bCs/>
                <w:sz w:val="24"/>
                <w:szCs w:val="28"/>
              </w:rPr>
              <w:t>GTS trigger</w:t>
            </w:r>
          </w:p>
        </w:tc>
        <w:tc>
          <w:tcPr>
            <w:tcW w:w="0" w:type="auto"/>
            <w:shd w:val="clear" w:color="auto" w:fill="DEEAF6" w:themeFill="accent5" w:themeFillTint="33"/>
            <w:vAlign w:val="center"/>
            <w:hideMark/>
          </w:tcPr>
          <w:p w14:paraId="66EB44A1" w14:textId="7228DA72" w:rsidR="002A1C23" w:rsidRPr="002A1C23" w:rsidRDefault="002A1C23" w:rsidP="002A1C23">
            <w:pPr>
              <w:spacing w:line="360" w:lineRule="auto"/>
              <w:jc w:val="center"/>
              <w:rPr>
                <w:rFonts w:ascii="Times New Roman" w:hAnsi="Times New Roman" w:cs="Times New Roman"/>
                <w:b/>
                <w:bCs/>
                <w:sz w:val="24"/>
                <w:szCs w:val="28"/>
              </w:rPr>
            </w:pPr>
            <w:r w:rsidRPr="002A1C23">
              <w:rPr>
                <w:rFonts w:ascii="Times New Roman" w:hAnsi="Times New Roman" w:cs="Times New Roman"/>
                <w:b/>
                <w:bCs/>
                <w:sz w:val="24"/>
                <w:szCs w:val="28"/>
              </w:rPr>
              <w:t>Sceptical audit response</w:t>
            </w:r>
          </w:p>
        </w:tc>
      </w:tr>
      <w:tr w:rsidR="002A1C23" w:rsidRPr="00311959" w14:paraId="1665D96C" w14:textId="77777777" w:rsidTr="00AF0E8E">
        <w:trPr>
          <w:cantSplit/>
          <w:tblHeader/>
        </w:trPr>
        <w:tc>
          <w:tcPr>
            <w:tcW w:w="0" w:type="auto"/>
            <w:vAlign w:val="center"/>
            <w:hideMark/>
          </w:tcPr>
          <w:p w14:paraId="33694D71" w14:textId="5AB726DB" w:rsidR="002A1C23" w:rsidRPr="002A1C23" w:rsidRDefault="002A1C23" w:rsidP="002A1C23">
            <w:pPr>
              <w:spacing w:line="360" w:lineRule="auto"/>
              <w:jc w:val="center"/>
              <w:rPr>
                <w:rFonts w:ascii="Times New Roman" w:hAnsi="Times New Roman" w:cs="Times New Roman"/>
                <w:sz w:val="24"/>
                <w:szCs w:val="28"/>
              </w:rPr>
            </w:pPr>
            <w:r w:rsidRPr="002A1C23">
              <w:rPr>
                <w:rFonts w:ascii="Times New Roman" w:hAnsi="Times New Roman" w:cs="Times New Roman"/>
                <w:sz w:val="24"/>
                <w:szCs w:val="28"/>
              </w:rPr>
              <w:t>Data quality and granularity</w:t>
            </w:r>
          </w:p>
        </w:tc>
        <w:tc>
          <w:tcPr>
            <w:tcW w:w="0" w:type="auto"/>
            <w:vAlign w:val="center"/>
            <w:hideMark/>
          </w:tcPr>
          <w:p w14:paraId="69CCBC0B" w14:textId="251FDFD9" w:rsidR="002A1C23" w:rsidRPr="002A1C23" w:rsidRDefault="002A1C23" w:rsidP="002A1C23">
            <w:pPr>
              <w:spacing w:line="360" w:lineRule="auto"/>
              <w:jc w:val="center"/>
              <w:rPr>
                <w:rFonts w:ascii="Times New Roman" w:hAnsi="Times New Roman" w:cs="Times New Roman"/>
                <w:sz w:val="24"/>
                <w:szCs w:val="28"/>
              </w:rPr>
            </w:pPr>
            <w:r w:rsidRPr="002A1C23">
              <w:rPr>
                <w:rFonts w:ascii="Times New Roman" w:hAnsi="Times New Roman" w:cs="Times New Roman"/>
                <w:sz w:val="24"/>
                <w:szCs w:val="28"/>
              </w:rPr>
              <w:t>Marketing</w:t>
            </w:r>
            <w:r w:rsidR="0037561E">
              <w:rPr>
                <w:rFonts w:ascii="Times New Roman" w:hAnsi="Times New Roman" w:cs="Times New Roman" w:hint="eastAsia"/>
                <w:sz w:val="24"/>
                <w:szCs w:val="28"/>
              </w:rPr>
              <w:t xml:space="preserve"> </w:t>
            </w:r>
            <w:r w:rsidRPr="002A1C23">
              <w:rPr>
                <w:rFonts w:ascii="Times New Roman" w:hAnsi="Times New Roman" w:cs="Times New Roman"/>
                <w:sz w:val="24"/>
                <w:szCs w:val="28"/>
              </w:rPr>
              <w:t>/</w:t>
            </w:r>
            <w:r w:rsidR="0037561E">
              <w:rPr>
                <w:rFonts w:ascii="Times New Roman" w:hAnsi="Times New Roman" w:cs="Times New Roman" w:hint="eastAsia"/>
                <w:sz w:val="24"/>
                <w:szCs w:val="28"/>
              </w:rPr>
              <w:t xml:space="preserve"> </w:t>
            </w:r>
            <w:r w:rsidRPr="002A1C23">
              <w:rPr>
                <w:rFonts w:ascii="Times New Roman" w:hAnsi="Times New Roman" w:cs="Times New Roman"/>
                <w:sz w:val="24"/>
                <w:szCs w:val="28"/>
              </w:rPr>
              <w:t>CSR data; internal AI carbon model</w:t>
            </w:r>
          </w:p>
        </w:tc>
        <w:tc>
          <w:tcPr>
            <w:tcW w:w="0" w:type="auto"/>
            <w:vAlign w:val="center"/>
            <w:hideMark/>
          </w:tcPr>
          <w:p w14:paraId="6E56E396" w14:textId="368A1C6B" w:rsidR="002A1C23" w:rsidRPr="002A1C23" w:rsidRDefault="002A1C23" w:rsidP="002A1C23">
            <w:pPr>
              <w:spacing w:line="360" w:lineRule="auto"/>
              <w:jc w:val="center"/>
              <w:rPr>
                <w:rFonts w:ascii="Times New Roman" w:hAnsi="Times New Roman" w:cs="Times New Roman"/>
                <w:sz w:val="24"/>
                <w:szCs w:val="28"/>
              </w:rPr>
            </w:pPr>
            <w:r w:rsidRPr="002A1C23">
              <w:rPr>
                <w:rFonts w:ascii="Times New Roman" w:hAnsi="Times New Roman" w:cs="Times New Roman"/>
                <w:sz w:val="24"/>
                <w:szCs w:val="28"/>
              </w:rPr>
              <w:t>Test controls, inputs, assumptions and model access</w:t>
            </w:r>
          </w:p>
        </w:tc>
      </w:tr>
      <w:tr w:rsidR="002A1C23" w:rsidRPr="00311959" w14:paraId="4CC8FBBE" w14:textId="77777777" w:rsidTr="00AF0E8E">
        <w:trPr>
          <w:cantSplit/>
          <w:tblHeader/>
        </w:trPr>
        <w:tc>
          <w:tcPr>
            <w:tcW w:w="0" w:type="auto"/>
            <w:vAlign w:val="center"/>
            <w:hideMark/>
          </w:tcPr>
          <w:p w14:paraId="5C52B550" w14:textId="6A319A97" w:rsidR="002A1C23" w:rsidRPr="002A1C23" w:rsidRDefault="002A1C23" w:rsidP="002A1C23">
            <w:pPr>
              <w:spacing w:line="360" w:lineRule="auto"/>
              <w:jc w:val="center"/>
              <w:rPr>
                <w:rFonts w:ascii="Times New Roman" w:hAnsi="Times New Roman" w:cs="Times New Roman"/>
                <w:sz w:val="24"/>
                <w:szCs w:val="28"/>
              </w:rPr>
            </w:pPr>
            <w:r w:rsidRPr="002A1C23">
              <w:rPr>
                <w:rFonts w:ascii="Times New Roman" w:hAnsi="Times New Roman" w:cs="Times New Roman"/>
                <w:sz w:val="24"/>
                <w:szCs w:val="28"/>
              </w:rPr>
              <w:t>Measurement and consistency</w:t>
            </w:r>
          </w:p>
        </w:tc>
        <w:tc>
          <w:tcPr>
            <w:tcW w:w="0" w:type="auto"/>
            <w:vAlign w:val="center"/>
            <w:hideMark/>
          </w:tcPr>
          <w:p w14:paraId="6C0296ED" w14:textId="246290F4" w:rsidR="002A1C23" w:rsidRPr="002A1C23" w:rsidRDefault="002A1C23" w:rsidP="002A1C23">
            <w:pPr>
              <w:spacing w:line="360" w:lineRule="auto"/>
              <w:jc w:val="center"/>
              <w:rPr>
                <w:rFonts w:ascii="Times New Roman" w:hAnsi="Times New Roman" w:cs="Times New Roman"/>
                <w:sz w:val="24"/>
                <w:szCs w:val="28"/>
              </w:rPr>
            </w:pPr>
            <w:r w:rsidRPr="002A1C23">
              <w:rPr>
                <w:rFonts w:ascii="Times New Roman" w:hAnsi="Times New Roman" w:cs="Times New Roman"/>
                <w:sz w:val="24"/>
                <w:szCs w:val="28"/>
              </w:rPr>
              <w:t>Recycled content percentage</w:t>
            </w:r>
          </w:p>
        </w:tc>
        <w:tc>
          <w:tcPr>
            <w:tcW w:w="0" w:type="auto"/>
            <w:vAlign w:val="center"/>
            <w:hideMark/>
          </w:tcPr>
          <w:p w14:paraId="3A64EC46" w14:textId="1548ABF7" w:rsidR="002A1C23" w:rsidRPr="002A1C23" w:rsidRDefault="002A1C23" w:rsidP="002A1C23">
            <w:pPr>
              <w:spacing w:line="360" w:lineRule="auto"/>
              <w:jc w:val="center"/>
              <w:rPr>
                <w:rFonts w:ascii="Times New Roman" w:hAnsi="Times New Roman" w:cs="Times New Roman"/>
                <w:sz w:val="24"/>
                <w:szCs w:val="28"/>
              </w:rPr>
            </w:pPr>
            <w:r w:rsidRPr="002A1C23">
              <w:rPr>
                <w:rFonts w:ascii="Times New Roman" w:hAnsi="Times New Roman" w:cs="Times New Roman"/>
                <w:sz w:val="24"/>
                <w:szCs w:val="28"/>
              </w:rPr>
              <w:t>Benchmark criteria and test consistent application</w:t>
            </w:r>
          </w:p>
        </w:tc>
      </w:tr>
      <w:tr w:rsidR="002A1C23" w:rsidRPr="00311959" w14:paraId="1915A32B" w14:textId="77777777" w:rsidTr="00AF0E8E">
        <w:trPr>
          <w:cantSplit/>
          <w:tblHeader/>
        </w:trPr>
        <w:tc>
          <w:tcPr>
            <w:tcW w:w="0" w:type="auto"/>
            <w:vAlign w:val="center"/>
            <w:hideMark/>
          </w:tcPr>
          <w:p w14:paraId="556E7858" w14:textId="5016EFDB" w:rsidR="002A1C23" w:rsidRPr="002A1C23" w:rsidRDefault="002A1C23" w:rsidP="002A1C23">
            <w:pPr>
              <w:spacing w:line="360" w:lineRule="auto"/>
              <w:jc w:val="center"/>
              <w:rPr>
                <w:rFonts w:ascii="Times New Roman" w:hAnsi="Times New Roman" w:cs="Times New Roman"/>
                <w:sz w:val="24"/>
                <w:szCs w:val="28"/>
              </w:rPr>
            </w:pPr>
            <w:r w:rsidRPr="002A1C23">
              <w:rPr>
                <w:rFonts w:ascii="Times New Roman" w:hAnsi="Times New Roman" w:cs="Times New Roman"/>
                <w:sz w:val="24"/>
                <w:szCs w:val="28"/>
              </w:rPr>
              <w:t>Third-party and supply-chain reliance</w:t>
            </w:r>
          </w:p>
        </w:tc>
        <w:tc>
          <w:tcPr>
            <w:tcW w:w="0" w:type="auto"/>
            <w:vAlign w:val="center"/>
            <w:hideMark/>
          </w:tcPr>
          <w:p w14:paraId="0A0BBD63" w14:textId="62702D66" w:rsidR="002A1C23" w:rsidRPr="002A1C23" w:rsidRDefault="002A1C23" w:rsidP="002A1C23">
            <w:pPr>
              <w:spacing w:line="360" w:lineRule="auto"/>
              <w:jc w:val="center"/>
              <w:rPr>
                <w:rFonts w:ascii="Times New Roman" w:hAnsi="Times New Roman" w:cs="Times New Roman"/>
                <w:sz w:val="24"/>
                <w:szCs w:val="28"/>
              </w:rPr>
            </w:pPr>
            <w:r w:rsidRPr="002A1C23">
              <w:rPr>
                <w:rFonts w:ascii="Times New Roman" w:hAnsi="Times New Roman" w:cs="Times New Roman"/>
                <w:sz w:val="24"/>
                <w:szCs w:val="28"/>
              </w:rPr>
              <w:t>Supplier X; email surveys; NGO allegations</w:t>
            </w:r>
          </w:p>
        </w:tc>
        <w:tc>
          <w:tcPr>
            <w:tcW w:w="0" w:type="auto"/>
            <w:vAlign w:val="center"/>
            <w:hideMark/>
          </w:tcPr>
          <w:p w14:paraId="7F6D2447" w14:textId="52B6AFB8" w:rsidR="002A1C23" w:rsidRPr="002A1C23" w:rsidRDefault="002A1C23" w:rsidP="002A1C23">
            <w:pPr>
              <w:spacing w:line="360" w:lineRule="auto"/>
              <w:jc w:val="center"/>
              <w:rPr>
                <w:rFonts w:ascii="Times New Roman" w:hAnsi="Times New Roman" w:cs="Times New Roman"/>
                <w:sz w:val="24"/>
                <w:szCs w:val="28"/>
              </w:rPr>
            </w:pPr>
            <w:r w:rsidRPr="002A1C23">
              <w:rPr>
                <w:rFonts w:ascii="Times New Roman" w:hAnsi="Times New Roman" w:cs="Times New Roman"/>
                <w:sz w:val="24"/>
                <w:szCs w:val="28"/>
              </w:rPr>
              <w:t>Corroborate externally and document access limits</w:t>
            </w:r>
          </w:p>
        </w:tc>
      </w:tr>
    </w:tbl>
    <w:p w14:paraId="1C085F64" w14:textId="0759DD81" w:rsidR="0037561E" w:rsidRPr="0037561E" w:rsidRDefault="0037561E" w:rsidP="0080401B">
      <w:pPr>
        <w:spacing w:line="360" w:lineRule="auto"/>
        <w:jc w:val="both"/>
        <w:rPr>
          <w:rFonts w:ascii="Times New Roman" w:hAnsi="Times New Roman" w:cs="Times New Roman"/>
          <w:sz w:val="24"/>
        </w:rPr>
      </w:pPr>
      <w:r w:rsidRPr="0037561E">
        <w:rPr>
          <w:rFonts w:ascii="Times New Roman" w:hAnsi="Times New Roman" w:cs="Times New Roman"/>
          <w:b/>
          <w:bCs/>
          <w:sz w:val="24"/>
        </w:rPr>
        <w:t xml:space="preserve">Note: </w:t>
      </w:r>
      <w:r w:rsidRPr="0037561E">
        <w:rPr>
          <w:rFonts w:ascii="Times New Roman" w:hAnsi="Times New Roman" w:cs="Times New Roman"/>
          <w:sz w:val="24"/>
        </w:rPr>
        <w:t xml:space="preserve">CSR = </w:t>
      </w:r>
      <w:r w:rsidR="00E84974">
        <w:rPr>
          <w:rFonts w:ascii="Times New Roman" w:hAnsi="Times New Roman" w:cs="Times New Roman" w:hint="eastAsia"/>
          <w:sz w:val="24"/>
        </w:rPr>
        <w:t>c</w:t>
      </w:r>
      <w:r w:rsidRPr="0037561E">
        <w:rPr>
          <w:rFonts w:ascii="Times New Roman" w:hAnsi="Times New Roman" w:cs="Times New Roman"/>
          <w:sz w:val="24"/>
        </w:rPr>
        <w:t xml:space="preserve">orporate </w:t>
      </w:r>
      <w:r w:rsidR="00E84974">
        <w:rPr>
          <w:rFonts w:ascii="Times New Roman" w:hAnsi="Times New Roman" w:cs="Times New Roman" w:hint="eastAsia"/>
          <w:sz w:val="24"/>
        </w:rPr>
        <w:t>s</w:t>
      </w:r>
      <w:r w:rsidRPr="0037561E">
        <w:rPr>
          <w:rFonts w:ascii="Times New Roman" w:hAnsi="Times New Roman" w:cs="Times New Roman"/>
          <w:sz w:val="24"/>
        </w:rPr>
        <w:t xml:space="preserve">ocial </w:t>
      </w:r>
      <w:r w:rsidR="00E84974">
        <w:rPr>
          <w:rFonts w:ascii="Times New Roman" w:hAnsi="Times New Roman" w:cs="Times New Roman" w:hint="eastAsia"/>
          <w:sz w:val="24"/>
        </w:rPr>
        <w:t>r</w:t>
      </w:r>
      <w:r w:rsidRPr="0037561E">
        <w:rPr>
          <w:rFonts w:ascii="Times New Roman" w:hAnsi="Times New Roman" w:cs="Times New Roman"/>
          <w:sz w:val="24"/>
        </w:rPr>
        <w:t>esponsibility; NGO = non-governmental organisation.</w:t>
      </w:r>
    </w:p>
    <w:p w14:paraId="312E660F" w14:textId="28673FD4" w:rsidR="00494C0E" w:rsidRPr="00311959" w:rsidRDefault="00494C0E" w:rsidP="0037561E">
      <w:pPr>
        <w:spacing w:line="360" w:lineRule="auto"/>
        <w:jc w:val="both"/>
        <w:rPr>
          <w:rFonts w:ascii="Times New Roman" w:hAnsi="Times New Roman" w:cs="Times New Roman"/>
          <w:sz w:val="24"/>
        </w:rPr>
      </w:pPr>
      <w:r w:rsidRPr="00311959">
        <w:rPr>
          <w:rFonts w:ascii="Times New Roman" w:hAnsi="Times New Roman" w:cs="Times New Roman"/>
          <w:b/>
          <w:bCs/>
          <w:sz w:val="24"/>
        </w:rPr>
        <w:t>Data Quality and Granularity</w:t>
      </w:r>
    </w:p>
    <w:p w14:paraId="761D5D86" w14:textId="57F4694A" w:rsidR="001D09D7" w:rsidRPr="00311959" w:rsidRDefault="001D09D7" w:rsidP="00AD3B15">
      <w:pPr>
        <w:spacing w:line="360" w:lineRule="auto"/>
        <w:jc w:val="both"/>
        <w:rPr>
          <w:rFonts w:ascii="Times New Roman" w:hAnsi="Times New Roman" w:cs="Times New Roman"/>
          <w:sz w:val="24"/>
        </w:rPr>
      </w:pPr>
      <w:r w:rsidRPr="001D09D7">
        <w:rPr>
          <w:rFonts w:ascii="Times New Roman" w:hAnsi="Times New Roman" w:cs="Times New Roman"/>
          <w:sz w:val="24"/>
        </w:rPr>
        <w:t>Since Marketing</w:t>
      </w:r>
      <w:r w:rsidR="00367447">
        <w:rPr>
          <w:rFonts w:ascii="Times New Roman" w:hAnsi="Times New Roman" w:cs="Times New Roman" w:hint="eastAsia"/>
          <w:sz w:val="24"/>
        </w:rPr>
        <w:t xml:space="preserve"> </w:t>
      </w:r>
      <w:r w:rsidRPr="001D09D7">
        <w:rPr>
          <w:rFonts w:ascii="Times New Roman" w:hAnsi="Times New Roman" w:cs="Times New Roman"/>
          <w:sz w:val="24"/>
        </w:rPr>
        <w:t>/</w:t>
      </w:r>
      <w:r w:rsidR="00367447">
        <w:rPr>
          <w:rFonts w:ascii="Times New Roman" w:hAnsi="Times New Roman" w:cs="Times New Roman" w:hint="eastAsia"/>
          <w:sz w:val="24"/>
        </w:rPr>
        <w:t xml:space="preserve"> </w:t>
      </w:r>
      <w:r w:rsidRPr="001D09D7">
        <w:rPr>
          <w:rFonts w:ascii="Times New Roman" w:hAnsi="Times New Roman" w:cs="Times New Roman"/>
          <w:sz w:val="24"/>
        </w:rPr>
        <w:t>CSR manages GTS</w:t>
      </w:r>
      <w:r w:rsidR="00AF0505">
        <w:rPr>
          <w:rFonts w:ascii="Times New Roman" w:hAnsi="Times New Roman" w:cs="Times New Roman"/>
          <w:sz w:val="24"/>
        </w:rPr>
        <w:t>’</w:t>
      </w:r>
      <w:r w:rsidRPr="001D09D7">
        <w:rPr>
          <w:rFonts w:ascii="Times New Roman" w:hAnsi="Times New Roman" w:cs="Times New Roman"/>
          <w:sz w:val="24"/>
        </w:rPr>
        <w:t xml:space="preserve">s sustainability data with limited finance or internal audit involvement, documentation, review and reputational-bias risks increase. The internally developed AI model for product-level Scope 3 carbon footprints adds estimation risk because Scope 3 data </w:t>
      </w:r>
      <w:proofErr w:type="gramStart"/>
      <w:r w:rsidRPr="001D09D7">
        <w:rPr>
          <w:rFonts w:ascii="Times New Roman" w:hAnsi="Times New Roman" w:cs="Times New Roman"/>
          <w:sz w:val="24"/>
        </w:rPr>
        <w:t>depends</w:t>
      </w:r>
      <w:proofErr w:type="gramEnd"/>
      <w:r w:rsidRPr="001D09D7">
        <w:rPr>
          <w:rFonts w:ascii="Times New Roman" w:hAnsi="Times New Roman" w:cs="Times New Roman"/>
          <w:sz w:val="24"/>
        </w:rPr>
        <w:t xml:space="preserve"> on value-chain information that is difficult to measure and corroborate (Greenhouse Gas Protocol, 2011; </w:t>
      </w:r>
      <w:r w:rsidR="006A744B" w:rsidRPr="006A744B">
        <w:rPr>
          <w:rFonts w:ascii="Times New Roman" w:hAnsi="Times New Roman" w:cs="Times New Roman"/>
          <w:sz w:val="24"/>
        </w:rPr>
        <w:t>Association of Chartered Certified Accountants [ACCA]</w:t>
      </w:r>
      <w:r w:rsidRPr="001D09D7">
        <w:rPr>
          <w:rFonts w:ascii="Times New Roman" w:hAnsi="Times New Roman" w:cs="Times New Roman"/>
          <w:sz w:val="24"/>
        </w:rPr>
        <w:t>, 2023). KPMG should seek access through the engagement terms and request model documentation, data sources, key assumptions, change logs, validation results and management review evidence. If access to proprietary parameters or training data is restricted, KPMG should document the limitation, perform sensitivity or benchmark testing, escalate unresolved restrictions, and assess the effect on the assurance conclusion.</w:t>
      </w:r>
    </w:p>
    <w:p w14:paraId="21C1C4B3" w14:textId="77777777" w:rsidR="00494C0E" w:rsidRPr="00311959" w:rsidRDefault="00494C0E" w:rsidP="00AD3B15">
      <w:pPr>
        <w:spacing w:line="360" w:lineRule="auto"/>
        <w:jc w:val="both"/>
        <w:rPr>
          <w:rFonts w:ascii="Times New Roman" w:hAnsi="Times New Roman" w:cs="Times New Roman"/>
          <w:sz w:val="24"/>
        </w:rPr>
      </w:pPr>
      <w:r w:rsidRPr="00311959">
        <w:rPr>
          <w:rFonts w:ascii="Times New Roman" w:hAnsi="Times New Roman" w:cs="Times New Roman"/>
          <w:b/>
          <w:bCs/>
          <w:sz w:val="24"/>
        </w:rPr>
        <w:t>Measurement and Consistency</w:t>
      </w:r>
    </w:p>
    <w:p w14:paraId="0BFFCCB0" w14:textId="2CF16A49" w:rsidR="001D09D7" w:rsidRPr="00311959" w:rsidRDefault="001D09D7" w:rsidP="00AD3B15">
      <w:pPr>
        <w:spacing w:line="360" w:lineRule="auto"/>
        <w:jc w:val="both"/>
        <w:rPr>
          <w:rFonts w:ascii="Times New Roman" w:hAnsi="Times New Roman" w:cs="Times New Roman"/>
          <w:sz w:val="24"/>
        </w:rPr>
      </w:pPr>
      <w:r w:rsidRPr="001D09D7">
        <w:rPr>
          <w:rFonts w:ascii="Times New Roman" w:hAnsi="Times New Roman" w:cs="Times New Roman"/>
          <w:sz w:val="24"/>
        </w:rPr>
        <w:t>The recycled content allegation makes the definition of “recycled content” a central audit issue. Even if the percentage is arithmetically accurate, it may be misleading if the calculation basis is unclear or inconsistently applied. Global Reporting Initiative (GRI) 301 provides a relevant reference for materials and recycled input materials, but GTS still needs a clear method suitable for its products (Global Sustainability Standards Board [GSSB], 2016a; IAASB, 2013). KPMG should compare GTS</w:t>
      </w:r>
      <w:r w:rsidR="00AF0505">
        <w:rPr>
          <w:rFonts w:ascii="Times New Roman" w:hAnsi="Times New Roman" w:cs="Times New Roman"/>
          <w:sz w:val="24"/>
        </w:rPr>
        <w:t>’</w:t>
      </w:r>
      <w:r w:rsidRPr="001D09D7">
        <w:rPr>
          <w:rFonts w:ascii="Times New Roman" w:hAnsi="Times New Roman" w:cs="Times New Roman"/>
          <w:sz w:val="24"/>
        </w:rPr>
        <w:t xml:space="preserve">s definition with GRI 301, supplier certificates, industry practice and </w:t>
      </w:r>
      <w:r w:rsidRPr="001D09D7">
        <w:rPr>
          <w:rFonts w:ascii="Times New Roman" w:hAnsi="Times New Roman" w:cs="Times New Roman"/>
          <w:sz w:val="24"/>
        </w:rPr>
        <w:lastRenderedPageBreak/>
        <w:t>prior-period methodology, and test whether the same basis, such as weight, cost or product category, is applied consistently across product lines and periods.</w:t>
      </w:r>
    </w:p>
    <w:p w14:paraId="25DCC2FF" w14:textId="1795157D" w:rsidR="00494C0E" w:rsidRPr="00311959" w:rsidRDefault="00494C0E" w:rsidP="00AD3B15">
      <w:pPr>
        <w:spacing w:line="360" w:lineRule="auto"/>
        <w:jc w:val="both"/>
        <w:rPr>
          <w:rFonts w:ascii="Times New Roman" w:hAnsi="Times New Roman" w:cs="Times New Roman"/>
          <w:sz w:val="24"/>
        </w:rPr>
      </w:pPr>
      <w:r w:rsidRPr="00311959">
        <w:rPr>
          <w:rFonts w:ascii="Times New Roman" w:hAnsi="Times New Roman" w:cs="Times New Roman"/>
          <w:b/>
          <w:bCs/>
          <w:sz w:val="24"/>
        </w:rPr>
        <w:t>Third</w:t>
      </w:r>
      <w:r w:rsidR="003801AA" w:rsidRPr="00311959">
        <w:rPr>
          <w:rFonts w:ascii="Times New Roman" w:hAnsi="Times New Roman" w:cs="Times New Roman"/>
          <w:b/>
          <w:bCs/>
          <w:sz w:val="24"/>
        </w:rPr>
        <w:t>-</w:t>
      </w:r>
      <w:r w:rsidRPr="00311959">
        <w:rPr>
          <w:rFonts w:ascii="Times New Roman" w:hAnsi="Times New Roman" w:cs="Times New Roman"/>
          <w:b/>
          <w:bCs/>
          <w:sz w:val="24"/>
        </w:rPr>
        <w:t>Party and Supply Chain Reliance</w:t>
      </w:r>
    </w:p>
    <w:p w14:paraId="0604C100" w14:textId="7C315FD4" w:rsidR="001D09D7" w:rsidRPr="00311959" w:rsidRDefault="001D09D7" w:rsidP="00AD3B15">
      <w:pPr>
        <w:spacing w:line="360" w:lineRule="auto"/>
        <w:jc w:val="both"/>
        <w:rPr>
          <w:rFonts w:ascii="Times New Roman" w:hAnsi="Times New Roman" w:cs="Times New Roman"/>
          <w:sz w:val="24"/>
        </w:rPr>
      </w:pPr>
      <w:r w:rsidRPr="001D09D7">
        <w:rPr>
          <w:rFonts w:ascii="Times New Roman" w:hAnsi="Times New Roman" w:cs="Times New Roman"/>
          <w:sz w:val="24"/>
        </w:rPr>
        <w:t xml:space="preserve">Supplier X creates a further evidence challenge because labour and emissions information </w:t>
      </w:r>
      <w:proofErr w:type="gramStart"/>
      <w:r w:rsidRPr="001D09D7">
        <w:rPr>
          <w:rFonts w:ascii="Times New Roman" w:hAnsi="Times New Roman" w:cs="Times New Roman"/>
          <w:sz w:val="24"/>
        </w:rPr>
        <w:t>sits</w:t>
      </w:r>
      <w:proofErr w:type="gramEnd"/>
      <w:r w:rsidRPr="001D09D7">
        <w:rPr>
          <w:rFonts w:ascii="Times New Roman" w:hAnsi="Times New Roman" w:cs="Times New Roman"/>
          <w:sz w:val="24"/>
        </w:rPr>
        <w:t xml:space="preserve"> outside GTS</w:t>
      </w:r>
      <w:r w:rsidR="00AF0505">
        <w:rPr>
          <w:rFonts w:ascii="Times New Roman" w:hAnsi="Times New Roman" w:cs="Times New Roman"/>
          <w:sz w:val="24"/>
        </w:rPr>
        <w:t>’</w:t>
      </w:r>
      <w:r w:rsidRPr="001D09D7">
        <w:rPr>
          <w:rFonts w:ascii="Times New Roman" w:hAnsi="Times New Roman" w:cs="Times New Roman"/>
          <w:sz w:val="24"/>
        </w:rPr>
        <w:t>s direct control. Supplier data collected through sporadic email surveys is weak evidence because it is self-reported, informal and difficult to verify independently. Responsible supply-chain due diligence requires companies to identify, prevent and address adverse impacts in business relationships, so KPMG should not rely on supplier self-reporting alone (Organisation for Economic Co-operation and Development [OECD], 2018). The team should seek corroboration from contracts, purchase records, independent certifications, inspection reports, emissions documents and credible external sources. If site records or direct supplier access are unavailable, KPMG should record the evidence gap, management</w:t>
      </w:r>
      <w:r w:rsidR="00AF0505">
        <w:rPr>
          <w:rFonts w:ascii="Times New Roman" w:hAnsi="Times New Roman" w:cs="Times New Roman"/>
          <w:sz w:val="24"/>
        </w:rPr>
        <w:t>’</w:t>
      </w:r>
      <w:r w:rsidRPr="001D09D7">
        <w:rPr>
          <w:rFonts w:ascii="Times New Roman" w:hAnsi="Times New Roman" w:cs="Times New Roman"/>
          <w:sz w:val="24"/>
        </w:rPr>
        <w:t>s explanation, alternative procedures and unresolved contradictions, because audit evidence must be sufficient and appropriate rather than merely available (IAASB, 2009b).</w:t>
      </w:r>
    </w:p>
    <w:p w14:paraId="01D15C12" w14:textId="29036D6A" w:rsidR="00494C0E" w:rsidRPr="00311959" w:rsidRDefault="00494C0E" w:rsidP="00AD3B15">
      <w:pPr>
        <w:spacing w:line="360" w:lineRule="auto"/>
        <w:jc w:val="both"/>
        <w:rPr>
          <w:rFonts w:ascii="Times New Roman" w:hAnsi="Times New Roman" w:cs="Times New Roman"/>
          <w:sz w:val="24"/>
        </w:rPr>
      </w:pPr>
      <w:r w:rsidRPr="00311959">
        <w:rPr>
          <w:rFonts w:ascii="Times New Roman" w:hAnsi="Times New Roman" w:cs="Times New Roman"/>
          <w:b/>
          <w:bCs/>
          <w:sz w:val="24"/>
        </w:rPr>
        <w:t>Professional Scepticism</w:t>
      </w:r>
    </w:p>
    <w:p w14:paraId="5C8FBAF4" w14:textId="0FBDE0A2" w:rsidR="006C61DC" w:rsidRPr="00311959" w:rsidRDefault="001D09D7" w:rsidP="00AD3B15">
      <w:pPr>
        <w:spacing w:line="360" w:lineRule="auto"/>
        <w:jc w:val="both"/>
        <w:rPr>
          <w:rFonts w:ascii="Times New Roman" w:hAnsi="Times New Roman" w:cs="Times New Roman"/>
          <w:sz w:val="24"/>
        </w:rPr>
      </w:pPr>
      <w:r w:rsidRPr="001D09D7">
        <w:rPr>
          <w:rFonts w:ascii="Times New Roman" w:hAnsi="Times New Roman" w:cs="Times New Roman"/>
          <w:sz w:val="24"/>
        </w:rPr>
        <w:t>Professional scepticism must be applied more rigorously because GTS has strong incentives to protect its sustainability branding. Compared with financial auditing, where bias often appears through earnings management or management override, the key ESG bias is reputation management or greenwashing. Sustainability assurance can improve credibility, but greenwashing concerns remain where corporate claims exceed verifiable evidence (International Federation of Accountants [IFAC], 2018; Free, Jones and Tremblay, 2024). KPMG should challenge the competence of Marketing</w:t>
      </w:r>
      <w:r w:rsidR="00367447">
        <w:rPr>
          <w:rFonts w:ascii="Times New Roman" w:hAnsi="Times New Roman" w:cs="Times New Roman" w:hint="eastAsia"/>
          <w:sz w:val="24"/>
        </w:rPr>
        <w:t xml:space="preserve"> </w:t>
      </w:r>
      <w:r w:rsidRPr="001D09D7">
        <w:rPr>
          <w:rFonts w:ascii="Times New Roman" w:hAnsi="Times New Roman" w:cs="Times New Roman"/>
          <w:sz w:val="24"/>
        </w:rPr>
        <w:t>/</w:t>
      </w:r>
      <w:r w:rsidR="00367447">
        <w:rPr>
          <w:rFonts w:ascii="Times New Roman" w:hAnsi="Times New Roman" w:cs="Times New Roman" w:hint="eastAsia"/>
          <w:sz w:val="24"/>
        </w:rPr>
        <w:t xml:space="preserve"> </w:t>
      </w:r>
      <w:r w:rsidRPr="001D09D7">
        <w:rPr>
          <w:rFonts w:ascii="Times New Roman" w:hAnsi="Times New Roman" w:cs="Times New Roman"/>
          <w:sz w:val="24"/>
        </w:rPr>
        <w:t>CSR personnel, the neutrality of the recycled-content methodology and the reasonableness of AI model assumptions. External allegations should be treated as contradictory evidence requiring follow-up. Overall, scepticism should be evidenced through documented challenges, alternative procedures and clear conclusions on whether remaining limitations are acceptable for limited assurance.</w:t>
      </w:r>
    </w:p>
    <w:p w14:paraId="52637F06" w14:textId="67AA7F82" w:rsidR="008314C9" w:rsidRPr="00311959" w:rsidRDefault="008314C9" w:rsidP="00AD3B15">
      <w:pPr>
        <w:pStyle w:val="41"/>
        <w:spacing w:line="360" w:lineRule="auto"/>
        <w:jc w:val="both"/>
      </w:pPr>
      <w:bookmarkStart w:id="5" w:name="_Toc229797762"/>
      <w:r w:rsidRPr="00311959">
        <w:lastRenderedPageBreak/>
        <w:t>1.3 Materiality and Stakeholders</w:t>
      </w:r>
      <w:bookmarkEnd w:id="5"/>
    </w:p>
    <w:p w14:paraId="46ECE5E4" w14:textId="770A6E58" w:rsidR="001D09D7" w:rsidRPr="001D09D7" w:rsidRDefault="001D09D7" w:rsidP="001D09D7">
      <w:pPr>
        <w:spacing w:line="360" w:lineRule="auto"/>
        <w:jc w:val="both"/>
        <w:rPr>
          <w:rFonts w:ascii="Times New Roman" w:hAnsi="Times New Roman" w:cs="Times New Roman"/>
          <w:sz w:val="24"/>
        </w:rPr>
      </w:pPr>
      <w:r w:rsidRPr="001D09D7">
        <w:rPr>
          <w:rFonts w:ascii="Times New Roman" w:hAnsi="Times New Roman" w:cs="Times New Roman" w:hint="eastAsia"/>
          <w:sz w:val="24"/>
        </w:rPr>
        <w:t>Materiality determines assurance focus and how misstatements or evidence limitations are evaluated (IAASB, 2009c). In the financial audit, materiality is mainly assessed from financial statement users</w:t>
      </w:r>
      <w:r w:rsidR="00AF0505">
        <w:rPr>
          <w:rFonts w:ascii="Times New Roman" w:hAnsi="Times New Roman" w:cs="Times New Roman"/>
          <w:sz w:val="24"/>
        </w:rPr>
        <w:t>’</w:t>
      </w:r>
      <w:r w:rsidRPr="001D09D7">
        <w:rPr>
          <w:rFonts w:ascii="Times New Roman" w:hAnsi="Times New Roman" w:cs="Times New Roman" w:hint="eastAsia"/>
          <w:sz w:val="24"/>
        </w:rPr>
        <w:t xml:space="preserve"> perspective, using quantitative benchmarks and qualitative judgement. For GTS</w:t>
      </w:r>
      <w:r w:rsidR="00AF0505">
        <w:rPr>
          <w:rFonts w:ascii="Times New Roman" w:hAnsi="Times New Roman" w:cs="Times New Roman"/>
          <w:sz w:val="24"/>
        </w:rPr>
        <w:t>’</w:t>
      </w:r>
      <w:r w:rsidRPr="001D09D7">
        <w:rPr>
          <w:rFonts w:ascii="Times New Roman" w:hAnsi="Times New Roman" w:cs="Times New Roman" w:hint="eastAsia"/>
          <w:sz w:val="24"/>
        </w:rPr>
        <w:t>s ESG indicators, materiality is broader than in the financial audit because sustainability information may be non-financial, qualitative and relevant before any immediate financial statement effect arises. Under International Financial Reporting Standards (IFRS) S1, sustainability-related information is material if omitting, misstating or obscuring it could reasonably influence primary users</w:t>
      </w:r>
      <w:r w:rsidR="00AF0505">
        <w:rPr>
          <w:rFonts w:ascii="Times New Roman" w:hAnsi="Times New Roman" w:cs="Times New Roman"/>
          <w:sz w:val="24"/>
        </w:rPr>
        <w:t>’</w:t>
      </w:r>
      <w:r w:rsidRPr="001D09D7">
        <w:rPr>
          <w:rFonts w:ascii="Times New Roman" w:hAnsi="Times New Roman" w:cs="Times New Roman" w:hint="eastAsia"/>
          <w:sz w:val="24"/>
        </w:rPr>
        <w:t xml:space="preserve"> decisions (International Sustainability Standards Board [ISSB], 2023).</w:t>
      </w:r>
    </w:p>
    <w:p w14:paraId="4D74BD91" w14:textId="68D4EDB0" w:rsidR="001D09D7" w:rsidRPr="00311959" w:rsidRDefault="001D09D7" w:rsidP="001D09D7">
      <w:pPr>
        <w:spacing w:line="360" w:lineRule="auto"/>
        <w:jc w:val="both"/>
        <w:rPr>
          <w:rFonts w:ascii="Times New Roman" w:hAnsi="Times New Roman" w:cs="Times New Roman"/>
          <w:sz w:val="24"/>
        </w:rPr>
      </w:pPr>
      <w:r w:rsidRPr="001D09D7">
        <w:rPr>
          <w:rFonts w:ascii="Times New Roman" w:hAnsi="Times New Roman" w:cs="Times New Roman" w:hint="eastAsia"/>
          <w:sz w:val="24"/>
        </w:rPr>
        <w:t>Double materiality is useful because it considers both how ESG issues affect GTS and how GTS affects people and the environment. Financial materiality covers greenwashing risk, carbon exposure, financing effects and supply-chain resilience, while impact materiality covers labour conditions, emissions and product-related environmental claims affecting broader stakeholders (</w:t>
      </w:r>
      <w:r w:rsidR="001005B3" w:rsidRPr="001005B3">
        <w:rPr>
          <w:rFonts w:ascii="Times New Roman" w:hAnsi="Times New Roman" w:cs="Times New Roman"/>
          <w:sz w:val="24"/>
        </w:rPr>
        <w:t>European Financial Reporting Advisory Group</w:t>
      </w:r>
      <w:r w:rsidR="001005B3">
        <w:rPr>
          <w:rFonts w:ascii="Times New Roman" w:hAnsi="Times New Roman" w:cs="Times New Roman" w:hint="eastAsia"/>
          <w:sz w:val="24"/>
        </w:rPr>
        <w:t xml:space="preserve"> [</w:t>
      </w:r>
      <w:r w:rsidRPr="001D09D7">
        <w:rPr>
          <w:rFonts w:ascii="Times New Roman" w:hAnsi="Times New Roman" w:cs="Times New Roman" w:hint="eastAsia"/>
          <w:sz w:val="24"/>
        </w:rPr>
        <w:t>EFRAG</w:t>
      </w:r>
      <w:r w:rsidR="001005B3">
        <w:rPr>
          <w:rFonts w:ascii="Times New Roman" w:hAnsi="Times New Roman" w:cs="Times New Roman" w:hint="eastAsia"/>
          <w:sz w:val="24"/>
        </w:rPr>
        <w:t>]</w:t>
      </w:r>
      <w:r w:rsidRPr="001D09D7">
        <w:rPr>
          <w:rFonts w:ascii="Times New Roman" w:hAnsi="Times New Roman" w:cs="Times New Roman" w:hint="eastAsia"/>
          <w:sz w:val="24"/>
        </w:rPr>
        <w:t xml:space="preserve">, 2023). Where no simple financial threshold exists, KPMG should document severity, scale, scope, likelihood, stakeholder concern, regulatory exposure, media visibility and </w:t>
      </w:r>
      <w:proofErr w:type="spellStart"/>
      <w:r w:rsidRPr="001D09D7">
        <w:rPr>
          <w:rFonts w:ascii="Times New Roman" w:hAnsi="Times New Roman" w:cs="Times New Roman" w:hint="eastAsia"/>
          <w:sz w:val="24"/>
        </w:rPr>
        <w:t>remediability</w:t>
      </w:r>
      <w:proofErr w:type="spellEnd"/>
      <w:r w:rsidRPr="001D09D7">
        <w:rPr>
          <w:rFonts w:ascii="Times New Roman" w:hAnsi="Times New Roman" w:cs="Times New Roman" w:hint="eastAsia"/>
          <w:sz w:val="24"/>
        </w:rPr>
        <w:t>. This aligns with GRI 3</w:t>
      </w:r>
      <w:r w:rsidR="00AF0505">
        <w:rPr>
          <w:rFonts w:ascii="Times New Roman" w:hAnsi="Times New Roman" w:cs="Times New Roman"/>
          <w:sz w:val="24"/>
        </w:rPr>
        <w:t>’</w:t>
      </w:r>
      <w:r w:rsidRPr="001D09D7">
        <w:rPr>
          <w:rFonts w:ascii="Times New Roman" w:hAnsi="Times New Roman" w:cs="Times New Roman" w:hint="eastAsia"/>
          <w:sz w:val="24"/>
        </w:rPr>
        <w:t>s focus on significant impacts on the economy, environment and people (GSSB, 2021).</w:t>
      </w:r>
    </w:p>
    <w:p w14:paraId="25964033" w14:textId="2997BDC4" w:rsidR="002B7709" w:rsidRPr="002B7709" w:rsidRDefault="002B7709" w:rsidP="002B7709">
      <w:pPr>
        <w:pStyle w:val="af6"/>
        <w:keepNext/>
        <w:rPr>
          <w:rFonts w:ascii="Times New Roman" w:hAnsi="Times New Roman" w:cs="Times New Roman"/>
          <w:sz w:val="24"/>
          <w:szCs w:val="24"/>
        </w:rPr>
      </w:pPr>
      <w:r w:rsidRPr="002B7709">
        <w:rPr>
          <w:rFonts w:ascii="Times New Roman" w:hAnsi="Times New Roman" w:cs="Times New Roman"/>
          <w:b/>
          <w:bCs/>
          <w:sz w:val="24"/>
          <w:szCs w:val="24"/>
        </w:rPr>
        <w:t xml:space="preserve">Table </w:t>
      </w:r>
      <w:r w:rsidRPr="002B7709">
        <w:rPr>
          <w:rFonts w:ascii="Times New Roman" w:hAnsi="Times New Roman" w:cs="Times New Roman"/>
          <w:b/>
          <w:bCs/>
          <w:sz w:val="24"/>
          <w:szCs w:val="24"/>
        </w:rPr>
        <w:fldChar w:fldCharType="begin"/>
      </w:r>
      <w:r w:rsidRPr="002B7709">
        <w:rPr>
          <w:rFonts w:ascii="Times New Roman" w:hAnsi="Times New Roman" w:cs="Times New Roman"/>
          <w:b/>
          <w:bCs/>
          <w:sz w:val="24"/>
          <w:szCs w:val="24"/>
        </w:rPr>
        <w:instrText xml:space="preserve"> SEQ Table \* ARABIC </w:instrText>
      </w:r>
      <w:r w:rsidRPr="002B7709">
        <w:rPr>
          <w:rFonts w:ascii="Times New Roman" w:hAnsi="Times New Roman" w:cs="Times New Roman"/>
          <w:b/>
          <w:bCs/>
          <w:sz w:val="24"/>
          <w:szCs w:val="24"/>
        </w:rPr>
        <w:fldChar w:fldCharType="separate"/>
      </w:r>
      <w:r w:rsidR="001C3B04">
        <w:rPr>
          <w:rFonts w:ascii="Times New Roman" w:hAnsi="Times New Roman" w:cs="Times New Roman"/>
          <w:b/>
          <w:bCs/>
          <w:noProof/>
          <w:sz w:val="24"/>
          <w:szCs w:val="24"/>
        </w:rPr>
        <w:t>3</w:t>
      </w:r>
      <w:r w:rsidRPr="002B7709">
        <w:rPr>
          <w:rFonts w:ascii="Times New Roman" w:hAnsi="Times New Roman" w:cs="Times New Roman"/>
          <w:b/>
          <w:bCs/>
          <w:sz w:val="24"/>
          <w:szCs w:val="24"/>
        </w:rPr>
        <w:fldChar w:fldCharType="end"/>
      </w:r>
      <w:r w:rsidRPr="002B7709">
        <w:rPr>
          <w:rFonts w:ascii="Times New Roman" w:hAnsi="Times New Roman" w:cs="Times New Roman"/>
          <w:b/>
          <w:bCs/>
          <w:sz w:val="24"/>
          <w:szCs w:val="24"/>
        </w:rPr>
        <w:t>.</w:t>
      </w:r>
      <w:r w:rsidRPr="002B7709">
        <w:rPr>
          <w:rFonts w:ascii="Times New Roman" w:hAnsi="Times New Roman" w:cs="Times New Roman"/>
          <w:sz w:val="24"/>
          <w:szCs w:val="24"/>
        </w:rPr>
        <w:t xml:space="preserve"> Stakeholder Needs and Assurance Focus for GTS</w:t>
      </w:r>
    </w:p>
    <w:tbl>
      <w:tblPr>
        <w:tblStyle w:val="af2"/>
        <w:tblW w:w="0" w:type="auto"/>
        <w:tblLook w:val="04A0" w:firstRow="1" w:lastRow="0" w:firstColumn="1" w:lastColumn="0" w:noHBand="0" w:noVBand="1"/>
      </w:tblPr>
      <w:tblGrid>
        <w:gridCol w:w="1937"/>
        <w:gridCol w:w="3333"/>
        <w:gridCol w:w="3790"/>
      </w:tblGrid>
      <w:tr w:rsidR="00063262" w:rsidRPr="00311959" w14:paraId="5F82157B" w14:textId="77777777" w:rsidTr="00991648">
        <w:trPr>
          <w:cantSplit/>
          <w:tblHeader/>
        </w:trPr>
        <w:tc>
          <w:tcPr>
            <w:tcW w:w="0" w:type="auto"/>
            <w:shd w:val="clear" w:color="auto" w:fill="DEEAF6" w:themeFill="accent5" w:themeFillTint="33"/>
            <w:vAlign w:val="center"/>
            <w:hideMark/>
          </w:tcPr>
          <w:p w14:paraId="0A46C9A2" w14:textId="2D489AD8" w:rsidR="00063262" w:rsidRPr="00063262" w:rsidRDefault="00063262" w:rsidP="00063262">
            <w:pPr>
              <w:spacing w:line="360" w:lineRule="auto"/>
              <w:jc w:val="center"/>
              <w:rPr>
                <w:rFonts w:ascii="Times New Roman" w:hAnsi="Times New Roman" w:cs="Times New Roman"/>
                <w:b/>
                <w:bCs/>
                <w:sz w:val="24"/>
                <w:szCs w:val="28"/>
              </w:rPr>
            </w:pPr>
            <w:r w:rsidRPr="00063262">
              <w:rPr>
                <w:rFonts w:ascii="Times New Roman" w:hAnsi="Times New Roman" w:cs="Times New Roman"/>
                <w:b/>
                <w:bCs/>
                <w:sz w:val="24"/>
                <w:szCs w:val="28"/>
              </w:rPr>
              <w:t>Stakeholder</w:t>
            </w:r>
          </w:p>
        </w:tc>
        <w:tc>
          <w:tcPr>
            <w:tcW w:w="0" w:type="auto"/>
            <w:shd w:val="clear" w:color="auto" w:fill="DEEAF6" w:themeFill="accent5" w:themeFillTint="33"/>
            <w:vAlign w:val="center"/>
            <w:hideMark/>
          </w:tcPr>
          <w:p w14:paraId="58B1FA15" w14:textId="3CE53D41" w:rsidR="00063262" w:rsidRPr="00063262" w:rsidRDefault="00063262" w:rsidP="00063262">
            <w:pPr>
              <w:spacing w:line="360" w:lineRule="auto"/>
              <w:jc w:val="center"/>
              <w:rPr>
                <w:rFonts w:ascii="Times New Roman" w:hAnsi="Times New Roman" w:cs="Times New Roman"/>
                <w:b/>
                <w:bCs/>
                <w:sz w:val="24"/>
                <w:szCs w:val="28"/>
              </w:rPr>
            </w:pPr>
            <w:r w:rsidRPr="00063262">
              <w:rPr>
                <w:rFonts w:ascii="Times New Roman" w:hAnsi="Times New Roman" w:cs="Times New Roman"/>
                <w:b/>
                <w:bCs/>
                <w:sz w:val="24"/>
                <w:szCs w:val="28"/>
              </w:rPr>
              <w:t>Main information need</w:t>
            </w:r>
          </w:p>
        </w:tc>
        <w:tc>
          <w:tcPr>
            <w:tcW w:w="0" w:type="auto"/>
            <w:shd w:val="clear" w:color="auto" w:fill="DEEAF6" w:themeFill="accent5" w:themeFillTint="33"/>
            <w:vAlign w:val="center"/>
            <w:hideMark/>
          </w:tcPr>
          <w:p w14:paraId="3ED3D43E" w14:textId="5BE0098A" w:rsidR="00063262" w:rsidRPr="00063262" w:rsidRDefault="00063262" w:rsidP="00063262">
            <w:pPr>
              <w:spacing w:line="360" w:lineRule="auto"/>
              <w:jc w:val="center"/>
              <w:rPr>
                <w:rFonts w:ascii="Times New Roman" w:hAnsi="Times New Roman" w:cs="Times New Roman"/>
                <w:b/>
                <w:bCs/>
                <w:sz w:val="24"/>
                <w:szCs w:val="28"/>
              </w:rPr>
            </w:pPr>
            <w:r w:rsidRPr="00063262">
              <w:rPr>
                <w:rFonts w:ascii="Times New Roman" w:hAnsi="Times New Roman" w:cs="Times New Roman"/>
                <w:b/>
                <w:bCs/>
                <w:sz w:val="24"/>
                <w:szCs w:val="28"/>
              </w:rPr>
              <w:t>Assurance focus</w:t>
            </w:r>
          </w:p>
        </w:tc>
      </w:tr>
      <w:tr w:rsidR="00063262" w:rsidRPr="00311959" w14:paraId="63A0ACA3" w14:textId="77777777" w:rsidTr="00991648">
        <w:trPr>
          <w:cantSplit/>
          <w:tblHeader/>
        </w:trPr>
        <w:tc>
          <w:tcPr>
            <w:tcW w:w="0" w:type="auto"/>
            <w:vAlign w:val="center"/>
            <w:hideMark/>
          </w:tcPr>
          <w:p w14:paraId="1C7EEA0D" w14:textId="29AECA67" w:rsidR="00063262" w:rsidRPr="00063262" w:rsidRDefault="00063262" w:rsidP="00063262">
            <w:pPr>
              <w:spacing w:line="360" w:lineRule="auto"/>
              <w:jc w:val="center"/>
              <w:rPr>
                <w:rFonts w:ascii="Times New Roman" w:hAnsi="Times New Roman" w:cs="Times New Roman"/>
                <w:sz w:val="24"/>
                <w:szCs w:val="28"/>
              </w:rPr>
            </w:pPr>
            <w:r w:rsidRPr="00063262">
              <w:rPr>
                <w:rFonts w:ascii="Times New Roman" w:hAnsi="Times New Roman" w:cs="Times New Roman"/>
                <w:sz w:val="24"/>
                <w:szCs w:val="28"/>
              </w:rPr>
              <w:t>Investors</w:t>
            </w:r>
            <w:r w:rsidR="00F50ED8">
              <w:rPr>
                <w:rFonts w:ascii="Times New Roman" w:hAnsi="Times New Roman" w:cs="Times New Roman" w:hint="eastAsia"/>
                <w:sz w:val="24"/>
                <w:szCs w:val="28"/>
              </w:rPr>
              <w:t xml:space="preserve"> </w:t>
            </w:r>
            <w:r w:rsidRPr="00063262">
              <w:rPr>
                <w:rFonts w:ascii="Times New Roman" w:hAnsi="Times New Roman" w:cs="Times New Roman"/>
                <w:sz w:val="24"/>
                <w:szCs w:val="28"/>
              </w:rPr>
              <w:t>/</w:t>
            </w:r>
            <w:r w:rsidR="00F50ED8">
              <w:rPr>
                <w:rFonts w:ascii="Times New Roman" w:hAnsi="Times New Roman" w:cs="Times New Roman" w:hint="eastAsia"/>
                <w:sz w:val="24"/>
                <w:szCs w:val="28"/>
              </w:rPr>
              <w:t xml:space="preserve"> </w:t>
            </w:r>
            <w:r w:rsidRPr="00063262">
              <w:rPr>
                <w:rFonts w:ascii="Times New Roman" w:hAnsi="Times New Roman" w:cs="Times New Roman"/>
                <w:sz w:val="24"/>
                <w:szCs w:val="28"/>
              </w:rPr>
              <w:t>lenders</w:t>
            </w:r>
          </w:p>
        </w:tc>
        <w:tc>
          <w:tcPr>
            <w:tcW w:w="0" w:type="auto"/>
            <w:vAlign w:val="center"/>
            <w:hideMark/>
          </w:tcPr>
          <w:p w14:paraId="4BE5AA72" w14:textId="4F2E681D" w:rsidR="00063262" w:rsidRPr="00063262" w:rsidRDefault="00063262" w:rsidP="00063262">
            <w:pPr>
              <w:spacing w:line="360" w:lineRule="auto"/>
              <w:jc w:val="center"/>
              <w:rPr>
                <w:rFonts w:ascii="Times New Roman" w:hAnsi="Times New Roman" w:cs="Times New Roman"/>
                <w:sz w:val="24"/>
                <w:szCs w:val="28"/>
              </w:rPr>
            </w:pPr>
            <w:r w:rsidRPr="00063262">
              <w:rPr>
                <w:rFonts w:ascii="Times New Roman" w:hAnsi="Times New Roman" w:cs="Times New Roman"/>
                <w:sz w:val="24"/>
                <w:szCs w:val="28"/>
              </w:rPr>
              <w:t>Long-term risk and financing</w:t>
            </w:r>
          </w:p>
        </w:tc>
        <w:tc>
          <w:tcPr>
            <w:tcW w:w="0" w:type="auto"/>
            <w:vAlign w:val="center"/>
            <w:hideMark/>
          </w:tcPr>
          <w:p w14:paraId="44C8BA52" w14:textId="03E147D8" w:rsidR="00063262" w:rsidRPr="00063262" w:rsidRDefault="00063262" w:rsidP="00063262">
            <w:pPr>
              <w:spacing w:line="360" w:lineRule="auto"/>
              <w:jc w:val="center"/>
              <w:rPr>
                <w:rFonts w:ascii="Times New Roman" w:hAnsi="Times New Roman" w:cs="Times New Roman"/>
                <w:sz w:val="24"/>
                <w:szCs w:val="28"/>
              </w:rPr>
            </w:pPr>
            <w:r w:rsidRPr="00063262">
              <w:rPr>
                <w:rFonts w:ascii="Times New Roman" w:hAnsi="Times New Roman" w:cs="Times New Roman"/>
                <w:sz w:val="24"/>
                <w:szCs w:val="28"/>
              </w:rPr>
              <w:t>Emissions, greenwashing, supplier risk</w:t>
            </w:r>
          </w:p>
        </w:tc>
      </w:tr>
      <w:tr w:rsidR="00063262" w:rsidRPr="00311959" w14:paraId="20D769DD" w14:textId="77777777" w:rsidTr="00991648">
        <w:trPr>
          <w:cantSplit/>
          <w:tblHeader/>
        </w:trPr>
        <w:tc>
          <w:tcPr>
            <w:tcW w:w="0" w:type="auto"/>
            <w:vAlign w:val="center"/>
            <w:hideMark/>
          </w:tcPr>
          <w:p w14:paraId="260BC2AE" w14:textId="01BDFD74" w:rsidR="00063262" w:rsidRPr="00063262" w:rsidRDefault="00063262" w:rsidP="00063262">
            <w:pPr>
              <w:spacing w:line="360" w:lineRule="auto"/>
              <w:jc w:val="center"/>
              <w:rPr>
                <w:rFonts w:ascii="Times New Roman" w:hAnsi="Times New Roman" w:cs="Times New Roman"/>
                <w:sz w:val="24"/>
                <w:szCs w:val="28"/>
              </w:rPr>
            </w:pPr>
            <w:r w:rsidRPr="00063262">
              <w:rPr>
                <w:rFonts w:ascii="Times New Roman" w:hAnsi="Times New Roman" w:cs="Times New Roman"/>
                <w:sz w:val="24"/>
                <w:szCs w:val="28"/>
              </w:rPr>
              <w:t>Customers</w:t>
            </w:r>
          </w:p>
        </w:tc>
        <w:tc>
          <w:tcPr>
            <w:tcW w:w="0" w:type="auto"/>
            <w:vAlign w:val="center"/>
            <w:hideMark/>
          </w:tcPr>
          <w:p w14:paraId="2C386268" w14:textId="4E95628F" w:rsidR="00063262" w:rsidRPr="00063262" w:rsidRDefault="00063262" w:rsidP="00063262">
            <w:pPr>
              <w:spacing w:line="360" w:lineRule="auto"/>
              <w:jc w:val="center"/>
              <w:rPr>
                <w:rFonts w:ascii="Times New Roman" w:hAnsi="Times New Roman" w:cs="Times New Roman"/>
                <w:sz w:val="24"/>
                <w:szCs w:val="28"/>
              </w:rPr>
            </w:pPr>
            <w:r w:rsidRPr="00063262">
              <w:rPr>
                <w:rFonts w:ascii="Times New Roman" w:hAnsi="Times New Roman" w:cs="Times New Roman"/>
                <w:sz w:val="24"/>
                <w:szCs w:val="28"/>
              </w:rPr>
              <w:t>Credible green claims</w:t>
            </w:r>
          </w:p>
        </w:tc>
        <w:tc>
          <w:tcPr>
            <w:tcW w:w="0" w:type="auto"/>
            <w:vAlign w:val="center"/>
            <w:hideMark/>
          </w:tcPr>
          <w:p w14:paraId="0A23F76B" w14:textId="28458EA0" w:rsidR="00063262" w:rsidRPr="00063262" w:rsidRDefault="00063262" w:rsidP="00063262">
            <w:pPr>
              <w:spacing w:line="360" w:lineRule="auto"/>
              <w:jc w:val="center"/>
              <w:rPr>
                <w:rFonts w:ascii="Times New Roman" w:hAnsi="Times New Roman" w:cs="Times New Roman"/>
                <w:sz w:val="24"/>
                <w:szCs w:val="28"/>
              </w:rPr>
            </w:pPr>
            <w:r w:rsidRPr="00063262">
              <w:rPr>
                <w:rFonts w:ascii="Times New Roman" w:hAnsi="Times New Roman" w:cs="Times New Roman"/>
                <w:sz w:val="24"/>
                <w:szCs w:val="28"/>
              </w:rPr>
              <w:t>Recycled content; carbon claims</w:t>
            </w:r>
          </w:p>
        </w:tc>
      </w:tr>
      <w:tr w:rsidR="00063262" w:rsidRPr="00311959" w14:paraId="67CA3604" w14:textId="77777777" w:rsidTr="00991648">
        <w:trPr>
          <w:cantSplit/>
          <w:tblHeader/>
        </w:trPr>
        <w:tc>
          <w:tcPr>
            <w:tcW w:w="0" w:type="auto"/>
            <w:vAlign w:val="center"/>
            <w:hideMark/>
          </w:tcPr>
          <w:p w14:paraId="0304FA49" w14:textId="56549D10" w:rsidR="00063262" w:rsidRPr="00063262" w:rsidRDefault="00063262" w:rsidP="00063262">
            <w:pPr>
              <w:spacing w:line="360" w:lineRule="auto"/>
              <w:jc w:val="center"/>
              <w:rPr>
                <w:rFonts w:ascii="Times New Roman" w:hAnsi="Times New Roman" w:cs="Times New Roman"/>
                <w:sz w:val="24"/>
                <w:szCs w:val="28"/>
              </w:rPr>
            </w:pPr>
            <w:r w:rsidRPr="00063262">
              <w:rPr>
                <w:rFonts w:ascii="Times New Roman" w:hAnsi="Times New Roman" w:cs="Times New Roman"/>
                <w:sz w:val="24"/>
                <w:szCs w:val="28"/>
              </w:rPr>
              <w:t>Regulators</w:t>
            </w:r>
          </w:p>
        </w:tc>
        <w:tc>
          <w:tcPr>
            <w:tcW w:w="0" w:type="auto"/>
            <w:vAlign w:val="center"/>
            <w:hideMark/>
          </w:tcPr>
          <w:p w14:paraId="7102826E" w14:textId="151A4F16" w:rsidR="00063262" w:rsidRPr="00063262" w:rsidRDefault="00063262" w:rsidP="00063262">
            <w:pPr>
              <w:spacing w:line="360" w:lineRule="auto"/>
              <w:jc w:val="center"/>
              <w:rPr>
                <w:rFonts w:ascii="Times New Roman" w:hAnsi="Times New Roman" w:cs="Times New Roman"/>
                <w:sz w:val="24"/>
                <w:szCs w:val="28"/>
              </w:rPr>
            </w:pPr>
            <w:r w:rsidRPr="00063262">
              <w:rPr>
                <w:rFonts w:ascii="Times New Roman" w:hAnsi="Times New Roman" w:cs="Times New Roman"/>
                <w:sz w:val="24"/>
                <w:szCs w:val="28"/>
              </w:rPr>
              <w:t>Non-misleading disclosure</w:t>
            </w:r>
          </w:p>
        </w:tc>
        <w:tc>
          <w:tcPr>
            <w:tcW w:w="0" w:type="auto"/>
            <w:vAlign w:val="center"/>
            <w:hideMark/>
          </w:tcPr>
          <w:p w14:paraId="0852B3D9" w14:textId="401C67BF" w:rsidR="00063262" w:rsidRPr="00063262" w:rsidRDefault="00063262" w:rsidP="00063262">
            <w:pPr>
              <w:spacing w:line="360" w:lineRule="auto"/>
              <w:jc w:val="center"/>
              <w:rPr>
                <w:rFonts w:ascii="Times New Roman" w:hAnsi="Times New Roman" w:cs="Times New Roman"/>
                <w:sz w:val="24"/>
                <w:szCs w:val="28"/>
              </w:rPr>
            </w:pPr>
            <w:r w:rsidRPr="00063262">
              <w:rPr>
                <w:rFonts w:ascii="Times New Roman" w:hAnsi="Times New Roman" w:cs="Times New Roman"/>
                <w:sz w:val="24"/>
                <w:szCs w:val="28"/>
              </w:rPr>
              <w:t>Criteria, consistency, compliance</w:t>
            </w:r>
          </w:p>
        </w:tc>
      </w:tr>
      <w:tr w:rsidR="00063262" w:rsidRPr="00311959" w14:paraId="7F627570" w14:textId="77777777" w:rsidTr="00991648">
        <w:trPr>
          <w:cantSplit/>
          <w:tblHeader/>
        </w:trPr>
        <w:tc>
          <w:tcPr>
            <w:tcW w:w="0" w:type="auto"/>
            <w:vAlign w:val="center"/>
            <w:hideMark/>
          </w:tcPr>
          <w:p w14:paraId="53871B68" w14:textId="224CD7C1" w:rsidR="00063262" w:rsidRPr="00063262" w:rsidRDefault="00063262" w:rsidP="00063262">
            <w:pPr>
              <w:spacing w:line="360" w:lineRule="auto"/>
              <w:jc w:val="center"/>
              <w:rPr>
                <w:rFonts w:ascii="Times New Roman" w:hAnsi="Times New Roman" w:cs="Times New Roman"/>
                <w:sz w:val="24"/>
                <w:szCs w:val="28"/>
              </w:rPr>
            </w:pPr>
            <w:r w:rsidRPr="00063262">
              <w:rPr>
                <w:rFonts w:ascii="Times New Roman" w:hAnsi="Times New Roman" w:cs="Times New Roman"/>
                <w:sz w:val="24"/>
                <w:szCs w:val="28"/>
              </w:rPr>
              <w:t>NGOs</w:t>
            </w:r>
            <w:r w:rsidR="00F50ED8">
              <w:rPr>
                <w:rFonts w:ascii="Times New Roman" w:hAnsi="Times New Roman" w:cs="Times New Roman" w:hint="eastAsia"/>
                <w:sz w:val="24"/>
                <w:szCs w:val="28"/>
              </w:rPr>
              <w:t xml:space="preserve"> </w:t>
            </w:r>
            <w:r w:rsidRPr="00063262">
              <w:rPr>
                <w:rFonts w:ascii="Times New Roman" w:hAnsi="Times New Roman" w:cs="Times New Roman"/>
                <w:sz w:val="24"/>
                <w:szCs w:val="28"/>
              </w:rPr>
              <w:t>/</w:t>
            </w:r>
            <w:r w:rsidR="00F50ED8">
              <w:rPr>
                <w:rFonts w:ascii="Times New Roman" w:hAnsi="Times New Roman" w:cs="Times New Roman" w:hint="eastAsia"/>
                <w:sz w:val="24"/>
                <w:szCs w:val="28"/>
              </w:rPr>
              <w:t xml:space="preserve"> </w:t>
            </w:r>
            <w:r w:rsidRPr="00063262">
              <w:rPr>
                <w:rFonts w:ascii="Times New Roman" w:hAnsi="Times New Roman" w:cs="Times New Roman"/>
                <w:sz w:val="24"/>
                <w:szCs w:val="28"/>
              </w:rPr>
              <w:t>media</w:t>
            </w:r>
          </w:p>
        </w:tc>
        <w:tc>
          <w:tcPr>
            <w:tcW w:w="0" w:type="auto"/>
            <w:vAlign w:val="center"/>
            <w:hideMark/>
          </w:tcPr>
          <w:p w14:paraId="01334A77" w14:textId="3108AADF" w:rsidR="00063262" w:rsidRPr="00063262" w:rsidRDefault="00063262" w:rsidP="00063262">
            <w:pPr>
              <w:spacing w:line="360" w:lineRule="auto"/>
              <w:jc w:val="center"/>
              <w:rPr>
                <w:rFonts w:ascii="Times New Roman" w:hAnsi="Times New Roman" w:cs="Times New Roman"/>
                <w:sz w:val="24"/>
                <w:szCs w:val="28"/>
              </w:rPr>
            </w:pPr>
            <w:r w:rsidRPr="00063262">
              <w:rPr>
                <w:rFonts w:ascii="Times New Roman" w:hAnsi="Times New Roman" w:cs="Times New Roman"/>
                <w:sz w:val="24"/>
                <w:szCs w:val="28"/>
              </w:rPr>
              <w:t>Labour and environmental impact</w:t>
            </w:r>
          </w:p>
        </w:tc>
        <w:tc>
          <w:tcPr>
            <w:tcW w:w="0" w:type="auto"/>
            <w:vAlign w:val="center"/>
            <w:hideMark/>
          </w:tcPr>
          <w:p w14:paraId="27BC5700" w14:textId="14A2E806" w:rsidR="00063262" w:rsidRPr="00063262" w:rsidRDefault="00063262" w:rsidP="00063262">
            <w:pPr>
              <w:spacing w:line="360" w:lineRule="auto"/>
              <w:jc w:val="center"/>
              <w:rPr>
                <w:rFonts w:ascii="Times New Roman" w:hAnsi="Times New Roman" w:cs="Times New Roman"/>
                <w:sz w:val="24"/>
                <w:szCs w:val="28"/>
              </w:rPr>
            </w:pPr>
            <w:r w:rsidRPr="00063262">
              <w:rPr>
                <w:rFonts w:ascii="Times New Roman" w:hAnsi="Times New Roman" w:cs="Times New Roman"/>
                <w:sz w:val="24"/>
                <w:szCs w:val="28"/>
              </w:rPr>
              <w:t>Supplier X allegations</w:t>
            </w:r>
          </w:p>
        </w:tc>
      </w:tr>
      <w:tr w:rsidR="00063262" w:rsidRPr="00311959" w14:paraId="11871A1F" w14:textId="77777777" w:rsidTr="00991648">
        <w:trPr>
          <w:cantSplit/>
          <w:tblHeader/>
        </w:trPr>
        <w:tc>
          <w:tcPr>
            <w:tcW w:w="0" w:type="auto"/>
            <w:vAlign w:val="center"/>
            <w:hideMark/>
          </w:tcPr>
          <w:p w14:paraId="7F40383E" w14:textId="08949253" w:rsidR="00063262" w:rsidRPr="00063262" w:rsidRDefault="00063262" w:rsidP="00063262">
            <w:pPr>
              <w:spacing w:line="360" w:lineRule="auto"/>
              <w:jc w:val="center"/>
              <w:rPr>
                <w:rFonts w:ascii="Times New Roman" w:hAnsi="Times New Roman" w:cs="Times New Roman"/>
                <w:sz w:val="24"/>
                <w:szCs w:val="28"/>
              </w:rPr>
            </w:pPr>
            <w:r w:rsidRPr="00063262">
              <w:rPr>
                <w:rFonts w:ascii="Times New Roman" w:hAnsi="Times New Roman" w:cs="Times New Roman"/>
                <w:sz w:val="24"/>
                <w:szCs w:val="28"/>
              </w:rPr>
              <w:t>Employees</w:t>
            </w:r>
          </w:p>
        </w:tc>
        <w:tc>
          <w:tcPr>
            <w:tcW w:w="0" w:type="auto"/>
            <w:vAlign w:val="center"/>
            <w:hideMark/>
          </w:tcPr>
          <w:p w14:paraId="5DBA8FFE" w14:textId="06B024C5" w:rsidR="00063262" w:rsidRPr="00063262" w:rsidRDefault="00063262" w:rsidP="00063262">
            <w:pPr>
              <w:spacing w:line="360" w:lineRule="auto"/>
              <w:jc w:val="center"/>
              <w:rPr>
                <w:rFonts w:ascii="Times New Roman" w:hAnsi="Times New Roman" w:cs="Times New Roman"/>
                <w:sz w:val="24"/>
                <w:szCs w:val="28"/>
              </w:rPr>
            </w:pPr>
            <w:r w:rsidRPr="00063262">
              <w:rPr>
                <w:rFonts w:ascii="Times New Roman" w:hAnsi="Times New Roman" w:cs="Times New Roman"/>
                <w:sz w:val="24"/>
                <w:szCs w:val="28"/>
              </w:rPr>
              <w:t>Workforce credibility</w:t>
            </w:r>
          </w:p>
        </w:tc>
        <w:tc>
          <w:tcPr>
            <w:tcW w:w="0" w:type="auto"/>
            <w:vAlign w:val="center"/>
            <w:hideMark/>
          </w:tcPr>
          <w:p w14:paraId="5932EBA6" w14:textId="34972A2C" w:rsidR="00063262" w:rsidRPr="00063262" w:rsidRDefault="00063262" w:rsidP="00063262">
            <w:pPr>
              <w:spacing w:line="360" w:lineRule="auto"/>
              <w:jc w:val="center"/>
              <w:rPr>
                <w:rFonts w:ascii="Times New Roman" w:hAnsi="Times New Roman" w:cs="Times New Roman"/>
                <w:sz w:val="24"/>
                <w:szCs w:val="28"/>
              </w:rPr>
            </w:pPr>
            <w:r w:rsidRPr="00063262">
              <w:rPr>
                <w:rFonts w:ascii="Times New Roman" w:hAnsi="Times New Roman" w:cs="Times New Roman"/>
                <w:sz w:val="24"/>
                <w:szCs w:val="28"/>
              </w:rPr>
              <w:t xml:space="preserve">Diversity metrics; </w:t>
            </w:r>
            <w:r w:rsidR="001D09D7">
              <w:rPr>
                <w:rFonts w:ascii="Times New Roman" w:hAnsi="Times New Roman" w:cs="Times New Roman" w:hint="eastAsia"/>
                <w:sz w:val="24"/>
                <w:szCs w:val="28"/>
              </w:rPr>
              <w:t>HR</w:t>
            </w:r>
            <w:r w:rsidRPr="00063262">
              <w:rPr>
                <w:rFonts w:ascii="Times New Roman" w:hAnsi="Times New Roman" w:cs="Times New Roman"/>
                <w:sz w:val="24"/>
                <w:szCs w:val="28"/>
              </w:rPr>
              <w:t xml:space="preserve"> data</w:t>
            </w:r>
          </w:p>
        </w:tc>
      </w:tr>
    </w:tbl>
    <w:p w14:paraId="1D458832" w14:textId="12C260EA" w:rsidR="001D09D7" w:rsidRDefault="001D09D7" w:rsidP="0080401B">
      <w:pPr>
        <w:spacing w:line="360" w:lineRule="auto"/>
        <w:jc w:val="both"/>
        <w:rPr>
          <w:rFonts w:ascii="Times New Roman" w:hAnsi="Times New Roman" w:cs="Times New Roman"/>
          <w:sz w:val="24"/>
        </w:rPr>
      </w:pPr>
      <w:r w:rsidRPr="007020BE">
        <w:rPr>
          <w:rFonts w:ascii="Times New Roman" w:hAnsi="Times New Roman" w:cs="Times New Roman" w:hint="eastAsia"/>
          <w:b/>
          <w:bCs/>
          <w:sz w:val="24"/>
        </w:rPr>
        <w:t>Note:</w:t>
      </w:r>
      <w:r>
        <w:rPr>
          <w:rFonts w:ascii="Times New Roman" w:hAnsi="Times New Roman" w:cs="Times New Roman" w:hint="eastAsia"/>
          <w:sz w:val="24"/>
        </w:rPr>
        <w:t xml:space="preserve"> HR = </w:t>
      </w:r>
      <w:r w:rsidR="00E84974">
        <w:rPr>
          <w:rFonts w:ascii="Times New Roman" w:hAnsi="Times New Roman" w:cs="Times New Roman" w:hint="eastAsia"/>
          <w:sz w:val="24"/>
        </w:rPr>
        <w:t>h</w:t>
      </w:r>
      <w:r w:rsidRPr="001D09D7">
        <w:rPr>
          <w:rFonts w:ascii="Times New Roman" w:hAnsi="Times New Roman" w:cs="Times New Roman"/>
          <w:sz w:val="24"/>
          <w:szCs w:val="28"/>
        </w:rPr>
        <w:t>uman resources</w:t>
      </w:r>
      <w:r w:rsidR="00E84974">
        <w:rPr>
          <w:rFonts w:ascii="Times New Roman" w:hAnsi="Times New Roman" w:cs="Times New Roman" w:hint="eastAsia"/>
          <w:sz w:val="24"/>
          <w:szCs w:val="28"/>
        </w:rPr>
        <w:t>.</w:t>
      </w:r>
    </w:p>
    <w:p w14:paraId="5D3388F2" w14:textId="5C3BB9F5" w:rsidR="003B7A81" w:rsidRPr="003B7A81" w:rsidRDefault="003B7A81" w:rsidP="006C61DC">
      <w:pPr>
        <w:spacing w:before="120" w:line="360" w:lineRule="auto"/>
        <w:jc w:val="both"/>
        <w:rPr>
          <w:rFonts w:ascii="Times New Roman" w:hAnsi="Times New Roman" w:cs="Times New Roman"/>
          <w:sz w:val="24"/>
        </w:rPr>
      </w:pPr>
      <w:r w:rsidRPr="003B7A81">
        <w:rPr>
          <w:rFonts w:ascii="Times New Roman" w:hAnsi="Times New Roman" w:cs="Times New Roman" w:hint="eastAsia"/>
          <w:sz w:val="24"/>
        </w:rPr>
        <w:lastRenderedPageBreak/>
        <w:t xml:space="preserve">Although stakeholder needs may affect the audit focus, as shown in Table 3, they should not be equally determinative in every case. Investors and lenders are central to enterprise value, financing effects and transition risk (ISSB, 2023). NGOs, customers and employees point to other impact and credibility risks, such as responsible supply-chain conduct and workforce information (OECD, 2018; GSSB, 2016b). Where stakeholder </w:t>
      </w:r>
      <w:proofErr w:type="gramStart"/>
      <w:r w:rsidRPr="003B7A81">
        <w:rPr>
          <w:rFonts w:ascii="Times New Roman" w:hAnsi="Times New Roman" w:cs="Times New Roman" w:hint="eastAsia"/>
          <w:sz w:val="24"/>
        </w:rPr>
        <w:t>interests</w:t>
      </w:r>
      <w:proofErr w:type="gramEnd"/>
      <w:r w:rsidRPr="003B7A81">
        <w:rPr>
          <w:rFonts w:ascii="Times New Roman" w:hAnsi="Times New Roman" w:cs="Times New Roman" w:hint="eastAsia"/>
          <w:sz w:val="24"/>
        </w:rPr>
        <w:t xml:space="preserve"> conflict, KPMG should decide based on the agreed criteria, assurance scope and evidence gathered, rather than merely following the strongest voice (IAASB, 2021).</w:t>
      </w:r>
    </w:p>
    <w:p w14:paraId="76FF10DA" w14:textId="58D61B88" w:rsidR="003B7A81" w:rsidRDefault="006C61DC" w:rsidP="003B7A81">
      <w:pPr>
        <w:spacing w:line="360" w:lineRule="auto"/>
        <w:jc w:val="both"/>
        <w:rPr>
          <w:rFonts w:ascii="Times New Roman" w:hAnsi="Times New Roman" w:cs="Times New Roman"/>
          <w:sz w:val="24"/>
        </w:rPr>
      </w:pPr>
      <w:r w:rsidRPr="006C61DC">
        <w:rPr>
          <w:rFonts w:ascii="Times New Roman" w:hAnsi="Times New Roman" w:cs="Times New Roman"/>
          <w:sz w:val="24"/>
        </w:rPr>
        <w:t>For GTS, Supplier X might not be quantitatively material to the financial statements, but it could still be material due to labour-rights, emissions, reputation and regulatory exposure. ISAE 3000 requires this judgement to be documented in materiality and risk assessment, using indicators such as NGO allegation severity, media attention, customer reliance on green claims, investor sensitivity to transition risk and possible financing effects (IAASB, 2013). Similarly, overstated recycled content may mislead customers and investors because GRI 301 addresses recycled input materials (GSSB, 2016a). Inaccurate Scope 1 and 2 GHG emissions could also distort climate-risk assessment under the GHG Protocol (Greenhouse Gas Protocol, 2015). Overall, GTS</w:t>
      </w:r>
      <w:r w:rsidR="00AF0505">
        <w:rPr>
          <w:rFonts w:ascii="Times New Roman" w:hAnsi="Times New Roman" w:cs="Times New Roman"/>
          <w:sz w:val="24"/>
        </w:rPr>
        <w:t>’</w:t>
      </w:r>
      <w:r w:rsidRPr="006C61DC">
        <w:rPr>
          <w:rFonts w:ascii="Times New Roman" w:hAnsi="Times New Roman" w:cs="Times New Roman"/>
          <w:sz w:val="24"/>
        </w:rPr>
        <w:t>s materiality approach should be stakeholder-sensitive, impact-aware and supported by documented qualitative evidence</w:t>
      </w:r>
      <w:r w:rsidR="00FE545D" w:rsidRPr="00FE545D">
        <w:rPr>
          <w:rFonts w:ascii="Times New Roman" w:hAnsi="Times New Roman" w:cs="Times New Roman"/>
          <w:sz w:val="24"/>
        </w:rPr>
        <w:t>, not reduced to financial thresholds alone</w:t>
      </w:r>
      <w:r w:rsidRPr="006C61DC">
        <w:rPr>
          <w:rFonts w:ascii="Times New Roman" w:hAnsi="Times New Roman" w:cs="Times New Roman"/>
          <w:sz w:val="24"/>
        </w:rPr>
        <w:t>.</w:t>
      </w:r>
    </w:p>
    <w:p w14:paraId="0EF22636" w14:textId="77777777" w:rsidR="006C61DC" w:rsidRPr="003B7A81" w:rsidRDefault="006C61DC" w:rsidP="003B7A81">
      <w:pPr>
        <w:spacing w:line="360" w:lineRule="auto"/>
        <w:jc w:val="both"/>
        <w:rPr>
          <w:rFonts w:ascii="Times New Roman" w:hAnsi="Times New Roman" w:cs="Times New Roman"/>
          <w:sz w:val="24"/>
        </w:rPr>
      </w:pPr>
    </w:p>
    <w:p w14:paraId="5BC086A8" w14:textId="315727A0" w:rsidR="000025D9" w:rsidRDefault="003B7A81" w:rsidP="003B7A81">
      <w:pPr>
        <w:spacing w:line="360" w:lineRule="auto"/>
        <w:jc w:val="both"/>
        <w:rPr>
          <w:rFonts w:ascii="Times New Roman" w:hAnsi="Times New Roman" w:cs="Times New Roman"/>
          <w:sz w:val="24"/>
        </w:rPr>
      </w:pPr>
      <w:r w:rsidRPr="003B7A81">
        <w:rPr>
          <w:rFonts w:ascii="Times New Roman" w:hAnsi="Times New Roman" w:cs="Times New Roman" w:hint="eastAsia"/>
          <w:sz w:val="24"/>
        </w:rPr>
        <w:t>Overall, Section 1 demonstrates that KPMG</w:t>
      </w:r>
      <w:r w:rsidR="00AF0505">
        <w:rPr>
          <w:rFonts w:ascii="Times New Roman" w:hAnsi="Times New Roman" w:cs="Times New Roman"/>
          <w:sz w:val="24"/>
        </w:rPr>
        <w:t>’</w:t>
      </w:r>
      <w:r w:rsidRPr="003B7A81">
        <w:rPr>
          <w:rFonts w:ascii="Times New Roman" w:hAnsi="Times New Roman" w:cs="Times New Roman" w:hint="eastAsia"/>
          <w:sz w:val="24"/>
        </w:rPr>
        <w:t>s ESG assurance work must be clearly bounded, evidence-driven and stakeholder-focused. Limited assurance is provided only on specific ESG indicators, not at audit level over the entirety of GTS</w:t>
      </w:r>
      <w:r w:rsidR="00AF0505">
        <w:rPr>
          <w:rFonts w:ascii="Times New Roman" w:hAnsi="Times New Roman" w:cs="Times New Roman"/>
          <w:sz w:val="24"/>
        </w:rPr>
        <w:t>’</w:t>
      </w:r>
      <w:r w:rsidRPr="003B7A81">
        <w:rPr>
          <w:rFonts w:ascii="Times New Roman" w:hAnsi="Times New Roman" w:cs="Times New Roman" w:hint="eastAsia"/>
          <w:sz w:val="24"/>
        </w:rPr>
        <w:t>s Sustainability Report. Hence, the team needs to define the scope, question weak ESG evidence, record materiality determinations and treat greenwashing allegations as triggers for targeted follow-up.</w:t>
      </w:r>
    </w:p>
    <w:p w14:paraId="19FC2867" w14:textId="77777777" w:rsidR="000025D9" w:rsidRDefault="000025D9" w:rsidP="00AD3B15">
      <w:pPr>
        <w:spacing w:line="360" w:lineRule="auto"/>
        <w:jc w:val="both"/>
        <w:rPr>
          <w:rFonts w:ascii="Times New Roman" w:hAnsi="Times New Roman" w:cs="Times New Roman"/>
          <w:sz w:val="24"/>
        </w:rPr>
      </w:pPr>
    </w:p>
    <w:p w14:paraId="4C497808" w14:textId="77777777" w:rsidR="0080401B" w:rsidRDefault="0080401B" w:rsidP="00AD3B15">
      <w:pPr>
        <w:spacing w:line="360" w:lineRule="auto"/>
        <w:jc w:val="both"/>
        <w:rPr>
          <w:rFonts w:ascii="Times New Roman" w:hAnsi="Times New Roman" w:cs="Times New Roman"/>
          <w:sz w:val="24"/>
        </w:rPr>
      </w:pPr>
    </w:p>
    <w:p w14:paraId="611BBEDB" w14:textId="77777777" w:rsidR="000025D9" w:rsidRPr="00311959" w:rsidRDefault="000025D9" w:rsidP="00AD3B15">
      <w:pPr>
        <w:spacing w:line="360" w:lineRule="auto"/>
        <w:jc w:val="both"/>
        <w:rPr>
          <w:rFonts w:ascii="Times New Roman" w:hAnsi="Times New Roman" w:cs="Times New Roman"/>
          <w:sz w:val="24"/>
        </w:rPr>
      </w:pPr>
    </w:p>
    <w:p w14:paraId="6C3B32A2" w14:textId="1B355D47" w:rsidR="005D079A" w:rsidRPr="00311959" w:rsidRDefault="008314C9" w:rsidP="007C4E4F">
      <w:pPr>
        <w:pStyle w:val="31"/>
        <w:spacing w:line="360" w:lineRule="auto"/>
      </w:pPr>
      <w:bookmarkStart w:id="6" w:name="_Toc229797763"/>
      <w:r w:rsidRPr="00311959">
        <w:lastRenderedPageBreak/>
        <w:t>Section 2: Leveraging Technology for Enhanced Audit Efficiency and Effectiveness</w:t>
      </w:r>
      <w:bookmarkEnd w:id="6"/>
    </w:p>
    <w:p w14:paraId="63D4208D" w14:textId="6194B831" w:rsidR="006C61DC" w:rsidRPr="00311959" w:rsidRDefault="00FE545D" w:rsidP="00AD3B15">
      <w:pPr>
        <w:spacing w:line="360" w:lineRule="auto"/>
        <w:jc w:val="both"/>
        <w:rPr>
          <w:rFonts w:ascii="Times New Roman" w:hAnsi="Times New Roman" w:cs="Times New Roman"/>
          <w:sz w:val="24"/>
        </w:rPr>
      </w:pPr>
      <w:r w:rsidRPr="00FE545D">
        <w:rPr>
          <w:rFonts w:ascii="Times New Roman" w:hAnsi="Times New Roman" w:cs="Times New Roman"/>
          <w:sz w:val="24"/>
        </w:rPr>
        <w:t>In the GTS engagement, KPMG</w:t>
      </w:r>
      <w:r w:rsidR="006C61DC" w:rsidRPr="006C61DC">
        <w:rPr>
          <w:rFonts w:ascii="Times New Roman" w:hAnsi="Times New Roman" w:cs="Times New Roman"/>
          <w:sz w:val="24"/>
        </w:rPr>
        <w:t xml:space="preserve"> should use technology only where it improves evidence quality, traceability and audit efficiency without weakening professional judgement. Section 2 examines AI-supported procedures, blockchain verification and future auditor skills needed for responsible use (</w:t>
      </w:r>
      <w:proofErr w:type="spellStart"/>
      <w:r w:rsidR="006C61DC" w:rsidRPr="006C61DC">
        <w:rPr>
          <w:rFonts w:ascii="Times New Roman" w:hAnsi="Times New Roman" w:cs="Times New Roman"/>
          <w:sz w:val="24"/>
        </w:rPr>
        <w:t>Stöckle</w:t>
      </w:r>
      <w:proofErr w:type="spellEnd"/>
      <w:r w:rsidR="006C61DC" w:rsidRPr="006C61DC">
        <w:rPr>
          <w:rFonts w:ascii="Times New Roman" w:hAnsi="Times New Roman" w:cs="Times New Roman"/>
          <w:sz w:val="24"/>
        </w:rPr>
        <w:t>, 2024).</w:t>
      </w:r>
    </w:p>
    <w:p w14:paraId="627065D4" w14:textId="28C15430" w:rsidR="008314C9" w:rsidRPr="00311959" w:rsidRDefault="008314C9" w:rsidP="00AD3B15">
      <w:pPr>
        <w:pStyle w:val="41"/>
        <w:spacing w:line="360" w:lineRule="auto"/>
        <w:jc w:val="both"/>
      </w:pPr>
      <w:bookmarkStart w:id="7" w:name="_Toc229797764"/>
      <w:r w:rsidRPr="00311959">
        <w:t>2.1 AI in Audit Procedures</w:t>
      </w:r>
      <w:bookmarkEnd w:id="7"/>
    </w:p>
    <w:p w14:paraId="078CD6D1" w14:textId="764CAC35" w:rsidR="006C61DC" w:rsidRPr="003B7A81" w:rsidRDefault="006C61DC" w:rsidP="00AD3B15">
      <w:pPr>
        <w:spacing w:line="360" w:lineRule="auto"/>
        <w:jc w:val="both"/>
        <w:rPr>
          <w:rFonts w:ascii="Times New Roman" w:hAnsi="Times New Roman" w:cs="Times New Roman"/>
          <w:sz w:val="24"/>
        </w:rPr>
      </w:pPr>
      <w:r w:rsidRPr="006C61DC">
        <w:rPr>
          <w:rFonts w:ascii="Times New Roman" w:hAnsi="Times New Roman" w:cs="Times New Roman"/>
          <w:sz w:val="24"/>
        </w:rPr>
        <w:t xml:space="preserve">For GTS, AI-assisted procedures can improve coverage, precision and efficiency, but outputs should be </w:t>
      </w:r>
      <w:r w:rsidR="00FE545D" w:rsidRPr="00FE545D">
        <w:rPr>
          <w:rFonts w:ascii="Times New Roman" w:hAnsi="Times New Roman" w:cs="Times New Roman"/>
          <w:sz w:val="24"/>
        </w:rPr>
        <w:t>validated</w:t>
      </w:r>
      <w:r w:rsidRPr="006C61DC">
        <w:rPr>
          <w:rFonts w:ascii="Times New Roman" w:hAnsi="Times New Roman" w:cs="Times New Roman"/>
          <w:sz w:val="24"/>
        </w:rPr>
        <w:t xml:space="preserve"> rather than treated as audit evidence on their own. KPMG</w:t>
      </w:r>
      <w:r w:rsidR="00AF0505">
        <w:rPr>
          <w:rFonts w:ascii="Times New Roman" w:hAnsi="Times New Roman" w:cs="Times New Roman"/>
          <w:sz w:val="24"/>
        </w:rPr>
        <w:t>’</w:t>
      </w:r>
      <w:r w:rsidRPr="006C61DC">
        <w:rPr>
          <w:rFonts w:ascii="Times New Roman" w:hAnsi="Times New Roman" w:cs="Times New Roman"/>
          <w:sz w:val="24"/>
        </w:rPr>
        <w:t>s audit technology discussion highlights AI</w:t>
      </w:r>
      <w:r w:rsidR="00AF0505">
        <w:rPr>
          <w:rFonts w:ascii="Times New Roman" w:hAnsi="Times New Roman" w:cs="Times New Roman"/>
          <w:sz w:val="24"/>
        </w:rPr>
        <w:t>’</w:t>
      </w:r>
      <w:r w:rsidRPr="006C61DC">
        <w:rPr>
          <w:rFonts w:ascii="Times New Roman" w:hAnsi="Times New Roman" w:cs="Times New Roman"/>
          <w:sz w:val="24"/>
        </w:rPr>
        <w:t>s role in automation, data analysis, risk assessment and transaction-level analysis, while stressing that professional judgement and scepticism still apply to AI-generated outputs (</w:t>
      </w:r>
      <w:proofErr w:type="spellStart"/>
      <w:r w:rsidRPr="006C61DC">
        <w:rPr>
          <w:rFonts w:ascii="Times New Roman" w:hAnsi="Times New Roman" w:cs="Times New Roman"/>
          <w:sz w:val="24"/>
        </w:rPr>
        <w:t>Stöckle</w:t>
      </w:r>
      <w:proofErr w:type="spellEnd"/>
      <w:r w:rsidRPr="006C61DC">
        <w:rPr>
          <w:rFonts w:ascii="Times New Roman" w:hAnsi="Times New Roman" w:cs="Times New Roman"/>
          <w:sz w:val="24"/>
        </w:rPr>
        <w:t>, 2024). The two most relevant applications are Natural Language Processing (NLP) for supplier evidence and predictive analytics for carbon-estimate testing. Table 4 links each application to the challenge addressed, efficiency gained and required control.</w:t>
      </w:r>
    </w:p>
    <w:p w14:paraId="1FA41B7F" w14:textId="4DE892D9" w:rsidR="001C3B04" w:rsidRPr="001C3B04" w:rsidRDefault="001C3B04" w:rsidP="001C3B04">
      <w:pPr>
        <w:pStyle w:val="af6"/>
        <w:keepNext/>
        <w:rPr>
          <w:rFonts w:ascii="Times New Roman" w:hAnsi="Times New Roman" w:cs="Times New Roman"/>
          <w:sz w:val="24"/>
          <w:szCs w:val="24"/>
        </w:rPr>
      </w:pPr>
      <w:r w:rsidRPr="001C3B04">
        <w:rPr>
          <w:rFonts w:ascii="Times New Roman" w:hAnsi="Times New Roman" w:cs="Times New Roman"/>
          <w:b/>
          <w:bCs/>
          <w:sz w:val="24"/>
          <w:szCs w:val="24"/>
        </w:rPr>
        <w:t xml:space="preserve">Table </w:t>
      </w:r>
      <w:r w:rsidRPr="001C3B04">
        <w:rPr>
          <w:rFonts w:ascii="Times New Roman" w:hAnsi="Times New Roman" w:cs="Times New Roman"/>
          <w:b/>
          <w:bCs/>
          <w:sz w:val="24"/>
          <w:szCs w:val="24"/>
        </w:rPr>
        <w:fldChar w:fldCharType="begin"/>
      </w:r>
      <w:r w:rsidRPr="001C3B04">
        <w:rPr>
          <w:rFonts w:ascii="Times New Roman" w:hAnsi="Times New Roman" w:cs="Times New Roman"/>
          <w:b/>
          <w:bCs/>
          <w:sz w:val="24"/>
          <w:szCs w:val="24"/>
        </w:rPr>
        <w:instrText xml:space="preserve"> SEQ Table \* ARABIC </w:instrText>
      </w:r>
      <w:r w:rsidRPr="001C3B04">
        <w:rPr>
          <w:rFonts w:ascii="Times New Roman" w:hAnsi="Times New Roman" w:cs="Times New Roman"/>
          <w:b/>
          <w:bCs/>
          <w:sz w:val="24"/>
          <w:szCs w:val="24"/>
        </w:rPr>
        <w:fldChar w:fldCharType="separate"/>
      </w:r>
      <w:r w:rsidRPr="001C3B04">
        <w:rPr>
          <w:rFonts w:ascii="Times New Roman" w:hAnsi="Times New Roman" w:cs="Times New Roman"/>
          <w:b/>
          <w:bCs/>
          <w:noProof/>
          <w:sz w:val="24"/>
          <w:szCs w:val="24"/>
        </w:rPr>
        <w:t>4</w:t>
      </w:r>
      <w:r w:rsidRPr="001C3B04">
        <w:rPr>
          <w:rFonts w:ascii="Times New Roman" w:hAnsi="Times New Roman" w:cs="Times New Roman"/>
          <w:b/>
          <w:bCs/>
          <w:sz w:val="24"/>
          <w:szCs w:val="24"/>
        </w:rPr>
        <w:fldChar w:fldCharType="end"/>
      </w:r>
      <w:r w:rsidRPr="001C3B04">
        <w:rPr>
          <w:rFonts w:ascii="Times New Roman" w:hAnsi="Times New Roman" w:cs="Times New Roman"/>
          <w:b/>
          <w:bCs/>
          <w:sz w:val="24"/>
          <w:szCs w:val="24"/>
        </w:rPr>
        <w:t>.</w:t>
      </w:r>
      <w:r w:rsidRPr="001C3B04">
        <w:rPr>
          <w:rFonts w:ascii="Times New Roman" w:hAnsi="Times New Roman" w:cs="Times New Roman"/>
          <w:sz w:val="24"/>
          <w:szCs w:val="24"/>
        </w:rPr>
        <w:t xml:space="preserve"> AI Applications, Efficiencies and Controls for GTS</w:t>
      </w:r>
    </w:p>
    <w:tbl>
      <w:tblPr>
        <w:tblStyle w:val="af2"/>
        <w:tblW w:w="0" w:type="auto"/>
        <w:jc w:val="center"/>
        <w:tblLook w:val="04A0" w:firstRow="1" w:lastRow="0" w:firstColumn="1" w:lastColumn="0" w:noHBand="0" w:noVBand="1"/>
      </w:tblPr>
      <w:tblGrid>
        <w:gridCol w:w="2405"/>
        <w:gridCol w:w="2268"/>
        <w:gridCol w:w="2410"/>
        <w:gridCol w:w="1977"/>
      </w:tblGrid>
      <w:tr w:rsidR="001C3B04" w:rsidRPr="00311959" w14:paraId="3FFC9C69" w14:textId="77777777" w:rsidTr="00537A1E">
        <w:trPr>
          <w:jc w:val="center"/>
        </w:trPr>
        <w:tc>
          <w:tcPr>
            <w:tcW w:w="2405" w:type="dxa"/>
            <w:shd w:val="clear" w:color="auto" w:fill="DEEAF6" w:themeFill="accent5" w:themeFillTint="33"/>
            <w:vAlign w:val="center"/>
          </w:tcPr>
          <w:p w14:paraId="64B5129F" w14:textId="3287C374" w:rsidR="001C3B04" w:rsidRPr="001C3B04" w:rsidRDefault="001C3B04" w:rsidP="001C3B04">
            <w:pPr>
              <w:spacing w:line="360" w:lineRule="auto"/>
              <w:jc w:val="center"/>
              <w:rPr>
                <w:rFonts w:ascii="Times New Roman" w:hAnsi="Times New Roman" w:cs="Times New Roman"/>
                <w:b/>
                <w:bCs/>
                <w:sz w:val="24"/>
                <w:szCs w:val="28"/>
              </w:rPr>
            </w:pPr>
            <w:r w:rsidRPr="001C3B04">
              <w:rPr>
                <w:rFonts w:ascii="Times New Roman" w:hAnsi="Times New Roman" w:cs="Times New Roman"/>
                <w:b/>
                <w:bCs/>
                <w:sz w:val="24"/>
                <w:szCs w:val="28"/>
              </w:rPr>
              <w:t>Challenge addressed</w:t>
            </w:r>
          </w:p>
        </w:tc>
        <w:tc>
          <w:tcPr>
            <w:tcW w:w="2268" w:type="dxa"/>
            <w:shd w:val="clear" w:color="auto" w:fill="DEEAF6" w:themeFill="accent5" w:themeFillTint="33"/>
            <w:vAlign w:val="center"/>
          </w:tcPr>
          <w:p w14:paraId="11985BA5" w14:textId="54D86BDE" w:rsidR="001C3B04" w:rsidRPr="001C3B04" w:rsidRDefault="001C3B04" w:rsidP="001C3B04">
            <w:pPr>
              <w:spacing w:line="360" w:lineRule="auto"/>
              <w:jc w:val="center"/>
              <w:rPr>
                <w:rFonts w:ascii="Times New Roman" w:hAnsi="Times New Roman" w:cs="Times New Roman"/>
                <w:b/>
                <w:bCs/>
                <w:sz w:val="24"/>
                <w:szCs w:val="28"/>
              </w:rPr>
            </w:pPr>
            <w:r w:rsidRPr="001C3B04">
              <w:rPr>
                <w:rFonts w:ascii="Times New Roman" w:hAnsi="Times New Roman" w:cs="Times New Roman"/>
                <w:b/>
                <w:bCs/>
                <w:sz w:val="24"/>
                <w:szCs w:val="28"/>
              </w:rPr>
              <w:t>AI application</w:t>
            </w:r>
          </w:p>
        </w:tc>
        <w:tc>
          <w:tcPr>
            <w:tcW w:w="2410" w:type="dxa"/>
            <w:shd w:val="clear" w:color="auto" w:fill="DEEAF6" w:themeFill="accent5" w:themeFillTint="33"/>
            <w:vAlign w:val="center"/>
          </w:tcPr>
          <w:p w14:paraId="1D008DE1" w14:textId="0BFAA4B3" w:rsidR="001C3B04" w:rsidRPr="001C3B04" w:rsidRDefault="001C3B04" w:rsidP="001C3B04">
            <w:pPr>
              <w:spacing w:line="360" w:lineRule="auto"/>
              <w:jc w:val="center"/>
              <w:rPr>
                <w:rFonts w:ascii="Times New Roman" w:hAnsi="Times New Roman" w:cs="Times New Roman"/>
                <w:b/>
                <w:bCs/>
                <w:sz w:val="24"/>
                <w:szCs w:val="28"/>
              </w:rPr>
            </w:pPr>
            <w:r w:rsidRPr="001C3B04">
              <w:rPr>
                <w:rFonts w:ascii="Times New Roman" w:hAnsi="Times New Roman" w:cs="Times New Roman"/>
                <w:b/>
                <w:bCs/>
                <w:sz w:val="24"/>
                <w:szCs w:val="28"/>
              </w:rPr>
              <w:t>Efficiency gained</w:t>
            </w:r>
          </w:p>
        </w:tc>
        <w:tc>
          <w:tcPr>
            <w:tcW w:w="1977" w:type="dxa"/>
            <w:shd w:val="clear" w:color="auto" w:fill="DEEAF6" w:themeFill="accent5" w:themeFillTint="33"/>
            <w:vAlign w:val="center"/>
          </w:tcPr>
          <w:p w14:paraId="394FA869" w14:textId="25F97021" w:rsidR="001C3B04" w:rsidRPr="001C3B04" w:rsidRDefault="001C3B04" w:rsidP="001C3B04">
            <w:pPr>
              <w:spacing w:line="360" w:lineRule="auto"/>
              <w:jc w:val="center"/>
              <w:rPr>
                <w:rFonts w:ascii="Times New Roman" w:hAnsi="Times New Roman" w:cs="Times New Roman"/>
                <w:b/>
                <w:bCs/>
                <w:sz w:val="24"/>
                <w:szCs w:val="28"/>
              </w:rPr>
            </w:pPr>
            <w:r w:rsidRPr="001C3B04">
              <w:rPr>
                <w:rFonts w:ascii="Times New Roman" w:hAnsi="Times New Roman" w:cs="Times New Roman"/>
                <w:b/>
                <w:bCs/>
                <w:sz w:val="24"/>
                <w:szCs w:val="28"/>
              </w:rPr>
              <w:t>Risk and control</w:t>
            </w:r>
          </w:p>
        </w:tc>
      </w:tr>
      <w:tr w:rsidR="001C3B04" w:rsidRPr="00311959" w14:paraId="0B23CA45" w14:textId="77777777" w:rsidTr="00537A1E">
        <w:trPr>
          <w:jc w:val="center"/>
        </w:trPr>
        <w:tc>
          <w:tcPr>
            <w:tcW w:w="2405" w:type="dxa"/>
            <w:vAlign w:val="center"/>
          </w:tcPr>
          <w:p w14:paraId="590940EF" w14:textId="1D56E54D" w:rsidR="001C3B04" w:rsidRPr="001C3B04" w:rsidRDefault="001C3B04" w:rsidP="001C3B04">
            <w:pPr>
              <w:spacing w:line="360" w:lineRule="auto"/>
              <w:jc w:val="center"/>
              <w:rPr>
                <w:rFonts w:ascii="Times New Roman" w:hAnsi="Times New Roman" w:cs="Times New Roman"/>
                <w:sz w:val="24"/>
                <w:szCs w:val="28"/>
              </w:rPr>
            </w:pPr>
            <w:r w:rsidRPr="001C3B04">
              <w:rPr>
                <w:rFonts w:ascii="Times New Roman" w:hAnsi="Times New Roman" w:cs="Times New Roman"/>
                <w:sz w:val="24"/>
                <w:szCs w:val="28"/>
              </w:rPr>
              <w:t>Supplier evidence reliability</w:t>
            </w:r>
          </w:p>
        </w:tc>
        <w:tc>
          <w:tcPr>
            <w:tcW w:w="2268" w:type="dxa"/>
            <w:vAlign w:val="center"/>
          </w:tcPr>
          <w:p w14:paraId="530CF407" w14:textId="1B1C1739" w:rsidR="001C3B04" w:rsidRPr="001C3B04" w:rsidRDefault="001C3B04" w:rsidP="001C3B04">
            <w:pPr>
              <w:spacing w:line="360" w:lineRule="auto"/>
              <w:jc w:val="center"/>
              <w:rPr>
                <w:rFonts w:ascii="Times New Roman" w:hAnsi="Times New Roman" w:cs="Times New Roman"/>
                <w:sz w:val="24"/>
                <w:szCs w:val="28"/>
              </w:rPr>
            </w:pPr>
            <w:r w:rsidRPr="001C3B04">
              <w:rPr>
                <w:rFonts w:ascii="Times New Roman" w:hAnsi="Times New Roman" w:cs="Times New Roman"/>
                <w:sz w:val="24"/>
                <w:szCs w:val="28"/>
              </w:rPr>
              <w:t>NLP over contracts, emails and NGO reports</w:t>
            </w:r>
          </w:p>
        </w:tc>
        <w:tc>
          <w:tcPr>
            <w:tcW w:w="2410" w:type="dxa"/>
            <w:vAlign w:val="center"/>
          </w:tcPr>
          <w:p w14:paraId="32FA9D44" w14:textId="49786131" w:rsidR="001C3B04" w:rsidRPr="001C3B04" w:rsidRDefault="001C3B04" w:rsidP="001C3B04">
            <w:pPr>
              <w:spacing w:line="360" w:lineRule="auto"/>
              <w:jc w:val="center"/>
              <w:rPr>
                <w:rFonts w:ascii="Times New Roman" w:hAnsi="Times New Roman" w:cs="Times New Roman"/>
                <w:sz w:val="24"/>
                <w:szCs w:val="28"/>
              </w:rPr>
            </w:pPr>
            <w:r w:rsidRPr="001C3B04">
              <w:rPr>
                <w:rFonts w:ascii="Times New Roman" w:hAnsi="Times New Roman" w:cs="Times New Roman"/>
                <w:sz w:val="24"/>
                <w:szCs w:val="28"/>
              </w:rPr>
              <w:t>Wider review of unstructured evidence</w:t>
            </w:r>
          </w:p>
        </w:tc>
        <w:tc>
          <w:tcPr>
            <w:tcW w:w="1977" w:type="dxa"/>
            <w:vAlign w:val="center"/>
          </w:tcPr>
          <w:p w14:paraId="537002AF" w14:textId="60410B78" w:rsidR="001C3B04" w:rsidRPr="001C3B04" w:rsidRDefault="001C3B04" w:rsidP="001C3B04">
            <w:pPr>
              <w:spacing w:line="360" w:lineRule="auto"/>
              <w:jc w:val="center"/>
              <w:rPr>
                <w:rFonts w:ascii="Times New Roman" w:hAnsi="Times New Roman" w:cs="Times New Roman"/>
                <w:sz w:val="24"/>
                <w:szCs w:val="28"/>
              </w:rPr>
            </w:pPr>
            <w:r w:rsidRPr="001C3B04">
              <w:rPr>
                <w:rFonts w:ascii="Times New Roman" w:hAnsi="Times New Roman" w:cs="Times New Roman"/>
                <w:sz w:val="24"/>
                <w:szCs w:val="28"/>
              </w:rPr>
              <w:t>Privacy limits; human review</w:t>
            </w:r>
          </w:p>
        </w:tc>
      </w:tr>
      <w:tr w:rsidR="001C3B04" w:rsidRPr="00311959" w14:paraId="0DE667F6" w14:textId="77777777" w:rsidTr="00537A1E">
        <w:trPr>
          <w:jc w:val="center"/>
        </w:trPr>
        <w:tc>
          <w:tcPr>
            <w:tcW w:w="2405" w:type="dxa"/>
            <w:vAlign w:val="center"/>
          </w:tcPr>
          <w:p w14:paraId="7713729C" w14:textId="5B32BD8A" w:rsidR="001C3B04" w:rsidRPr="001C3B04" w:rsidRDefault="001C3B04" w:rsidP="001C3B04">
            <w:pPr>
              <w:spacing w:line="360" w:lineRule="auto"/>
              <w:jc w:val="center"/>
              <w:rPr>
                <w:rFonts w:ascii="Times New Roman" w:hAnsi="Times New Roman" w:cs="Times New Roman"/>
                <w:sz w:val="24"/>
                <w:szCs w:val="28"/>
              </w:rPr>
            </w:pPr>
            <w:r w:rsidRPr="001C3B04">
              <w:rPr>
                <w:rFonts w:ascii="Times New Roman" w:hAnsi="Times New Roman" w:cs="Times New Roman"/>
                <w:sz w:val="24"/>
                <w:szCs w:val="28"/>
              </w:rPr>
              <w:t>Carbon model estimation</w:t>
            </w:r>
          </w:p>
        </w:tc>
        <w:tc>
          <w:tcPr>
            <w:tcW w:w="2268" w:type="dxa"/>
            <w:vAlign w:val="center"/>
          </w:tcPr>
          <w:p w14:paraId="4020B7B1" w14:textId="0647B56C" w:rsidR="001C3B04" w:rsidRPr="001C3B04" w:rsidRDefault="001C3B04" w:rsidP="001C3B04">
            <w:pPr>
              <w:spacing w:line="360" w:lineRule="auto"/>
              <w:jc w:val="center"/>
              <w:rPr>
                <w:rFonts w:ascii="Times New Roman" w:hAnsi="Times New Roman" w:cs="Times New Roman"/>
                <w:sz w:val="24"/>
                <w:szCs w:val="28"/>
              </w:rPr>
            </w:pPr>
            <w:r w:rsidRPr="001C3B04">
              <w:rPr>
                <w:rFonts w:ascii="Times New Roman" w:hAnsi="Times New Roman" w:cs="Times New Roman"/>
                <w:sz w:val="24"/>
                <w:szCs w:val="28"/>
              </w:rPr>
              <w:t>Predictive analytics and benchmarking</w:t>
            </w:r>
          </w:p>
        </w:tc>
        <w:tc>
          <w:tcPr>
            <w:tcW w:w="2410" w:type="dxa"/>
            <w:vAlign w:val="center"/>
          </w:tcPr>
          <w:p w14:paraId="4233E63B" w14:textId="28EF457B" w:rsidR="001C3B04" w:rsidRPr="001C3B04" w:rsidRDefault="001C3B04" w:rsidP="001C3B04">
            <w:pPr>
              <w:spacing w:line="360" w:lineRule="auto"/>
              <w:jc w:val="center"/>
              <w:rPr>
                <w:rFonts w:ascii="Times New Roman" w:hAnsi="Times New Roman" w:cs="Times New Roman"/>
                <w:sz w:val="24"/>
                <w:szCs w:val="28"/>
              </w:rPr>
            </w:pPr>
            <w:r w:rsidRPr="001C3B04">
              <w:rPr>
                <w:rFonts w:ascii="Times New Roman" w:hAnsi="Times New Roman" w:cs="Times New Roman"/>
                <w:sz w:val="24"/>
                <w:szCs w:val="28"/>
              </w:rPr>
              <w:t>Independent reasonableness testing</w:t>
            </w:r>
          </w:p>
        </w:tc>
        <w:tc>
          <w:tcPr>
            <w:tcW w:w="1977" w:type="dxa"/>
            <w:vAlign w:val="center"/>
          </w:tcPr>
          <w:p w14:paraId="5C14329C" w14:textId="5AB22CC1" w:rsidR="001C3B04" w:rsidRPr="001C3B04" w:rsidRDefault="001C3B04" w:rsidP="001C3B04">
            <w:pPr>
              <w:spacing w:line="360" w:lineRule="auto"/>
              <w:jc w:val="center"/>
              <w:rPr>
                <w:rFonts w:ascii="Times New Roman" w:hAnsi="Times New Roman" w:cs="Times New Roman"/>
                <w:sz w:val="24"/>
                <w:szCs w:val="28"/>
              </w:rPr>
            </w:pPr>
            <w:r w:rsidRPr="001C3B04">
              <w:rPr>
                <w:rFonts w:ascii="Times New Roman" w:hAnsi="Times New Roman" w:cs="Times New Roman"/>
                <w:sz w:val="24"/>
                <w:szCs w:val="28"/>
              </w:rPr>
              <w:t>Biased benchmarks; expert validation</w:t>
            </w:r>
          </w:p>
        </w:tc>
      </w:tr>
    </w:tbl>
    <w:p w14:paraId="5CA26416" w14:textId="6BAA1371" w:rsidR="00393D5F" w:rsidRPr="00311959" w:rsidRDefault="00393D5F" w:rsidP="002D698F">
      <w:pPr>
        <w:spacing w:before="120" w:line="360" w:lineRule="auto"/>
        <w:jc w:val="both"/>
        <w:rPr>
          <w:rFonts w:ascii="Times New Roman" w:hAnsi="Times New Roman" w:cs="Times New Roman"/>
          <w:sz w:val="24"/>
        </w:rPr>
      </w:pPr>
      <w:r w:rsidRPr="00393D5F">
        <w:rPr>
          <w:rFonts w:ascii="Times New Roman" w:hAnsi="Times New Roman" w:cs="Times New Roman"/>
          <w:b/>
          <w:bCs/>
          <w:sz w:val="24"/>
        </w:rPr>
        <w:t>NLP for Supplier Evidence</w:t>
      </w:r>
    </w:p>
    <w:p w14:paraId="14853687" w14:textId="54C4CA8D" w:rsidR="006C61DC" w:rsidRPr="00311959" w:rsidRDefault="006C61DC" w:rsidP="00AD3B15">
      <w:pPr>
        <w:spacing w:line="360" w:lineRule="auto"/>
        <w:jc w:val="both"/>
        <w:rPr>
          <w:rFonts w:ascii="Times New Roman" w:hAnsi="Times New Roman" w:cs="Times New Roman"/>
          <w:sz w:val="24"/>
        </w:rPr>
      </w:pPr>
      <w:r w:rsidRPr="006C61DC">
        <w:rPr>
          <w:rFonts w:ascii="Times New Roman" w:hAnsi="Times New Roman" w:cs="Times New Roman"/>
          <w:sz w:val="24"/>
        </w:rPr>
        <w:t xml:space="preserve">NLP might help assess weak evidence around Supplier X by scanning contracts, email survey responses, compliance certificates, NGO reports and media articles for red flags, </w:t>
      </w:r>
      <w:r w:rsidRPr="006C61DC">
        <w:rPr>
          <w:rFonts w:ascii="Times New Roman" w:hAnsi="Times New Roman" w:cs="Times New Roman"/>
          <w:sz w:val="24"/>
        </w:rPr>
        <w:lastRenderedPageBreak/>
        <w:t>inconsistencies or missing labour and emissions evidence. This improves efficiency because AI can process large volumes of unstructured text and guide auditors towards higher-risk items (ACCA, 2019; IAASB, 2020). However, KPMG must consider consent, confidentiality, access rights, cross-border transfer restrictions and data minimisation. NLP may also misinterpret local terminology, translation or context. Hence, AI-flagged exceptions should be reviewed by auditors and, where needed, ESG or legal specialists.</w:t>
      </w:r>
    </w:p>
    <w:p w14:paraId="584F383E" w14:textId="7D199EFC" w:rsidR="00393D5F" w:rsidRPr="00311959" w:rsidRDefault="00393D5F" w:rsidP="00AD3B15">
      <w:pPr>
        <w:spacing w:line="360" w:lineRule="auto"/>
        <w:jc w:val="both"/>
        <w:rPr>
          <w:rFonts w:ascii="Times New Roman" w:hAnsi="Times New Roman" w:cs="Times New Roman"/>
          <w:sz w:val="24"/>
        </w:rPr>
      </w:pPr>
      <w:r w:rsidRPr="00393D5F">
        <w:rPr>
          <w:rFonts w:ascii="Times New Roman" w:hAnsi="Times New Roman" w:cs="Times New Roman"/>
          <w:b/>
          <w:bCs/>
          <w:sz w:val="24"/>
        </w:rPr>
        <w:t>Predictive Analytics for Carbon Estimates</w:t>
      </w:r>
    </w:p>
    <w:p w14:paraId="622B1FB4" w14:textId="66260554" w:rsidR="003B7A81" w:rsidRPr="00311959" w:rsidRDefault="003B7A81" w:rsidP="00AD3B15">
      <w:pPr>
        <w:spacing w:line="360" w:lineRule="auto"/>
        <w:jc w:val="both"/>
        <w:rPr>
          <w:rFonts w:ascii="Times New Roman" w:hAnsi="Times New Roman" w:cs="Times New Roman"/>
          <w:sz w:val="24"/>
        </w:rPr>
      </w:pPr>
      <w:r w:rsidRPr="003B7A81">
        <w:rPr>
          <w:rFonts w:ascii="Times New Roman" w:hAnsi="Times New Roman" w:cs="Times New Roman"/>
          <w:sz w:val="24"/>
        </w:rPr>
        <w:t>Predictive analytics could be used to test the reasonableness of GTS</w:t>
      </w:r>
      <w:r w:rsidR="00AF0505">
        <w:rPr>
          <w:rFonts w:ascii="Times New Roman" w:hAnsi="Times New Roman" w:cs="Times New Roman"/>
          <w:sz w:val="24"/>
        </w:rPr>
        <w:t>’</w:t>
      </w:r>
      <w:r w:rsidRPr="003B7A81">
        <w:rPr>
          <w:rFonts w:ascii="Times New Roman" w:hAnsi="Times New Roman" w:cs="Times New Roman"/>
          <w:sz w:val="24"/>
        </w:rPr>
        <w:t>s in-house AI model for product-level Scope 3 Category 11 carbon footprints. Scope 3 emissions are based on value-chain and customer-use assumptions and are difficult to quantify and validate directly (Greenhouse Gas Protocol, 2011). KPMG could develop an independent expectation based on product specifications, past energy-efficiency information, assumed user behaviour, production volumes and industry benchmarks. This would flag unusual outputs, overly optimistic carbon-reduction claims or estimates that appear inconsistent with comparable products, while allowing broader model testing than manual recalculation alone. However, KPMG</w:t>
      </w:r>
      <w:r w:rsidR="00AF0505">
        <w:rPr>
          <w:rFonts w:ascii="Times New Roman" w:hAnsi="Times New Roman" w:cs="Times New Roman"/>
          <w:sz w:val="24"/>
        </w:rPr>
        <w:t>’</w:t>
      </w:r>
      <w:r w:rsidRPr="003B7A81">
        <w:rPr>
          <w:rFonts w:ascii="Times New Roman" w:hAnsi="Times New Roman" w:cs="Times New Roman"/>
          <w:sz w:val="24"/>
        </w:rPr>
        <w:t xml:space="preserve">s analytical model may also contain incomplete benchmarks, </w:t>
      </w:r>
      <w:r w:rsidR="00FE545D" w:rsidRPr="00FE545D">
        <w:rPr>
          <w:rFonts w:ascii="Times New Roman" w:hAnsi="Times New Roman" w:cs="Times New Roman"/>
          <w:sz w:val="24"/>
        </w:rPr>
        <w:t>biased assumptions</w:t>
      </w:r>
      <w:r w:rsidRPr="003B7A81">
        <w:rPr>
          <w:rFonts w:ascii="Times New Roman" w:hAnsi="Times New Roman" w:cs="Times New Roman"/>
          <w:sz w:val="24"/>
        </w:rPr>
        <w:t xml:space="preserve"> or model drift, so the team should assess benchmark quality, perform sensitivity analysis and involve carbon or data specialists where model risk is significant.</w:t>
      </w:r>
    </w:p>
    <w:p w14:paraId="02D8AE2F" w14:textId="32B4FCB9" w:rsidR="00393D5F" w:rsidRPr="00311959" w:rsidRDefault="00393D5F" w:rsidP="00AD3B15">
      <w:pPr>
        <w:spacing w:line="360" w:lineRule="auto"/>
        <w:jc w:val="both"/>
        <w:rPr>
          <w:rFonts w:ascii="Times New Roman" w:hAnsi="Times New Roman" w:cs="Times New Roman"/>
          <w:sz w:val="24"/>
        </w:rPr>
      </w:pPr>
      <w:r w:rsidRPr="00393D5F">
        <w:rPr>
          <w:rFonts w:ascii="Times New Roman" w:hAnsi="Times New Roman" w:cs="Times New Roman"/>
          <w:b/>
          <w:bCs/>
          <w:sz w:val="24"/>
        </w:rPr>
        <w:t>Controls over AI Reliance</w:t>
      </w:r>
    </w:p>
    <w:p w14:paraId="581C4720" w14:textId="640A1E7B" w:rsidR="005D079A" w:rsidRDefault="00393D5F" w:rsidP="00AD3B15">
      <w:pPr>
        <w:spacing w:line="360" w:lineRule="auto"/>
        <w:jc w:val="both"/>
        <w:rPr>
          <w:rFonts w:ascii="Times New Roman" w:hAnsi="Times New Roman" w:cs="Times New Roman"/>
          <w:sz w:val="24"/>
        </w:rPr>
      </w:pPr>
      <w:r w:rsidRPr="00393D5F">
        <w:rPr>
          <w:rFonts w:ascii="Times New Roman" w:hAnsi="Times New Roman" w:cs="Times New Roman"/>
          <w:sz w:val="24"/>
        </w:rPr>
        <w:t xml:space="preserve">The main audit risk is over-reliance. AI can improve anomaly detection and evidence coverage, but its outputs do not automatically constitute sufficient appropriate evidence under ISA 500 (IAASB, 2009b). To reduce black-box and bias risks, KPMG should use explainable outputs where possible, document tool validation, retain a mandatory human review threshold for all high-risk exceptions, and link each AI result to corroborating evidence. This is consistent with trustworthy AI principles such as validity, reliability, explainability, accountability and bias management (National Institute of Standards and Technology [NIST], 2023; OECD, 2024). Overall, AI should be used as a risk-targeting and evidence-enhancement tool, not as a substitute </w:t>
      </w:r>
      <w:r w:rsidRPr="00393D5F">
        <w:rPr>
          <w:rFonts w:ascii="Times New Roman" w:hAnsi="Times New Roman" w:cs="Times New Roman"/>
          <w:sz w:val="24"/>
        </w:rPr>
        <w:lastRenderedPageBreak/>
        <w:t>for professional judgement.</w:t>
      </w:r>
    </w:p>
    <w:p w14:paraId="7BF201B9" w14:textId="77777777" w:rsidR="00393D5F" w:rsidRPr="00311959" w:rsidRDefault="00393D5F" w:rsidP="00AD3B15">
      <w:pPr>
        <w:spacing w:line="360" w:lineRule="auto"/>
        <w:jc w:val="both"/>
        <w:rPr>
          <w:rFonts w:ascii="Times New Roman" w:hAnsi="Times New Roman" w:cs="Times New Roman"/>
          <w:sz w:val="24"/>
        </w:rPr>
      </w:pPr>
    </w:p>
    <w:p w14:paraId="0A4A2A23" w14:textId="77777777" w:rsidR="008314C9" w:rsidRPr="00311959" w:rsidRDefault="008314C9" w:rsidP="00AD3B15">
      <w:pPr>
        <w:pStyle w:val="41"/>
        <w:spacing w:line="360" w:lineRule="auto"/>
        <w:jc w:val="both"/>
      </w:pPr>
      <w:bookmarkStart w:id="8" w:name="_Toc229797765"/>
      <w:r w:rsidRPr="00311959">
        <w:t>2.2 Blockchain for Trust and Verification</w:t>
      </w:r>
      <w:bookmarkEnd w:id="8"/>
    </w:p>
    <w:p w14:paraId="3E8BB6DD" w14:textId="323F290C" w:rsidR="00ED0EC3" w:rsidRPr="003B6CEB" w:rsidRDefault="00ED0EC3" w:rsidP="003B6CEB">
      <w:pPr>
        <w:spacing w:line="360" w:lineRule="auto"/>
        <w:jc w:val="both"/>
        <w:rPr>
          <w:rFonts w:ascii="Times New Roman" w:hAnsi="Times New Roman" w:cs="Times New Roman"/>
          <w:sz w:val="24"/>
        </w:rPr>
      </w:pPr>
      <w:r w:rsidRPr="00ED0EC3">
        <w:rPr>
          <w:rFonts w:ascii="Times New Roman" w:hAnsi="Times New Roman" w:cs="Times New Roman"/>
          <w:sz w:val="24"/>
        </w:rPr>
        <w:t xml:space="preserve">A blockchain-based supply-chain system would give KPMG shared, time-stamped and tamper-resistant ESG records. For GTS, this would reduce reliance on retrospective supplier email surveys and management summaries by providing a more continuous transaction trail (NIST, 2018; </w:t>
      </w:r>
      <w:r w:rsidR="00ED7813" w:rsidRPr="00ED7813">
        <w:rPr>
          <w:rFonts w:ascii="Times New Roman" w:hAnsi="Times New Roman" w:cs="Times New Roman"/>
          <w:sz w:val="24"/>
        </w:rPr>
        <w:t>Chartered Professional Accountants of Canada [CPA Canada]</w:t>
      </w:r>
      <w:r w:rsidRPr="00ED0EC3">
        <w:rPr>
          <w:rFonts w:ascii="Times New Roman" w:hAnsi="Times New Roman" w:cs="Times New Roman"/>
          <w:sz w:val="24"/>
        </w:rPr>
        <w:t>, 2018). However, blockchain strengthens the audit trail rather than replacing assurance procedures.</w:t>
      </w:r>
    </w:p>
    <w:p w14:paraId="4DC0C9EB" w14:textId="53DC2E4D" w:rsidR="003B6CEB" w:rsidRPr="003B6CEB" w:rsidRDefault="003B6CEB" w:rsidP="003B6CEB">
      <w:pPr>
        <w:spacing w:line="360" w:lineRule="auto"/>
        <w:jc w:val="both"/>
        <w:rPr>
          <w:rFonts w:ascii="Times New Roman" w:hAnsi="Times New Roman" w:cs="Times New Roman"/>
          <w:sz w:val="24"/>
        </w:rPr>
      </w:pPr>
      <w:r w:rsidRPr="003B6CEB">
        <w:rPr>
          <w:rFonts w:ascii="Times New Roman" w:hAnsi="Times New Roman" w:cs="Times New Roman" w:hint="eastAsia"/>
          <w:sz w:val="24"/>
        </w:rPr>
        <w:t>For recycled content, raw material suppliers could record certified recycled-material batches on the blockchain, including batch identity, certification details, weight and transfer records. These records could then be linked to production use and finished products, allowing KPMG to trace recycled materials from source to output and test whether the reported recycled content percentage is supported by a complete chain of custody (</w:t>
      </w:r>
      <w:r w:rsidR="00ED7813" w:rsidRPr="00ED7813">
        <w:rPr>
          <w:rFonts w:ascii="Times New Roman" w:hAnsi="Times New Roman" w:cs="Times New Roman"/>
          <w:sz w:val="24"/>
        </w:rPr>
        <w:t>Institute of Chartered Accountants in England and Wales [ICAEW]</w:t>
      </w:r>
      <w:r w:rsidRPr="003B6CEB">
        <w:rPr>
          <w:rFonts w:ascii="Times New Roman" w:hAnsi="Times New Roman" w:cs="Times New Roman" w:hint="eastAsia"/>
          <w:sz w:val="24"/>
        </w:rPr>
        <w:t>, 2017; NIST, 2018). The audit work would shift from checking selected supplier emails or certificates to testing whether blockchain records are complete, certificates are valid, transfers reconcile with production usage, and exceptions are investigated.</w:t>
      </w:r>
    </w:p>
    <w:p w14:paraId="101E5FC0" w14:textId="01708EE8" w:rsidR="003B7A81" w:rsidRPr="003B7A81" w:rsidRDefault="003B7A81" w:rsidP="003B7A81">
      <w:pPr>
        <w:spacing w:line="360" w:lineRule="auto"/>
        <w:jc w:val="both"/>
        <w:rPr>
          <w:rFonts w:ascii="Times New Roman" w:hAnsi="Times New Roman" w:cs="Times New Roman"/>
          <w:sz w:val="24"/>
        </w:rPr>
      </w:pPr>
      <w:r w:rsidRPr="003B7A81">
        <w:rPr>
          <w:rFonts w:ascii="Times New Roman" w:hAnsi="Times New Roman" w:cs="Times New Roman" w:hint="eastAsia"/>
          <w:sz w:val="24"/>
        </w:rPr>
        <w:t>For Supplier X, blockchain technology could be used to record work-hour data, energy usage, emissions data, inspection results and compliance certificates to support ethical sourcing assurance. This would enable KPMG to spot missing uploads, late uploads, unusual working-hour patterns, abnormal energy use or certification gaps. It would also facilitate responsible supply-chain due diligence, considering that Supplier X is connected to labour and emissions allegations (OECD, 2018). However, this only works if Supplier X has the infrastructure, incentive and contractual requirement to participate. In Country X, cost, data privacy, weak systems and supplier resistance may limit adoption, so blockchain evidence will be reliable only if participation and data-entry responsibilities are enforceable.</w:t>
      </w:r>
    </w:p>
    <w:p w14:paraId="4F93CA50" w14:textId="3B80065A" w:rsidR="003B7A81" w:rsidRDefault="00FE545D" w:rsidP="003B7A81">
      <w:pPr>
        <w:spacing w:line="360" w:lineRule="auto"/>
        <w:jc w:val="both"/>
        <w:rPr>
          <w:rFonts w:ascii="Times New Roman" w:hAnsi="Times New Roman" w:cs="Times New Roman"/>
          <w:sz w:val="24"/>
        </w:rPr>
      </w:pPr>
      <w:r w:rsidRPr="00FE545D">
        <w:rPr>
          <w:rFonts w:ascii="Times New Roman" w:hAnsi="Times New Roman" w:cs="Times New Roman"/>
          <w:sz w:val="24"/>
        </w:rPr>
        <w:t>The main implication for audit evidence quality is that blockchain may improve integrity, traceability, timeliness and completeness, but it does not prove that source data are true.</w:t>
      </w:r>
      <w:r w:rsidR="003B7A81" w:rsidRPr="003B7A81">
        <w:rPr>
          <w:rFonts w:ascii="Times New Roman" w:hAnsi="Times New Roman" w:cs="Times New Roman" w:hint="eastAsia"/>
          <w:sz w:val="24"/>
        </w:rPr>
        <w:t xml:space="preserve"> False </w:t>
      </w:r>
      <w:r w:rsidR="003B7A81" w:rsidRPr="003B7A81">
        <w:rPr>
          <w:rFonts w:ascii="Times New Roman" w:hAnsi="Times New Roman" w:cs="Times New Roman" w:hint="eastAsia"/>
          <w:sz w:val="24"/>
        </w:rPr>
        <w:lastRenderedPageBreak/>
        <w:t xml:space="preserve">certificates, biased supplier inputs or distorted sensor readings can still be recorded immutably; this is the </w:t>
      </w:r>
      <w:r w:rsidR="006C61DC">
        <w:rPr>
          <w:rFonts w:ascii="Times New Roman" w:hAnsi="Times New Roman" w:cs="Times New Roman"/>
          <w:sz w:val="24"/>
        </w:rPr>
        <w:t>“</w:t>
      </w:r>
      <w:r w:rsidR="003B7A81" w:rsidRPr="003B7A81">
        <w:rPr>
          <w:rFonts w:ascii="Times New Roman" w:hAnsi="Times New Roman" w:cs="Times New Roman" w:hint="eastAsia"/>
          <w:sz w:val="24"/>
        </w:rPr>
        <w:t>garbage in, garbage out</w:t>
      </w:r>
      <w:r w:rsidR="006C61DC">
        <w:rPr>
          <w:rFonts w:ascii="Times New Roman" w:hAnsi="Times New Roman" w:cs="Times New Roman"/>
          <w:sz w:val="24"/>
        </w:rPr>
        <w:t>”</w:t>
      </w:r>
      <w:r w:rsidR="003B7A81" w:rsidRPr="003B7A81">
        <w:rPr>
          <w:rFonts w:ascii="Times New Roman" w:hAnsi="Times New Roman" w:cs="Times New Roman" w:hint="eastAsia"/>
          <w:sz w:val="24"/>
        </w:rPr>
        <w:t xml:space="preserve"> issue (CPA Canada, 2018). KPMG would therefore have to test supplier onboarding controls, access controls, permissions, data-input controls, smart contract logic, hashing or record-integrity controls, and exception logs before using blockchain evidence. </w:t>
      </w:r>
      <w:r w:rsidRPr="00FE545D">
        <w:rPr>
          <w:rFonts w:ascii="Times New Roman" w:hAnsi="Times New Roman" w:cs="Times New Roman"/>
          <w:sz w:val="24"/>
        </w:rPr>
        <w:t>Overall, blockchain could improve GTS</w:t>
      </w:r>
      <w:r w:rsidR="00AF0505">
        <w:rPr>
          <w:rFonts w:ascii="Times New Roman" w:hAnsi="Times New Roman" w:cs="Times New Roman"/>
          <w:sz w:val="24"/>
        </w:rPr>
        <w:t>’</w:t>
      </w:r>
      <w:r w:rsidRPr="00FE545D">
        <w:rPr>
          <w:rFonts w:ascii="Times New Roman" w:hAnsi="Times New Roman" w:cs="Times New Roman"/>
          <w:sz w:val="24"/>
        </w:rPr>
        <w:t>s ESG assurance by making evidence more traceable and less dependent on management assertions, but its assurance value depends on source validation, supplier participation and strong system governance.</w:t>
      </w:r>
    </w:p>
    <w:p w14:paraId="568C89D5" w14:textId="77777777" w:rsidR="00FE545D" w:rsidRPr="00311959" w:rsidRDefault="00FE545D" w:rsidP="003B7A81">
      <w:pPr>
        <w:spacing w:line="360" w:lineRule="auto"/>
        <w:jc w:val="both"/>
        <w:rPr>
          <w:rFonts w:ascii="Times New Roman" w:hAnsi="Times New Roman" w:cs="Times New Roman"/>
          <w:sz w:val="24"/>
        </w:rPr>
      </w:pPr>
    </w:p>
    <w:p w14:paraId="4041D16E" w14:textId="4CADE1FC" w:rsidR="008314C9" w:rsidRPr="00311959" w:rsidRDefault="008314C9" w:rsidP="00AD3B15">
      <w:pPr>
        <w:pStyle w:val="41"/>
        <w:spacing w:line="360" w:lineRule="auto"/>
        <w:jc w:val="both"/>
      </w:pPr>
      <w:bookmarkStart w:id="9" w:name="_Toc229797766"/>
      <w:r w:rsidRPr="00311959">
        <w:t>2.3 The Future Auditor</w:t>
      </w:r>
      <w:r w:rsidR="003801AA" w:rsidRPr="00311959">
        <w:t>—</w:t>
      </w:r>
      <w:r w:rsidRPr="00311959">
        <w:t>Skills and Ethics</w:t>
      </w:r>
      <w:bookmarkEnd w:id="9"/>
    </w:p>
    <w:p w14:paraId="1C1ACFE6" w14:textId="0FBD2C39" w:rsidR="003B7A81" w:rsidRPr="003B7A81" w:rsidRDefault="003B7A81" w:rsidP="003B7A81">
      <w:pPr>
        <w:spacing w:line="360" w:lineRule="auto"/>
        <w:jc w:val="both"/>
        <w:rPr>
          <w:rFonts w:ascii="Times New Roman" w:hAnsi="Times New Roman" w:cs="Times New Roman"/>
          <w:sz w:val="24"/>
        </w:rPr>
      </w:pPr>
      <w:r w:rsidRPr="003B7A81">
        <w:rPr>
          <w:rFonts w:ascii="Times New Roman" w:hAnsi="Times New Roman" w:cs="Times New Roman" w:hint="eastAsia"/>
          <w:sz w:val="24"/>
        </w:rPr>
        <w:t>The shift to ESG reporting and AI use changes auditors</w:t>
      </w:r>
      <w:r w:rsidR="00AF0505">
        <w:rPr>
          <w:rFonts w:ascii="Times New Roman" w:hAnsi="Times New Roman" w:cs="Times New Roman"/>
          <w:sz w:val="24"/>
        </w:rPr>
        <w:t>’</w:t>
      </w:r>
      <w:r w:rsidRPr="003B7A81">
        <w:rPr>
          <w:rFonts w:ascii="Times New Roman" w:hAnsi="Times New Roman" w:cs="Times New Roman" w:hint="eastAsia"/>
          <w:sz w:val="24"/>
        </w:rPr>
        <w:t xml:space="preserve"> competence profile. </w:t>
      </w:r>
      <w:r w:rsidR="006856A6" w:rsidRPr="006856A6">
        <w:rPr>
          <w:rFonts w:ascii="Times New Roman" w:hAnsi="Times New Roman" w:cs="Times New Roman"/>
          <w:sz w:val="24"/>
        </w:rPr>
        <w:t>For new graduates entering ESG assurance, d</w:t>
      </w:r>
      <w:r w:rsidRPr="003B7A81">
        <w:rPr>
          <w:rFonts w:ascii="Times New Roman" w:hAnsi="Times New Roman" w:cs="Times New Roman" w:hint="eastAsia"/>
          <w:sz w:val="24"/>
        </w:rPr>
        <w:t xml:space="preserve">ata analytics and AI literacy should be the most urgent skill set because auditors must understand </w:t>
      </w:r>
      <w:r w:rsidR="00B92835" w:rsidRPr="00B92835">
        <w:rPr>
          <w:rFonts w:ascii="Times New Roman" w:hAnsi="Times New Roman" w:cs="Times New Roman"/>
          <w:sz w:val="24"/>
        </w:rPr>
        <w:t>data pipelines, model inputs, assumptions, bias risks and output limitations</w:t>
      </w:r>
      <w:r w:rsidRPr="003B7A81">
        <w:rPr>
          <w:rFonts w:ascii="Times New Roman" w:hAnsi="Times New Roman" w:cs="Times New Roman" w:hint="eastAsia"/>
          <w:sz w:val="24"/>
        </w:rPr>
        <w:t xml:space="preserve"> before using technology-enabled evidence. While automated tools can improve efficiency, outputs still require professional evaluation rather than automatic reliance (IAASB, 2020). This is critical for GTS, given its internal AI carbon model and AI-assisted supplier-evidence procedures. It also aligns with the increasing demand for auditors to understand how data analytics affects evidence evaluation (ICAEW, 2025).</w:t>
      </w:r>
    </w:p>
    <w:p w14:paraId="0A943C3E" w14:textId="75334A04" w:rsidR="00E84974" w:rsidRPr="00E84974" w:rsidRDefault="00E84974" w:rsidP="00E84974">
      <w:pPr>
        <w:spacing w:line="360" w:lineRule="auto"/>
        <w:jc w:val="both"/>
        <w:rPr>
          <w:rFonts w:ascii="Times New Roman" w:hAnsi="Times New Roman" w:cs="Times New Roman"/>
          <w:sz w:val="24"/>
        </w:rPr>
      </w:pPr>
      <w:r w:rsidRPr="00E84974">
        <w:rPr>
          <w:rFonts w:ascii="Times New Roman" w:hAnsi="Times New Roman" w:cs="Times New Roman" w:hint="eastAsia"/>
          <w:sz w:val="24"/>
        </w:rPr>
        <w:t>The second skill set is ESG framework knowledge. Future auditors must understand how criteria such as ISAE 3000, ISAE 3410, GRI Standards, IFRS S1 and the GHG Protocol shape assurance work. For GTS, this knowledge helps KPMG assess whether recycled content, Scope 1 and 2 GHG emissions, workforce diversity metrics and carbon-related claims are prepared using suitable criteria. It also supports materiality judgement because sustainability information may affect users</w:t>
      </w:r>
      <w:r w:rsidR="00AF0505">
        <w:rPr>
          <w:rFonts w:ascii="Times New Roman" w:hAnsi="Times New Roman" w:cs="Times New Roman"/>
          <w:sz w:val="24"/>
        </w:rPr>
        <w:t>’</w:t>
      </w:r>
      <w:r w:rsidRPr="00E84974">
        <w:rPr>
          <w:rFonts w:ascii="Times New Roman" w:hAnsi="Times New Roman" w:cs="Times New Roman" w:hint="eastAsia"/>
          <w:sz w:val="24"/>
        </w:rPr>
        <w:t xml:space="preserve"> decisions before any immediate financial statement impact arises (ISSB, 2023). More broadly, sustainability reporting and assurance are becoming part of the expected competence profile for professional accountants (IFAC, 2025).</w:t>
      </w:r>
    </w:p>
    <w:p w14:paraId="73D7C906" w14:textId="1594F9D7" w:rsidR="00E84974" w:rsidRPr="00E84974" w:rsidRDefault="00E84974" w:rsidP="00E84974">
      <w:pPr>
        <w:spacing w:line="360" w:lineRule="auto"/>
        <w:jc w:val="both"/>
        <w:rPr>
          <w:rFonts w:ascii="Times New Roman" w:hAnsi="Times New Roman" w:cs="Times New Roman"/>
          <w:sz w:val="24"/>
        </w:rPr>
      </w:pPr>
      <w:r w:rsidRPr="00E84974">
        <w:rPr>
          <w:rFonts w:ascii="Times New Roman" w:hAnsi="Times New Roman" w:cs="Times New Roman" w:hint="eastAsia"/>
          <w:sz w:val="24"/>
        </w:rPr>
        <w:t xml:space="preserve">The third skill set is systems thinking combined with ethical judgement. ESG assurance requires auditors to connect supplier behaviour, production processes, product-use emissions, </w:t>
      </w:r>
      <w:r w:rsidRPr="00E84974">
        <w:rPr>
          <w:rFonts w:ascii="Times New Roman" w:hAnsi="Times New Roman" w:cs="Times New Roman" w:hint="eastAsia"/>
          <w:sz w:val="24"/>
        </w:rPr>
        <w:lastRenderedPageBreak/>
        <w:t>stakeholder trust and regulatory exposure. Supplier X</w:t>
      </w:r>
      <w:r w:rsidR="00AF0505">
        <w:rPr>
          <w:rFonts w:ascii="Times New Roman" w:hAnsi="Times New Roman" w:cs="Times New Roman"/>
          <w:sz w:val="24"/>
        </w:rPr>
        <w:t>’</w:t>
      </w:r>
      <w:r w:rsidRPr="00E84974">
        <w:rPr>
          <w:rFonts w:ascii="Times New Roman" w:hAnsi="Times New Roman" w:cs="Times New Roman" w:hint="eastAsia"/>
          <w:sz w:val="24"/>
        </w:rPr>
        <w:t>s labour and emissions issues are therefore not isolated supplier matters; they affect GTS</w:t>
      </w:r>
      <w:r w:rsidR="00AF0505">
        <w:rPr>
          <w:rFonts w:ascii="Times New Roman" w:hAnsi="Times New Roman" w:cs="Times New Roman"/>
          <w:sz w:val="24"/>
        </w:rPr>
        <w:t>’</w:t>
      </w:r>
      <w:r w:rsidRPr="00E84974">
        <w:rPr>
          <w:rFonts w:ascii="Times New Roman" w:hAnsi="Times New Roman" w:cs="Times New Roman" w:hint="eastAsia"/>
          <w:sz w:val="24"/>
        </w:rPr>
        <w:t>s sustainability claims, reputation and assurance risk. This reflects the broader nature of sustainability assurance, where evidence and judgement often extend across value chains and stakeholder impacts (IAASB, 2021). Systems thinking helps auditors trace these connections, while ethical judgement prevents AI tools from weakening accountability or professional scepticism, especially in supply-chain due diligence contexts (OECD, 2018).</w:t>
      </w:r>
    </w:p>
    <w:p w14:paraId="3847D55B" w14:textId="77777777" w:rsidR="00E84974" w:rsidRPr="00E84974" w:rsidRDefault="00E84974" w:rsidP="00E84974">
      <w:pPr>
        <w:spacing w:line="360" w:lineRule="auto"/>
        <w:jc w:val="both"/>
        <w:rPr>
          <w:rFonts w:ascii="Times New Roman" w:hAnsi="Times New Roman" w:cs="Times New Roman"/>
          <w:sz w:val="24"/>
        </w:rPr>
      </w:pPr>
      <w:r w:rsidRPr="00E84974">
        <w:rPr>
          <w:rFonts w:ascii="Times New Roman" w:hAnsi="Times New Roman" w:cs="Times New Roman" w:hint="eastAsia"/>
          <w:sz w:val="24"/>
        </w:rPr>
        <w:t>A key ethical dilemma is AI bias and accountability. If KPMG uses an AI tool to scan supplier practices, incomplete training data or biased benchmarks may under-detect real labour issues or unfairly flag Supplier X. Trustworthy AI therefore requires attention to validity, reliability, explainability and bias management (NIST, 2023). This becomes harder where a vendor refuses to disclose training datasets, model logic or validation documentation. In that situation, KPMG should request transparency documentation, perform independent testing on sample outputs, involve ESG and data specialists, restrict reliance on opaque results, and document any unresolved limitation. These actions also reflect AI principles of transparency, human oversight and accountability (OECD, 2024). Overall, future auditor value depends on combining technological literacy with ESG judgement, systems thinking and ethical responsibility.</w:t>
      </w:r>
    </w:p>
    <w:p w14:paraId="36D0C65F" w14:textId="77777777" w:rsidR="00E84974" w:rsidRPr="00E84974" w:rsidRDefault="00E84974" w:rsidP="00E84974">
      <w:pPr>
        <w:spacing w:line="360" w:lineRule="auto"/>
        <w:jc w:val="both"/>
        <w:rPr>
          <w:rFonts w:ascii="Times New Roman" w:hAnsi="Times New Roman" w:cs="Times New Roman"/>
          <w:sz w:val="24"/>
        </w:rPr>
      </w:pPr>
    </w:p>
    <w:p w14:paraId="4D0148D4" w14:textId="5A7C21CA" w:rsidR="006C61DC" w:rsidRDefault="00E84974" w:rsidP="00E84974">
      <w:pPr>
        <w:spacing w:line="360" w:lineRule="auto"/>
        <w:jc w:val="both"/>
        <w:rPr>
          <w:rFonts w:ascii="Times New Roman" w:hAnsi="Times New Roman" w:cs="Times New Roman"/>
          <w:sz w:val="24"/>
        </w:rPr>
      </w:pPr>
      <w:r w:rsidRPr="00E84974">
        <w:rPr>
          <w:rFonts w:ascii="Times New Roman" w:hAnsi="Times New Roman" w:cs="Times New Roman" w:hint="eastAsia"/>
          <w:sz w:val="24"/>
        </w:rPr>
        <w:t>Taken together, Section 2 shows that AI and blockchain can improve GTS</w:t>
      </w:r>
      <w:r w:rsidR="00AF0505">
        <w:rPr>
          <w:rFonts w:ascii="Times New Roman" w:hAnsi="Times New Roman" w:cs="Times New Roman"/>
          <w:sz w:val="24"/>
        </w:rPr>
        <w:t>’</w:t>
      </w:r>
      <w:r w:rsidRPr="00E84974">
        <w:rPr>
          <w:rFonts w:ascii="Times New Roman" w:hAnsi="Times New Roman" w:cs="Times New Roman" w:hint="eastAsia"/>
          <w:sz w:val="24"/>
        </w:rPr>
        <w:t>s ESG assurance only when supported by validation, source-data controls and human oversight. AI should be used to target risks and enhance evidence coverage, while blockchain can strengthen traceability. However, both technologies require skilled auditors who can challenge outputs, manage ethical risks and preserve professional judgement.</w:t>
      </w:r>
    </w:p>
    <w:p w14:paraId="3A2E8F29" w14:textId="77777777" w:rsidR="006C61DC" w:rsidRDefault="006C61DC" w:rsidP="003B7A81">
      <w:pPr>
        <w:spacing w:line="360" w:lineRule="auto"/>
        <w:jc w:val="both"/>
        <w:rPr>
          <w:rFonts w:ascii="Times New Roman" w:hAnsi="Times New Roman" w:cs="Times New Roman"/>
          <w:sz w:val="24"/>
        </w:rPr>
      </w:pPr>
    </w:p>
    <w:p w14:paraId="767E3D37" w14:textId="77777777" w:rsidR="006C61DC" w:rsidRPr="00311959" w:rsidRDefault="006C61DC" w:rsidP="003B7A81">
      <w:pPr>
        <w:spacing w:line="360" w:lineRule="auto"/>
        <w:jc w:val="both"/>
        <w:rPr>
          <w:rFonts w:ascii="Times New Roman" w:hAnsi="Times New Roman" w:cs="Times New Roman"/>
          <w:sz w:val="24"/>
        </w:rPr>
      </w:pPr>
    </w:p>
    <w:p w14:paraId="1A778EAA" w14:textId="00BE273E" w:rsidR="008314C9" w:rsidRPr="00311959" w:rsidRDefault="008314C9" w:rsidP="00AD3B15">
      <w:pPr>
        <w:pStyle w:val="31"/>
        <w:spacing w:line="360" w:lineRule="auto"/>
        <w:jc w:val="both"/>
      </w:pPr>
      <w:bookmarkStart w:id="10" w:name="_Toc229797767"/>
      <w:r w:rsidRPr="00311959">
        <w:lastRenderedPageBreak/>
        <w:t>Conclusion</w:t>
      </w:r>
      <w:bookmarkEnd w:id="10"/>
    </w:p>
    <w:p w14:paraId="301F75C7" w14:textId="767F64BE" w:rsidR="00AF0505" w:rsidRPr="00AF0505" w:rsidRDefault="00AF0505" w:rsidP="00AF0505">
      <w:pPr>
        <w:spacing w:line="360" w:lineRule="auto"/>
        <w:jc w:val="both"/>
        <w:rPr>
          <w:rFonts w:ascii="Times New Roman" w:hAnsi="Times New Roman" w:cs="Times New Roman"/>
          <w:sz w:val="24"/>
        </w:rPr>
      </w:pPr>
      <w:r w:rsidRPr="00AF0505">
        <w:rPr>
          <w:rFonts w:ascii="Times New Roman" w:hAnsi="Times New Roman" w:cs="Times New Roman" w:hint="eastAsia"/>
          <w:sz w:val="24"/>
        </w:rPr>
        <w:t>This report has assessed the approach KPMG should take when conducting GTS</w:t>
      </w:r>
      <w:r>
        <w:rPr>
          <w:rFonts w:ascii="Times New Roman" w:hAnsi="Times New Roman" w:cs="Times New Roman"/>
          <w:sz w:val="24"/>
        </w:rPr>
        <w:t>’</w:t>
      </w:r>
      <w:r w:rsidRPr="00AF0505">
        <w:rPr>
          <w:rFonts w:ascii="Times New Roman" w:hAnsi="Times New Roman" w:cs="Times New Roman" w:hint="eastAsia"/>
          <w:sz w:val="24"/>
        </w:rPr>
        <w:t>s financial audit and concurrent limited assurance engagement over selected ESG indicators. The central conclusion is that ESG assurance should not be treated as a simple extension of the financial audit. While limited assurance can enhance credibility over selected ESG indicators, GTS</w:t>
      </w:r>
      <w:r>
        <w:rPr>
          <w:rFonts w:ascii="Times New Roman" w:hAnsi="Times New Roman" w:cs="Times New Roman"/>
          <w:sz w:val="24"/>
        </w:rPr>
        <w:t>’</w:t>
      </w:r>
      <w:r w:rsidRPr="00AF0505">
        <w:rPr>
          <w:rFonts w:ascii="Times New Roman" w:hAnsi="Times New Roman" w:cs="Times New Roman" w:hint="eastAsia"/>
          <w:sz w:val="24"/>
        </w:rPr>
        <w:t>s weak ESG data governance, recycled-content allegation, Supplier X concerns, carbon-estimation model and stakeholder-sensitive materiality create assurance risks that require targeted scepticism, clear boundaries and documented evidence work.</w:t>
      </w:r>
    </w:p>
    <w:p w14:paraId="41F62364" w14:textId="58417F28" w:rsidR="00AF0505" w:rsidRPr="00AF0505" w:rsidRDefault="001073CD" w:rsidP="00AF0505">
      <w:pPr>
        <w:spacing w:line="360" w:lineRule="auto"/>
        <w:jc w:val="both"/>
        <w:rPr>
          <w:rFonts w:ascii="Times New Roman" w:hAnsi="Times New Roman" w:cs="Times New Roman"/>
          <w:sz w:val="24"/>
        </w:rPr>
      </w:pPr>
      <w:r w:rsidRPr="001073CD">
        <w:rPr>
          <w:rFonts w:ascii="Times New Roman" w:hAnsi="Times New Roman" w:cs="Times New Roman"/>
          <w:sz w:val="24"/>
        </w:rPr>
        <w:t>There are, however, some caveats to this analysis. The AI and blockchain applications discussed in this report are proposed for GTS and may not yet have been demonstrated at scale in limited assurance engagements</w:t>
      </w:r>
      <w:r w:rsidR="008120A9" w:rsidRPr="008120A9">
        <w:rPr>
          <w:rFonts w:ascii="Times New Roman" w:hAnsi="Times New Roman" w:cs="Times New Roman"/>
          <w:sz w:val="24"/>
        </w:rPr>
        <w:t>.</w:t>
      </w:r>
      <w:r w:rsidR="00AF0505" w:rsidRPr="00AF0505">
        <w:rPr>
          <w:rFonts w:ascii="Times New Roman" w:hAnsi="Times New Roman" w:cs="Times New Roman" w:hint="eastAsia"/>
          <w:sz w:val="24"/>
        </w:rPr>
        <w:t xml:space="preserve"> Procedures and reporting expectations may also evolve as future sustainability assurance requirements, such as the International Standard on Sustainability Assurance (ISSA) 5000, become more established (IAASB, 2024).</w:t>
      </w:r>
    </w:p>
    <w:p w14:paraId="1AB893D7" w14:textId="77777777" w:rsidR="00AF0505" w:rsidRPr="00AF0505" w:rsidRDefault="00AF0505" w:rsidP="00AF0505">
      <w:pPr>
        <w:spacing w:line="360" w:lineRule="auto"/>
        <w:jc w:val="both"/>
        <w:rPr>
          <w:rFonts w:ascii="Times New Roman" w:hAnsi="Times New Roman" w:cs="Times New Roman"/>
          <w:sz w:val="24"/>
        </w:rPr>
      </w:pPr>
      <w:r w:rsidRPr="00AF0505">
        <w:rPr>
          <w:rFonts w:ascii="Times New Roman" w:hAnsi="Times New Roman" w:cs="Times New Roman" w:hint="eastAsia"/>
          <w:sz w:val="24"/>
        </w:rPr>
        <w:t>Within these limitations, the priority recommendations are:</w:t>
      </w:r>
    </w:p>
    <w:p w14:paraId="360C50C9" w14:textId="77777777" w:rsidR="00AF0505" w:rsidRPr="00AF0505" w:rsidRDefault="00AF0505" w:rsidP="00AF0505">
      <w:pPr>
        <w:pStyle w:val="a9"/>
        <w:numPr>
          <w:ilvl w:val="0"/>
          <w:numId w:val="7"/>
        </w:numPr>
        <w:spacing w:line="360" w:lineRule="auto"/>
        <w:jc w:val="both"/>
        <w:rPr>
          <w:rFonts w:ascii="Times New Roman" w:hAnsi="Times New Roman" w:cs="Times New Roman"/>
          <w:sz w:val="24"/>
        </w:rPr>
      </w:pPr>
      <w:r w:rsidRPr="00AF0505">
        <w:rPr>
          <w:rFonts w:ascii="Times New Roman" w:hAnsi="Times New Roman" w:cs="Times New Roman" w:hint="eastAsia"/>
          <w:b/>
          <w:bCs/>
          <w:sz w:val="24"/>
        </w:rPr>
        <w:t xml:space="preserve">KPMG assurance work: </w:t>
      </w:r>
      <w:r w:rsidRPr="00AF0505">
        <w:rPr>
          <w:rFonts w:ascii="Times New Roman" w:hAnsi="Times New Roman" w:cs="Times New Roman" w:hint="eastAsia"/>
          <w:sz w:val="24"/>
        </w:rPr>
        <w:t xml:space="preserve">explain the assurance scope, manage the expectation gap and conduct targeted follow-up on recycled content, Supplier X and carbon-model assumptions. </w:t>
      </w:r>
    </w:p>
    <w:p w14:paraId="1183F2E8" w14:textId="77777777" w:rsidR="00AF0505" w:rsidRPr="00AF0505" w:rsidRDefault="00AF0505" w:rsidP="00AF0505">
      <w:pPr>
        <w:pStyle w:val="a9"/>
        <w:numPr>
          <w:ilvl w:val="0"/>
          <w:numId w:val="7"/>
        </w:numPr>
        <w:spacing w:line="360" w:lineRule="auto"/>
        <w:jc w:val="both"/>
        <w:rPr>
          <w:rFonts w:ascii="Times New Roman" w:hAnsi="Times New Roman" w:cs="Times New Roman"/>
          <w:sz w:val="24"/>
        </w:rPr>
      </w:pPr>
      <w:r w:rsidRPr="00AF0505">
        <w:rPr>
          <w:rFonts w:ascii="Times New Roman" w:hAnsi="Times New Roman" w:cs="Times New Roman" w:hint="eastAsia"/>
          <w:b/>
          <w:bCs/>
          <w:sz w:val="24"/>
        </w:rPr>
        <w:t>GTS governance:</w:t>
      </w:r>
      <w:r w:rsidRPr="00AF0505">
        <w:rPr>
          <w:rFonts w:ascii="Times New Roman" w:hAnsi="Times New Roman" w:cs="Times New Roman" w:hint="eastAsia"/>
          <w:sz w:val="24"/>
        </w:rPr>
        <w:t xml:space="preserve"> involve finance and internal audit in ESG data collection, formalise recycled-content and emissions methodologies, and enhance supplier validation controls. </w:t>
      </w:r>
    </w:p>
    <w:p w14:paraId="0E0A777D" w14:textId="77777777" w:rsidR="00AF0505" w:rsidRPr="00AF0505" w:rsidRDefault="00AF0505" w:rsidP="00AF0505">
      <w:pPr>
        <w:pStyle w:val="a9"/>
        <w:numPr>
          <w:ilvl w:val="0"/>
          <w:numId w:val="7"/>
        </w:numPr>
        <w:spacing w:line="360" w:lineRule="auto"/>
        <w:jc w:val="both"/>
        <w:rPr>
          <w:rFonts w:ascii="Times New Roman" w:hAnsi="Times New Roman" w:cs="Times New Roman"/>
          <w:sz w:val="24"/>
        </w:rPr>
      </w:pPr>
      <w:r w:rsidRPr="00AF0505">
        <w:rPr>
          <w:rFonts w:ascii="Times New Roman" w:hAnsi="Times New Roman" w:cs="Times New Roman" w:hint="eastAsia"/>
          <w:b/>
          <w:bCs/>
          <w:sz w:val="24"/>
        </w:rPr>
        <w:t>Technology governance:</w:t>
      </w:r>
      <w:r w:rsidRPr="00AF0505">
        <w:rPr>
          <w:rFonts w:ascii="Times New Roman" w:hAnsi="Times New Roman" w:cs="Times New Roman" w:hint="eastAsia"/>
          <w:sz w:val="24"/>
        </w:rPr>
        <w:t xml:space="preserve"> use AI and blockchain only where outputs are supported by source-data controls, expert review, validation and human oversight. </w:t>
      </w:r>
    </w:p>
    <w:p w14:paraId="4296BBA5" w14:textId="77777777" w:rsidR="00AF0505" w:rsidRPr="00AF0505" w:rsidRDefault="00AF0505" w:rsidP="00AF0505">
      <w:pPr>
        <w:spacing w:line="360" w:lineRule="auto"/>
        <w:jc w:val="both"/>
        <w:rPr>
          <w:rFonts w:ascii="Times New Roman" w:hAnsi="Times New Roman" w:cs="Times New Roman"/>
          <w:sz w:val="24"/>
        </w:rPr>
      </w:pPr>
      <w:r w:rsidRPr="00AF0505">
        <w:rPr>
          <w:rFonts w:ascii="Times New Roman" w:hAnsi="Times New Roman" w:cs="Times New Roman" w:hint="eastAsia"/>
          <w:sz w:val="24"/>
        </w:rPr>
        <w:t>Overall, assurance quality will depend on combining technology-enabled evidence with sceptical judgement and clear accountability.</w:t>
      </w:r>
    </w:p>
    <w:p w14:paraId="61A195B0" w14:textId="77777777" w:rsidR="008314C9" w:rsidRPr="00AF0505" w:rsidRDefault="008314C9" w:rsidP="00AD3B15">
      <w:pPr>
        <w:spacing w:line="360" w:lineRule="auto"/>
        <w:jc w:val="both"/>
        <w:rPr>
          <w:rFonts w:ascii="Times New Roman" w:hAnsi="Times New Roman" w:cs="Times New Roman"/>
          <w:sz w:val="24"/>
        </w:rPr>
      </w:pPr>
    </w:p>
    <w:p w14:paraId="0217EBA6" w14:textId="77777777" w:rsidR="005D079A" w:rsidRPr="00311959" w:rsidRDefault="005D079A" w:rsidP="00AD3B15">
      <w:pPr>
        <w:spacing w:line="360" w:lineRule="auto"/>
        <w:jc w:val="both"/>
        <w:rPr>
          <w:rFonts w:ascii="Times New Roman" w:hAnsi="Times New Roman" w:cs="Times New Roman"/>
          <w:sz w:val="24"/>
        </w:rPr>
      </w:pPr>
    </w:p>
    <w:p w14:paraId="2CCA4144" w14:textId="77777777" w:rsidR="005D079A" w:rsidRPr="00311959" w:rsidRDefault="005D079A" w:rsidP="00AD3B15">
      <w:pPr>
        <w:spacing w:line="360" w:lineRule="auto"/>
        <w:jc w:val="both"/>
        <w:rPr>
          <w:rFonts w:ascii="Times New Roman" w:hAnsi="Times New Roman" w:cs="Times New Roman"/>
          <w:sz w:val="24"/>
        </w:rPr>
      </w:pPr>
    </w:p>
    <w:p w14:paraId="1805F5B5" w14:textId="77777777" w:rsidR="005D079A" w:rsidRPr="00311959" w:rsidRDefault="005D079A" w:rsidP="00AD3B15">
      <w:pPr>
        <w:spacing w:line="360" w:lineRule="auto"/>
        <w:jc w:val="both"/>
        <w:rPr>
          <w:rFonts w:ascii="Times New Roman" w:hAnsi="Times New Roman" w:cs="Times New Roman"/>
          <w:sz w:val="24"/>
        </w:rPr>
      </w:pPr>
    </w:p>
    <w:p w14:paraId="6BDF90E7" w14:textId="35774436" w:rsidR="00B0551C" w:rsidRPr="00311959" w:rsidRDefault="008314C9" w:rsidP="00AD3B15">
      <w:pPr>
        <w:pStyle w:val="31"/>
        <w:spacing w:line="360" w:lineRule="auto"/>
      </w:pPr>
      <w:bookmarkStart w:id="11" w:name="_Toc229797768"/>
      <w:r w:rsidRPr="00311959">
        <w:lastRenderedPageBreak/>
        <w:t>Reference</w:t>
      </w:r>
      <w:bookmarkEnd w:id="11"/>
      <w:r w:rsidR="00DA1D7F" w:rsidRPr="00311959">
        <w:t>s</w:t>
      </w:r>
    </w:p>
    <w:p w14:paraId="67D3B2BE"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ACCA (2019) </w:t>
      </w:r>
      <w:r w:rsidRPr="00C20AB9">
        <w:rPr>
          <w:rFonts w:ascii="Times New Roman" w:hAnsi="Times New Roman" w:cs="Times New Roman"/>
          <w:i/>
          <w:iCs/>
          <w:sz w:val="24"/>
          <w:lang w:val="en-US"/>
        </w:rPr>
        <w:t>Machine learning: more science than fiction</w:t>
      </w:r>
      <w:r w:rsidRPr="00C20AB9">
        <w:rPr>
          <w:rFonts w:ascii="Times New Roman" w:hAnsi="Times New Roman" w:cs="Times New Roman"/>
          <w:sz w:val="24"/>
          <w:lang w:val="en-US"/>
        </w:rPr>
        <w:t xml:space="preserve">. London: Association of Chartered Certified Accountants. Available at: </w:t>
      </w:r>
      <w:hyperlink r:id="rId8" w:tgtFrame="_new" w:history="1">
        <w:r w:rsidRPr="00C20AB9">
          <w:rPr>
            <w:rStyle w:val="af3"/>
            <w:rFonts w:ascii="Times New Roman" w:hAnsi="Times New Roman" w:cs="Times New Roman"/>
            <w:sz w:val="24"/>
            <w:lang w:val="en-US"/>
          </w:rPr>
          <w:t>https://www.accaglobal.com/content/dam/ACCA_Global/professional-insights/machine-learning/pi-machine-learning-report.pdf</w:t>
        </w:r>
      </w:hyperlink>
      <w:r w:rsidRPr="00C20AB9">
        <w:rPr>
          <w:rFonts w:ascii="Times New Roman" w:hAnsi="Times New Roman" w:cs="Times New Roman"/>
          <w:sz w:val="24"/>
          <w:lang w:val="en-US"/>
        </w:rPr>
        <w:t xml:space="preserve"> (Accessed: 31 May 2026).</w:t>
      </w:r>
    </w:p>
    <w:p w14:paraId="3F7D2147"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ACCA (2023) </w:t>
      </w:r>
      <w:r w:rsidRPr="00C20AB9">
        <w:rPr>
          <w:rFonts w:ascii="Times New Roman" w:hAnsi="Times New Roman" w:cs="Times New Roman"/>
          <w:i/>
          <w:iCs/>
          <w:sz w:val="24"/>
          <w:lang w:val="en-US"/>
        </w:rPr>
        <w:t>Sustainability assurance—rising to the challenge</w:t>
      </w:r>
      <w:r w:rsidRPr="00C20AB9">
        <w:rPr>
          <w:rFonts w:ascii="Times New Roman" w:hAnsi="Times New Roman" w:cs="Times New Roman"/>
          <w:sz w:val="24"/>
          <w:lang w:val="en-US"/>
        </w:rPr>
        <w:t xml:space="preserve">. London: Association of Chartered Certified Accountants. Available at: </w:t>
      </w:r>
      <w:hyperlink r:id="rId9" w:tgtFrame="_new" w:history="1">
        <w:r w:rsidRPr="00C20AB9">
          <w:rPr>
            <w:rStyle w:val="af3"/>
            <w:rFonts w:ascii="Times New Roman" w:hAnsi="Times New Roman" w:cs="Times New Roman"/>
            <w:sz w:val="24"/>
            <w:lang w:val="en-US"/>
          </w:rPr>
          <w:t>https://www.accaglobal.com/content/dam/ACCA_Global/professional-insights/sustainability-insurance/PI-SUSTAINABILITY-ASSURANCE%20v5.pdf</w:t>
        </w:r>
      </w:hyperlink>
      <w:r w:rsidRPr="00C20AB9">
        <w:rPr>
          <w:rFonts w:ascii="Times New Roman" w:hAnsi="Times New Roman" w:cs="Times New Roman"/>
          <w:sz w:val="24"/>
          <w:lang w:val="en-US"/>
        </w:rPr>
        <w:t xml:space="preserve"> (Accessed: 31 May 2026).</w:t>
      </w:r>
    </w:p>
    <w:p w14:paraId="3E727D1B"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CPA Canada (2018) </w:t>
      </w:r>
      <w:r w:rsidRPr="00C20AB9">
        <w:rPr>
          <w:rFonts w:ascii="Times New Roman" w:hAnsi="Times New Roman" w:cs="Times New Roman"/>
          <w:i/>
          <w:iCs/>
          <w:sz w:val="24"/>
          <w:lang w:val="en-US"/>
        </w:rPr>
        <w:t>Blockchain Technology and Its Potential Impact on the Audit and Assurance Profession</w:t>
      </w:r>
      <w:r w:rsidRPr="00C20AB9">
        <w:rPr>
          <w:rFonts w:ascii="Times New Roman" w:hAnsi="Times New Roman" w:cs="Times New Roman"/>
          <w:sz w:val="24"/>
          <w:lang w:val="en-US"/>
        </w:rPr>
        <w:t xml:space="preserve">. Toronto: Chartered Professional Accountants of Canada. Available at: </w:t>
      </w:r>
      <w:hyperlink r:id="rId10" w:tgtFrame="_new" w:history="1">
        <w:r w:rsidRPr="00C20AB9">
          <w:rPr>
            <w:rStyle w:val="af3"/>
            <w:rFonts w:ascii="Times New Roman" w:hAnsi="Times New Roman" w:cs="Times New Roman"/>
            <w:sz w:val="24"/>
            <w:lang w:val="en-US"/>
          </w:rPr>
          <w:t>https://www.cpacanada.ca/-/media/site/business-and-accounting-resources/docs/01529-rg-blockchain-technology-potential-impact-audit-assurance-profession-january-2018</w:t>
        </w:r>
      </w:hyperlink>
      <w:r w:rsidRPr="00C20AB9">
        <w:rPr>
          <w:rFonts w:ascii="Times New Roman" w:hAnsi="Times New Roman" w:cs="Times New Roman"/>
          <w:sz w:val="24"/>
          <w:lang w:val="en-US"/>
        </w:rPr>
        <w:t xml:space="preserve"> (Accessed: 31 May 2026).</w:t>
      </w:r>
    </w:p>
    <w:p w14:paraId="49364641"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EFRAG (2023) </w:t>
      </w:r>
      <w:r w:rsidRPr="00C20AB9">
        <w:rPr>
          <w:rFonts w:ascii="Times New Roman" w:hAnsi="Times New Roman" w:cs="Times New Roman"/>
          <w:i/>
          <w:iCs/>
          <w:sz w:val="24"/>
          <w:lang w:val="en-US"/>
        </w:rPr>
        <w:t>ESRS 1: General Requirements</w:t>
      </w:r>
      <w:r w:rsidRPr="00C20AB9">
        <w:rPr>
          <w:rFonts w:ascii="Times New Roman" w:hAnsi="Times New Roman" w:cs="Times New Roman"/>
          <w:sz w:val="24"/>
          <w:lang w:val="en-US"/>
        </w:rPr>
        <w:t xml:space="preserve">. Brussels: EFRAG. Available at: </w:t>
      </w:r>
      <w:hyperlink r:id="rId11" w:tgtFrame="_new" w:history="1">
        <w:r w:rsidRPr="00C20AB9">
          <w:rPr>
            <w:rStyle w:val="af3"/>
            <w:rFonts w:ascii="Times New Roman" w:hAnsi="Times New Roman" w:cs="Times New Roman"/>
            <w:sz w:val="24"/>
            <w:lang w:val="en-US"/>
          </w:rPr>
          <w:t>https://www.efrag.org/sites/default/files/media/document/2024-08/ESRS%201%20Delegated-act-2023-5303-annex-1_en.pdf</w:t>
        </w:r>
      </w:hyperlink>
      <w:r w:rsidRPr="00C20AB9">
        <w:rPr>
          <w:rFonts w:ascii="Times New Roman" w:hAnsi="Times New Roman" w:cs="Times New Roman"/>
          <w:sz w:val="24"/>
          <w:lang w:val="en-US"/>
        </w:rPr>
        <w:t xml:space="preserve"> (Accessed: 31 May 2026).</w:t>
      </w:r>
    </w:p>
    <w:p w14:paraId="42321676" w14:textId="538E8079"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Free, C., Jones, S. and Tremblay, M.-S. (2024) ‘Greenwashing and sustainability assurance: a review and call for future research</w:t>
      </w:r>
      <w:r w:rsidR="00AF0505">
        <w:rPr>
          <w:rFonts w:ascii="Times New Roman" w:hAnsi="Times New Roman" w:cs="Times New Roman"/>
          <w:sz w:val="24"/>
          <w:lang w:val="en-US"/>
        </w:rPr>
        <w:t>’</w:t>
      </w:r>
      <w:r w:rsidRPr="00C20AB9">
        <w:rPr>
          <w:rFonts w:ascii="Times New Roman" w:hAnsi="Times New Roman" w:cs="Times New Roman"/>
          <w:sz w:val="24"/>
          <w:lang w:val="en-US"/>
        </w:rPr>
        <w:t xml:space="preserve">, </w:t>
      </w:r>
      <w:r w:rsidRPr="00C20AB9">
        <w:rPr>
          <w:rFonts w:ascii="Times New Roman" w:hAnsi="Times New Roman" w:cs="Times New Roman"/>
          <w:i/>
          <w:iCs/>
          <w:sz w:val="24"/>
          <w:lang w:val="en-US"/>
        </w:rPr>
        <w:t>Journal of Accounting Literature</w:t>
      </w:r>
      <w:r w:rsidRPr="00C20AB9">
        <w:rPr>
          <w:rFonts w:ascii="Times New Roman" w:hAnsi="Times New Roman" w:cs="Times New Roman"/>
          <w:sz w:val="24"/>
          <w:lang w:val="en-US"/>
        </w:rPr>
        <w:t xml:space="preserve">. </w:t>
      </w:r>
      <w:proofErr w:type="spellStart"/>
      <w:r w:rsidRPr="00C20AB9">
        <w:rPr>
          <w:rFonts w:ascii="Times New Roman" w:hAnsi="Times New Roman" w:cs="Times New Roman"/>
          <w:sz w:val="24"/>
          <w:lang w:val="en-US"/>
        </w:rPr>
        <w:t>doi</w:t>
      </w:r>
      <w:proofErr w:type="spellEnd"/>
      <w:r w:rsidRPr="00C20AB9">
        <w:rPr>
          <w:rFonts w:ascii="Times New Roman" w:hAnsi="Times New Roman" w:cs="Times New Roman"/>
          <w:sz w:val="24"/>
          <w:lang w:val="en-US"/>
        </w:rPr>
        <w:t>: 10.1108/JAL-11-2023-0201</w:t>
      </w:r>
    </w:p>
    <w:p w14:paraId="16948775"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Global Sustainability Standards Board (2016a) </w:t>
      </w:r>
      <w:r w:rsidRPr="00C20AB9">
        <w:rPr>
          <w:rFonts w:ascii="Times New Roman" w:hAnsi="Times New Roman" w:cs="Times New Roman"/>
          <w:i/>
          <w:iCs/>
          <w:sz w:val="24"/>
          <w:lang w:val="en-US"/>
        </w:rPr>
        <w:t>GRI 301: Materials 2016</w:t>
      </w:r>
      <w:r w:rsidRPr="00C20AB9">
        <w:rPr>
          <w:rFonts w:ascii="Times New Roman" w:hAnsi="Times New Roman" w:cs="Times New Roman"/>
          <w:sz w:val="24"/>
          <w:lang w:val="en-US"/>
        </w:rPr>
        <w:t xml:space="preserve">. Amsterdam: Global Sustainability Standards Board. Available at: </w:t>
      </w:r>
      <w:hyperlink r:id="rId12" w:tgtFrame="_new" w:history="1">
        <w:r w:rsidRPr="00C20AB9">
          <w:rPr>
            <w:rStyle w:val="af3"/>
            <w:rFonts w:ascii="Times New Roman" w:hAnsi="Times New Roman" w:cs="Times New Roman"/>
            <w:sz w:val="24"/>
            <w:lang w:val="en-US"/>
          </w:rPr>
          <w:t>https://www.globalreporting.org/publications/documents/english/gri-301-materials-2016/</w:t>
        </w:r>
      </w:hyperlink>
      <w:r w:rsidRPr="00C20AB9">
        <w:rPr>
          <w:rFonts w:ascii="Times New Roman" w:hAnsi="Times New Roman" w:cs="Times New Roman"/>
          <w:sz w:val="24"/>
          <w:lang w:val="en-US"/>
        </w:rPr>
        <w:t xml:space="preserve"> (Accessed: 31 May 2026).</w:t>
      </w:r>
    </w:p>
    <w:p w14:paraId="5B1D5E22"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Global Sustainability Standards Board (2016b) </w:t>
      </w:r>
      <w:r w:rsidRPr="00C20AB9">
        <w:rPr>
          <w:rFonts w:ascii="Times New Roman" w:hAnsi="Times New Roman" w:cs="Times New Roman"/>
          <w:i/>
          <w:iCs/>
          <w:sz w:val="24"/>
          <w:lang w:val="en-US"/>
        </w:rPr>
        <w:t>GRI 405: Diversity and Equal Opportunity 2016</w:t>
      </w:r>
      <w:r w:rsidRPr="00C20AB9">
        <w:rPr>
          <w:rFonts w:ascii="Times New Roman" w:hAnsi="Times New Roman" w:cs="Times New Roman"/>
          <w:sz w:val="24"/>
          <w:lang w:val="en-US"/>
        </w:rPr>
        <w:t xml:space="preserve">. Amsterdam: Global Sustainability Standards Board. Available at: </w:t>
      </w:r>
      <w:hyperlink r:id="rId13" w:tgtFrame="_new" w:history="1">
        <w:r w:rsidRPr="00C20AB9">
          <w:rPr>
            <w:rStyle w:val="af3"/>
            <w:rFonts w:ascii="Times New Roman" w:hAnsi="Times New Roman" w:cs="Times New Roman"/>
            <w:sz w:val="24"/>
            <w:lang w:val="en-US"/>
          </w:rPr>
          <w:t>https://www.globalreporting.org/publications/documents/english/gri-405-diversity-and-equal-opportunity-2016/</w:t>
        </w:r>
      </w:hyperlink>
      <w:r w:rsidRPr="00C20AB9">
        <w:rPr>
          <w:rFonts w:ascii="Times New Roman" w:hAnsi="Times New Roman" w:cs="Times New Roman"/>
          <w:sz w:val="24"/>
          <w:lang w:val="en-US"/>
        </w:rPr>
        <w:t xml:space="preserve"> (Accessed: 31 May 2026).</w:t>
      </w:r>
    </w:p>
    <w:p w14:paraId="10B114E6"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Global Sustainability Standards Board (2021) </w:t>
      </w:r>
      <w:r w:rsidRPr="00C20AB9">
        <w:rPr>
          <w:rFonts w:ascii="Times New Roman" w:hAnsi="Times New Roman" w:cs="Times New Roman"/>
          <w:i/>
          <w:iCs/>
          <w:sz w:val="24"/>
          <w:lang w:val="en-US"/>
        </w:rPr>
        <w:t>GRI 3: Material Topics 2021</w:t>
      </w:r>
      <w:r w:rsidRPr="00C20AB9">
        <w:rPr>
          <w:rFonts w:ascii="Times New Roman" w:hAnsi="Times New Roman" w:cs="Times New Roman"/>
          <w:sz w:val="24"/>
          <w:lang w:val="en-US"/>
        </w:rPr>
        <w:t xml:space="preserve">. Amsterdam: Global Sustainability Standards Board. Available at: </w:t>
      </w:r>
      <w:hyperlink r:id="rId14" w:tgtFrame="_new" w:history="1">
        <w:r w:rsidRPr="00C20AB9">
          <w:rPr>
            <w:rStyle w:val="af3"/>
            <w:rFonts w:ascii="Times New Roman" w:hAnsi="Times New Roman" w:cs="Times New Roman"/>
            <w:sz w:val="24"/>
            <w:lang w:val="en-US"/>
          </w:rPr>
          <w:t>https://www.globalreporting.org/pdf.ashx?id=12453</w:t>
        </w:r>
      </w:hyperlink>
      <w:r w:rsidRPr="00C20AB9">
        <w:rPr>
          <w:rFonts w:ascii="Times New Roman" w:hAnsi="Times New Roman" w:cs="Times New Roman"/>
          <w:sz w:val="24"/>
          <w:lang w:val="en-US"/>
        </w:rPr>
        <w:t xml:space="preserve"> (Accessed: 31 May 2026).</w:t>
      </w:r>
    </w:p>
    <w:p w14:paraId="747B6729"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Greenhouse Gas Protocol (2011) </w:t>
      </w:r>
      <w:r w:rsidRPr="00C20AB9">
        <w:rPr>
          <w:rFonts w:ascii="Times New Roman" w:hAnsi="Times New Roman" w:cs="Times New Roman"/>
          <w:i/>
          <w:iCs/>
          <w:sz w:val="24"/>
          <w:lang w:val="en-US"/>
        </w:rPr>
        <w:t>Corporate Value Chain (Scope 3) Accounting and Reporting Standard</w:t>
      </w:r>
      <w:r w:rsidRPr="00C20AB9">
        <w:rPr>
          <w:rFonts w:ascii="Times New Roman" w:hAnsi="Times New Roman" w:cs="Times New Roman"/>
          <w:sz w:val="24"/>
          <w:lang w:val="en-US"/>
        </w:rPr>
        <w:t xml:space="preserve">. Available at: </w:t>
      </w:r>
      <w:hyperlink r:id="rId15" w:tgtFrame="_new" w:history="1">
        <w:r w:rsidRPr="00C20AB9">
          <w:rPr>
            <w:rStyle w:val="af3"/>
            <w:rFonts w:ascii="Times New Roman" w:hAnsi="Times New Roman" w:cs="Times New Roman"/>
            <w:sz w:val="24"/>
            <w:lang w:val="en-US"/>
          </w:rPr>
          <w:t>https://ghgprotocol.org/corporate-value-chain-scope-3-standard</w:t>
        </w:r>
      </w:hyperlink>
      <w:r w:rsidRPr="00C20AB9">
        <w:rPr>
          <w:rFonts w:ascii="Times New Roman" w:hAnsi="Times New Roman" w:cs="Times New Roman"/>
          <w:sz w:val="24"/>
          <w:lang w:val="en-US"/>
        </w:rPr>
        <w:t xml:space="preserve"> (Accessed: 31 May 2026).</w:t>
      </w:r>
    </w:p>
    <w:p w14:paraId="3D318528"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Greenhouse Gas Protocol (2015) </w:t>
      </w:r>
      <w:r w:rsidRPr="00C20AB9">
        <w:rPr>
          <w:rFonts w:ascii="Times New Roman" w:hAnsi="Times New Roman" w:cs="Times New Roman"/>
          <w:i/>
          <w:iCs/>
          <w:sz w:val="24"/>
          <w:lang w:val="en-US"/>
        </w:rPr>
        <w:t>A Corporate Accounting and Reporting Standard: Revised Edition</w:t>
      </w:r>
      <w:r w:rsidRPr="00C20AB9">
        <w:rPr>
          <w:rFonts w:ascii="Times New Roman" w:hAnsi="Times New Roman" w:cs="Times New Roman"/>
          <w:sz w:val="24"/>
          <w:lang w:val="en-US"/>
        </w:rPr>
        <w:t xml:space="preserve">. Available at: </w:t>
      </w:r>
      <w:hyperlink r:id="rId16" w:tgtFrame="_new" w:history="1">
        <w:r w:rsidRPr="00C20AB9">
          <w:rPr>
            <w:rStyle w:val="af3"/>
            <w:rFonts w:ascii="Times New Roman" w:hAnsi="Times New Roman" w:cs="Times New Roman"/>
            <w:sz w:val="24"/>
            <w:lang w:val="en-US"/>
          </w:rPr>
          <w:t>https://ghgprotocol.org/corporate-standard</w:t>
        </w:r>
      </w:hyperlink>
      <w:r w:rsidRPr="00C20AB9">
        <w:rPr>
          <w:rFonts w:ascii="Times New Roman" w:hAnsi="Times New Roman" w:cs="Times New Roman"/>
          <w:sz w:val="24"/>
          <w:lang w:val="en-US"/>
        </w:rPr>
        <w:t xml:space="preserve"> (Accessed: 31 May 2026).</w:t>
      </w:r>
    </w:p>
    <w:p w14:paraId="2FCE33B6"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ICAEW (2017) </w:t>
      </w:r>
      <w:r w:rsidRPr="00C20AB9">
        <w:rPr>
          <w:rFonts w:ascii="Times New Roman" w:hAnsi="Times New Roman" w:cs="Times New Roman"/>
          <w:i/>
          <w:iCs/>
          <w:sz w:val="24"/>
          <w:lang w:val="en-US"/>
        </w:rPr>
        <w:t>Blockchain and the future of accountancy</w:t>
      </w:r>
      <w:r w:rsidRPr="00C20AB9">
        <w:rPr>
          <w:rFonts w:ascii="Times New Roman" w:hAnsi="Times New Roman" w:cs="Times New Roman"/>
          <w:sz w:val="24"/>
          <w:lang w:val="en-US"/>
        </w:rPr>
        <w:t xml:space="preserve">. London: Institute of Chartered Accountants in England and Wales. Available at: </w:t>
      </w:r>
      <w:hyperlink r:id="rId17" w:tgtFrame="_new" w:history="1">
        <w:r w:rsidRPr="00C20AB9">
          <w:rPr>
            <w:rStyle w:val="af3"/>
            <w:rFonts w:ascii="Times New Roman" w:hAnsi="Times New Roman" w:cs="Times New Roman"/>
            <w:sz w:val="24"/>
            <w:lang w:val="en-US"/>
          </w:rPr>
          <w:t>https://www.icaew.com/-/media/corporate/files/technical/technology/thought-leadership/blockchain-and-the-future-of-accountancy.ashx</w:t>
        </w:r>
      </w:hyperlink>
      <w:r w:rsidRPr="00C20AB9">
        <w:rPr>
          <w:rFonts w:ascii="Times New Roman" w:hAnsi="Times New Roman" w:cs="Times New Roman"/>
          <w:sz w:val="24"/>
          <w:lang w:val="en-US"/>
        </w:rPr>
        <w:t xml:space="preserve"> (Accessed: 31 May 2026).</w:t>
      </w:r>
    </w:p>
    <w:p w14:paraId="14A2A157"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ICAEW (2025) </w:t>
      </w:r>
      <w:r w:rsidRPr="00C20AB9">
        <w:rPr>
          <w:rFonts w:ascii="Times New Roman" w:hAnsi="Times New Roman" w:cs="Times New Roman"/>
          <w:i/>
          <w:iCs/>
          <w:sz w:val="24"/>
          <w:lang w:val="en-US"/>
        </w:rPr>
        <w:t>Data analytics for auditors: five essentials</w:t>
      </w:r>
      <w:r w:rsidRPr="00C20AB9">
        <w:rPr>
          <w:rFonts w:ascii="Times New Roman" w:hAnsi="Times New Roman" w:cs="Times New Roman"/>
          <w:sz w:val="24"/>
          <w:lang w:val="en-US"/>
        </w:rPr>
        <w:t xml:space="preserve">. Available at: </w:t>
      </w:r>
      <w:hyperlink r:id="rId18" w:tgtFrame="_new" w:history="1">
        <w:r w:rsidRPr="00C20AB9">
          <w:rPr>
            <w:rStyle w:val="af3"/>
            <w:rFonts w:ascii="Times New Roman" w:hAnsi="Times New Roman" w:cs="Times New Roman"/>
            <w:sz w:val="24"/>
            <w:lang w:val="en-US"/>
          </w:rPr>
          <w:t>https://www.icaew.com/insights/viewpoints-on-the-news/2025/mar-2025/data-analytics-for-auditors-five-essentials</w:t>
        </w:r>
      </w:hyperlink>
      <w:r w:rsidRPr="00C20AB9">
        <w:rPr>
          <w:rFonts w:ascii="Times New Roman" w:hAnsi="Times New Roman" w:cs="Times New Roman"/>
          <w:sz w:val="24"/>
          <w:lang w:val="en-US"/>
        </w:rPr>
        <w:t xml:space="preserve"> (Accessed: 31 May 2026).</w:t>
      </w:r>
    </w:p>
    <w:p w14:paraId="3E144060"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International Auditing and Assurance Standards Board (2009a) </w:t>
      </w:r>
      <w:r w:rsidRPr="00C20AB9">
        <w:rPr>
          <w:rFonts w:ascii="Times New Roman" w:hAnsi="Times New Roman" w:cs="Times New Roman"/>
          <w:i/>
          <w:iCs/>
          <w:sz w:val="24"/>
          <w:lang w:val="en-US"/>
        </w:rPr>
        <w:t>ISA 200: Overall Objectives of the Independent Auditor and the Conduct of an Audit in Accordance with International Standards on Auditing</w:t>
      </w:r>
      <w:r w:rsidRPr="00C20AB9">
        <w:rPr>
          <w:rFonts w:ascii="Times New Roman" w:hAnsi="Times New Roman" w:cs="Times New Roman"/>
          <w:sz w:val="24"/>
          <w:lang w:val="en-US"/>
        </w:rPr>
        <w:t xml:space="preserve">. New York: International Auditing and Assurance Standards Board. Available at: </w:t>
      </w:r>
      <w:hyperlink r:id="rId19" w:tgtFrame="_new" w:history="1">
        <w:r w:rsidRPr="00C20AB9">
          <w:rPr>
            <w:rStyle w:val="af3"/>
            <w:rFonts w:ascii="Times New Roman" w:hAnsi="Times New Roman" w:cs="Times New Roman"/>
            <w:sz w:val="24"/>
            <w:lang w:val="en-US"/>
          </w:rPr>
          <w:t>https://www.ibr-ire.be/docs/default-source/nl/documents/regelgeving-en-publicaties/rechtsleer/normen-en-aanbevelingen/isa-s/isa-english-version/isa-200_en.pdf</w:t>
        </w:r>
      </w:hyperlink>
      <w:r w:rsidRPr="00C20AB9">
        <w:rPr>
          <w:rFonts w:ascii="Times New Roman" w:hAnsi="Times New Roman" w:cs="Times New Roman"/>
          <w:sz w:val="24"/>
          <w:lang w:val="en-US"/>
        </w:rPr>
        <w:t xml:space="preserve"> (Accessed: 31 May 2026).</w:t>
      </w:r>
    </w:p>
    <w:p w14:paraId="29F67E70"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International Auditing and Assurance Standards Board (2009b) </w:t>
      </w:r>
      <w:r w:rsidRPr="00C20AB9">
        <w:rPr>
          <w:rFonts w:ascii="Times New Roman" w:hAnsi="Times New Roman" w:cs="Times New Roman"/>
          <w:i/>
          <w:iCs/>
          <w:sz w:val="24"/>
          <w:lang w:val="en-US"/>
        </w:rPr>
        <w:t>ISA 500: Audit Evidence</w:t>
      </w:r>
      <w:r w:rsidRPr="00C20AB9">
        <w:rPr>
          <w:rFonts w:ascii="Times New Roman" w:hAnsi="Times New Roman" w:cs="Times New Roman"/>
          <w:sz w:val="24"/>
          <w:lang w:val="en-US"/>
        </w:rPr>
        <w:t xml:space="preserve">. New York: International Auditing and Assurance Standards Board. Available at: </w:t>
      </w:r>
      <w:hyperlink r:id="rId20" w:tgtFrame="_new" w:history="1">
        <w:r w:rsidRPr="00C20AB9">
          <w:rPr>
            <w:rStyle w:val="af3"/>
            <w:rFonts w:ascii="Times New Roman" w:hAnsi="Times New Roman" w:cs="Times New Roman"/>
            <w:sz w:val="24"/>
            <w:lang w:val="en-US"/>
          </w:rPr>
          <w:t>https://www.ibr-ire.be/docs/default-source/nl/documents/regelgeving-en-publicaties/rechtsleer/normen-en-</w:t>
        </w:r>
        <w:r w:rsidRPr="00C20AB9">
          <w:rPr>
            <w:rStyle w:val="af3"/>
            <w:rFonts w:ascii="Times New Roman" w:hAnsi="Times New Roman" w:cs="Times New Roman"/>
            <w:sz w:val="24"/>
            <w:lang w:val="en-US"/>
          </w:rPr>
          <w:lastRenderedPageBreak/>
          <w:t>aanbevelingen/isa-s/isa-english-version/isa-500_en.pdf</w:t>
        </w:r>
      </w:hyperlink>
      <w:r w:rsidRPr="00C20AB9">
        <w:rPr>
          <w:rFonts w:ascii="Times New Roman" w:hAnsi="Times New Roman" w:cs="Times New Roman"/>
          <w:sz w:val="24"/>
          <w:lang w:val="en-US"/>
        </w:rPr>
        <w:t xml:space="preserve"> (Accessed: 31 May 2026).</w:t>
      </w:r>
    </w:p>
    <w:p w14:paraId="705D672D"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International Auditing and Assurance Standards Board (2009c) </w:t>
      </w:r>
      <w:r w:rsidRPr="00C20AB9">
        <w:rPr>
          <w:rFonts w:ascii="Times New Roman" w:hAnsi="Times New Roman" w:cs="Times New Roman"/>
          <w:i/>
          <w:iCs/>
          <w:sz w:val="24"/>
          <w:lang w:val="en-US"/>
        </w:rPr>
        <w:t>ISA 320: Materiality in Planning and Performing an Audit</w:t>
      </w:r>
      <w:r w:rsidRPr="00C20AB9">
        <w:rPr>
          <w:rFonts w:ascii="Times New Roman" w:hAnsi="Times New Roman" w:cs="Times New Roman"/>
          <w:sz w:val="24"/>
          <w:lang w:val="en-US"/>
        </w:rPr>
        <w:t xml:space="preserve">. New York: International Auditing and Assurance Standards Board. Available at: </w:t>
      </w:r>
      <w:hyperlink r:id="rId21" w:tgtFrame="_new" w:history="1">
        <w:r w:rsidRPr="00C20AB9">
          <w:rPr>
            <w:rStyle w:val="af3"/>
            <w:rFonts w:ascii="Times New Roman" w:hAnsi="Times New Roman" w:cs="Times New Roman"/>
            <w:sz w:val="24"/>
            <w:lang w:val="en-US"/>
          </w:rPr>
          <w:t>https://www.ibr-ire.be/docs/default-source/nl/documents/regelgeving-en-publicaties/rechtsleer/normen-en-aanbevelingen/isa-s/isa-english-version/isa-320_en.pdf</w:t>
        </w:r>
      </w:hyperlink>
      <w:r w:rsidRPr="00C20AB9">
        <w:rPr>
          <w:rFonts w:ascii="Times New Roman" w:hAnsi="Times New Roman" w:cs="Times New Roman"/>
          <w:sz w:val="24"/>
          <w:lang w:val="en-US"/>
        </w:rPr>
        <w:t xml:space="preserve"> (Accessed: 31 May 2026).</w:t>
      </w:r>
    </w:p>
    <w:p w14:paraId="4A4C170B"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International Auditing and Assurance Standards Board (2012) </w:t>
      </w:r>
      <w:r w:rsidRPr="00C20AB9">
        <w:rPr>
          <w:rFonts w:ascii="Times New Roman" w:hAnsi="Times New Roman" w:cs="Times New Roman"/>
          <w:i/>
          <w:iCs/>
          <w:sz w:val="24"/>
          <w:lang w:val="en-US"/>
        </w:rPr>
        <w:t>ISAE 3410: Assurance Engagements on Greenhouse Gas Statements</w:t>
      </w:r>
      <w:r w:rsidRPr="00C20AB9">
        <w:rPr>
          <w:rFonts w:ascii="Times New Roman" w:hAnsi="Times New Roman" w:cs="Times New Roman"/>
          <w:sz w:val="24"/>
          <w:lang w:val="en-US"/>
        </w:rPr>
        <w:t xml:space="preserve">. New York: International Auditing and Assurance Standards Board. Available at: </w:t>
      </w:r>
      <w:hyperlink r:id="rId22" w:tgtFrame="_new" w:history="1">
        <w:r w:rsidRPr="00C20AB9">
          <w:rPr>
            <w:rStyle w:val="af3"/>
            <w:rFonts w:ascii="Times New Roman" w:hAnsi="Times New Roman" w:cs="Times New Roman"/>
            <w:sz w:val="24"/>
            <w:lang w:val="en-US"/>
          </w:rPr>
          <w:t>https://www.iaasb.org/system/files/publications/files/B008%202013%20IAASB%20Handbook%20ISAE%203410.pdf</w:t>
        </w:r>
      </w:hyperlink>
      <w:r w:rsidRPr="00C20AB9">
        <w:rPr>
          <w:rFonts w:ascii="Times New Roman" w:hAnsi="Times New Roman" w:cs="Times New Roman"/>
          <w:sz w:val="24"/>
          <w:lang w:val="en-US"/>
        </w:rPr>
        <w:t xml:space="preserve"> (Accessed: 31 May 2026).</w:t>
      </w:r>
    </w:p>
    <w:p w14:paraId="641CD7D6"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International Auditing and Assurance Standards Board (2013) </w:t>
      </w:r>
      <w:r w:rsidRPr="00C20AB9">
        <w:rPr>
          <w:rFonts w:ascii="Times New Roman" w:hAnsi="Times New Roman" w:cs="Times New Roman"/>
          <w:i/>
          <w:iCs/>
          <w:sz w:val="24"/>
          <w:lang w:val="en-US"/>
        </w:rPr>
        <w:t>ISAE 3000 (Revised): Assurance Engagements Other than Audits or Reviews of Historical Financial Information</w:t>
      </w:r>
      <w:r w:rsidRPr="00C20AB9">
        <w:rPr>
          <w:rFonts w:ascii="Times New Roman" w:hAnsi="Times New Roman" w:cs="Times New Roman"/>
          <w:sz w:val="24"/>
          <w:lang w:val="en-US"/>
        </w:rPr>
        <w:t xml:space="preserve">. New York: International Auditing and Assurance Standards Board. Available at: </w:t>
      </w:r>
      <w:hyperlink r:id="rId23" w:tgtFrame="_new" w:history="1">
        <w:r w:rsidRPr="00C20AB9">
          <w:rPr>
            <w:rStyle w:val="af3"/>
            <w:rFonts w:ascii="Times New Roman" w:hAnsi="Times New Roman" w:cs="Times New Roman"/>
            <w:sz w:val="24"/>
            <w:lang w:val="en-US"/>
          </w:rPr>
          <w:t>https://www.ifac.org/system/files/publications/files/ISAE%203000%20Revised%20-%20for%20IAASB.pdf</w:t>
        </w:r>
      </w:hyperlink>
      <w:r w:rsidRPr="00C20AB9">
        <w:rPr>
          <w:rFonts w:ascii="Times New Roman" w:hAnsi="Times New Roman" w:cs="Times New Roman"/>
          <w:sz w:val="24"/>
          <w:lang w:val="en-US"/>
        </w:rPr>
        <w:t xml:space="preserve"> (Accessed: 31 May 2026).</w:t>
      </w:r>
    </w:p>
    <w:p w14:paraId="41911A96"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International Auditing and Assurance Standards Board (2020) </w:t>
      </w:r>
      <w:r w:rsidRPr="00C20AB9">
        <w:rPr>
          <w:rFonts w:ascii="Times New Roman" w:hAnsi="Times New Roman" w:cs="Times New Roman"/>
          <w:i/>
          <w:iCs/>
          <w:sz w:val="24"/>
          <w:lang w:val="en-US"/>
        </w:rPr>
        <w:t>Non-authoritative support materials: Using automated tools and techniques in performing audit procedures</w:t>
      </w:r>
      <w:r w:rsidRPr="00C20AB9">
        <w:rPr>
          <w:rFonts w:ascii="Times New Roman" w:hAnsi="Times New Roman" w:cs="Times New Roman"/>
          <w:sz w:val="24"/>
          <w:lang w:val="en-US"/>
        </w:rPr>
        <w:t xml:space="preserve">. New York: International Auditing and Assurance Standards Board. Available at: </w:t>
      </w:r>
      <w:hyperlink r:id="rId24" w:tgtFrame="_new" w:history="1">
        <w:r w:rsidRPr="00C20AB9">
          <w:rPr>
            <w:rStyle w:val="af3"/>
            <w:rFonts w:ascii="Times New Roman" w:hAnsi="Times New Roman" w:cs="Times New Roman"/>
            <w:sz w:val="24"/>
            <w:lang w:val="en-US"/>
          </w:rPr>
          <w:t>https://www.iaasb.org/publications/non-authoritative-support-materials-using-automated-tools-techniques-performing-audit-procedures</w:t>
        </w:r>
      </w:hyperlink>
      <w:r w:rsidRPr="00C20AB9">
        <w:rPr>
          <w:rFonts w:ascii="Times New Roman" w:hAnsi="Times New Roman" w:cs="Times New Roman"/>
          <w:sz w:val="24"/>
          <w:lang w:val="en-US"/>
        </w:rPr>
        <w:t xml:space="preserve"> (Accessed: 31 May 2026).</w:t>
      </w:r>
    </w:p>
    <w:p w14:paraId="76B5D145"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International Auditing and Assurance Standards Board (2021) </w:t>
      </w:r>
      <w:r w:rsidRPr="00C20AB9">
        <w:rPr>
          <w:rFonts w:ascii="Times New Roman" w:hAnsi="Times New Roman" w:cs="Times New Roman"/>
          <w:i/>
          <w:iCs/>
          <w:sz w:val="24"/>
          <w:lang w:val="en-US"/>
        </w:rPr>
        <w:t>Non-Authoritative Guidance on Applying ISAE 3000 (Revised) to Sustainability and Other Extended External Reporting Assurance Engagements</w:t>
      </w:r>
      <w:r w:rsidRPr="00C20AB9">
        <w:rPr>
          <w:rFonts w:ascii="Times New Roman" w:hAnsi="Times New Roman" w:cs="Times New Roman"/>
          <w:sz w:val="24"/>
          <w:lang w:val="en-US"/>
        </w:rPr>
        <w:t xml:space="preserve">. New York: International Auditing and Assurance Standards Board. Available at: </w:t>
      </w:r>
      <w:hyperlink r:id="rId25" w:tgtFrame="_new" w:history="1">
        <w:r w:rsidRPr="00C20AB9">
          <w:rPr>
            <w:rStyle w:val="af3"/>
            <w:rFonts w:ascii="Times New Roman" w:hAnsi="Times New Roman" w:cs="Times New Roman"/>
            <w:sz w:val="24"/>
            <w:lang w:val="en-US"/>
          </w:rPr>
          <w:t>https://www.iaasb.org/publications/non-authoritative-guidance-applying-isae-3000-revised-sustainability-and-other-extended-external</w:t>
        </w:r>
      </w:hyperlink>
      <w:r w:rsidRPr="00C20AB9">
        <w:rPr>
          <w:rFonts w:ascii="Times New Roman" w:hAnsi="Times New Roman" w:cs="Times New Roman"/>
          <w:sz w:val="24"/>
          <w:lang w:val="en-US"/>
        </w:rPr>
        <w:t xml:space="preserve"> (Accessed: 31 May 2026).</w:t>
      </w:r>
    </w:p>
    <w:p w14:paraId="382A29AC"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International Auditing and Assurance Standards Board (2024) </w:t>
      </w:r>
      <w:r w:rsidRPr="00C20AB9">
        <w:rPr>
          <w:rFonts w:ascii="Times New Roman" w:hAnsi="Times New Roman" w:cs="Times New Roman"/>
          <w:i/>
          <w:iCs/>
          <w:sz w:val="24"/>
          <w:lang w:val="en-US"/>
        </w:rPr>
        <w:t xml:space="preserve">International Standard on </w:t>
      </w:r>
      <w:r w:rsidRPr="00C20AB9">
        <w:rPr>
          <w:rFonts w:ascii="Times New Roman" w:hAnsi="Times New Roman" w:cs="Times New Roman"/>
          <w:i/>
          <w:iCs/>
          <w:sz w:val="24"/>
          <w:lang w:val="en-US"/>
        </w:rPr>
        <w:lastRenderedPageBreak/>
        <w:t>Sustainability Assurance 5000: General Requirements for Sustainability Assurance Engagements</w:t>
      </w:r>
      <w:r w:rsidRPr="00C20AB9">
        <w:rPr>
          <w:rFonts w:ascii="Times New Roman" w:hAnsi="Times New Roman" w:cs="Times New Roman"/>
          <w:sz w:val="24"/>
          <w:lang w:val="en-US"/>
        </w:rPr>
        <w:t xml:space="preserve">. New York: International Auditing and Assurance Standards Board. Available at: </w:t>
      </w:r>
      <w:hyperlink r:id="rId26" w:tgtFrame="_new" w:history="1">
        <w:r w:rsidRPr="00C20AB9">
          <w:rPr>
            <w:rStyle w:val="af3"/>
            <w:rFonts w:ascii="Times New Roman" w:hAnsi="Times New Roman" w:cs="Times New Roman"/>
            <w:sz w:val="24"/>
            <w:lang w:val="en-US"/>
          </w:rPr>
          <w:t>https://www.iaasb.org/publications/international-standard-sustainability-assurance-5000-general-requirements-sustainability-assurance</w:t>
        </w:r>
      </w:hyperlink>
      <w:r w:rsidRPr="00C20AB9">
        <w:rPr>
          <w:rFonts w:ascii="Times New Roman" w:hAnsi="Times New Roman" w:cs="Times New Roman"/>
          <w:sz w:val="24"/>
          <w:lang w:val="en-US"/>
        </w:rPr>
        <w:t xml:space="preserve"> (Accessed: 31 May 2026).</w:t>
      </w:r>
    </w:p>
    <w:p w14:paraId="448D6AA6"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International Federation of Accountants (2018) </w:t>
      </w:r>
      <w:r w:rsidRPr="00C20AB9">
        <w:rPr>
          <w:rFonts w:ascii="Times New Roman" w:hAnsi="Times New Roman" w:cs="Times New Roman"/>
          <w:i/>
          <w:iCs/>
          <w:sz w:val="24"/>
          <w:lang w:val="en-US"/>
        </w:rPr>
        <w:t>Professional skepticism: the heart of audit</w:t>
      </w:r>
      <w:r w:rsidRPr="00C20AB9">
        <w:rPr>
          <w:rFonts w:ascii="Times New Roman" w:hAnsi="Times New Roman" w:cs="Times New Roman"/>
          <w:sz w:val="24"/>
          <w:lang w:val="en-US"/>
        </w:rPr>
        <w:t xml:space="preserve">. Available at: </w:t>
      </w:r>
      <w:hyperlink r:id="rId27" w:tgtFrame="_new" w:history="1">
        <w:r w:rsidRPr="00C20AB9">
          <w:rPr>
            <w:rStyle w:val="af3"/>
            <w:rFonts w:ascii="Times New Roman" w:hAnsi="Times New Roman" w:cs="Times New Roman"/>
            <w:sz w:val="24"/>
            <w:lang w:val="en-US"/>
          </w:rPr>
          <w:t>https://www.ifac.org/knowledge-gateway/discussion/professional-skepticism-heart-audit</w:t>
        </w:r>
      </w:hyperlink>
      <w:r w:rsidRPr="00C20AB9">
        <w:rPr>
          <w:rFonts w:ascii="Times New Roman" w:hAnsi="Times New Roman" w:cs="Times New Roman"/>
          <w:sz w:val="24"/>
          <w:lang w:val="en-US"/>
        </w:rPr>
        <w:t xml:space="preserve"> (Accessed: 31 May 2026).</w:t>
      </w:r>
    </w:p>
    <w:p w14:paraId="004140DE"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International Federation of Accountants (2025) </w:t>
      </w:r>
      <w:r w:rsidRPr="00C20AB9">
        <w:rPr>
          <w:rFonts w:ascii="Times New Roman" w:hAnsi="Times New Roman" w:cs="Times New Roman"/>
          <w:i/>
          <w:iCs/>
          <w:sz w:val="24"/>
          <w:lang w:val="en-US"/>
        </w:rPr>
        <w:t>IFAC enhances International Education Standards to equip professional accountants for sustainability reporting</w:t>
      </w:r>
      <w:r w:rsidRPr="00C20AB9">
        <w:rPr>
          <w:rFonts w:ascii="Times New Roman" w:hAnsi="Times New Roman" w:cs="Times New Roman"/>
          <w:sz w:val="24"/>
          <w:lang w:val="en-US"/>
        </w:rPr>
        <w:t xml:space="preserve">. Available at: </w:t>
      </w:r>
      <w:hyperlink r:id="rId28" w:tgtFrame="_new" w:history="1">
        <w:r w:rsidRPr="00C20AB9">
          <w:rPr>
            <w:rStyle w:val="af3"/>
            <w:rFonts w:ascii="Times New Roman" w:hAnsi="Times New Roman" w:cs="Times New Roman"/>
            <w:sz w:val="24"/>
            <w:lang w:val="en-US"/>
          </w:rPr>
          <w:t>https://www.ifac.org/news-events/2025-03/ifac-enhances-international-education-standards-equip-professional-accountants-sustainability</w:t>
        </w:r>
      </w:hyperlink>
      <w:r w:rsidRPr="00C20AB9">
        <w:rPr>
          <w:rFonts w:ascii="Times New Roman" w:hAnsi="Times New Roman" w:cs="Times New Roman"/>
          <w:sz w:val="24"/>
          <w:lang w:val="en-US"/>
        </w:rPr>
        <w:t xml:space="preserve"> (Accessed: 31 May 2026).</w:t>
      </w:r>
    </w:p>
    <w:p w14:paraId="626240F7"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International Sustainability Standards Board (2023) </w:t>
      </w:r>
      <w:r w:rsidRPr="00C20AB9">
        <w:rPr>
          <w:rFonts w:ascii="Times New Roman" w:hAnsi="Times New Roman" w:cs="Times New Roman"/>
          <w:i/>
          <w:iCs/>
          <w:sz w:val="24"/>
          <w:lang w:val="en-US"/>
        </w:rPr>
        <w:t>IFRS S1: General Requirements for Disclosure of Sustainability-related Financial Information</w:t>
      </w:r>
      <w:r w:rsidRPr="00C20AB9">
        <w:rPr>
          <w:rFonts w:ascii="Times New Roman" w:hAnsi="Times New Roman" w:cs="Times New Roman"/>
          <w:sz w:val="24"/>
          <w:lang w:val="en-US"/>
        </w:rPr>
        <w:t xml:space="preserve">. London: IFRS Foundation. Available at: </w:t>
      </w:r>
      <w:hyperlink r:id="rId29" w:tgtFrame="_new" w:history="1">
        <w:r w:rsidRPr="00C20AB9">
          <w:rPr>
            <w:rStyle w:val="af3"/>
            <w:rFonts w:ascii="Times New Roman" w:hAnsi="Times New Roman" w:cs="Times New Roman"/>
            <w:sz w:val="24"/>
            <w:lang w:val="en-US"/>
          </w:rPr>
          <w:t>https://www.ifrs.org/content/dam/ifrs/publications/pdf-standards-issb/english/2023/issued/part-a/issb-2023-a-ifrs-s1-general-requirements-for-disclosure-of-sustainability-related-financial-information.pdf?bypass=on</w:t>
        </w:r>
      </w:hyperlink>
      <w:r w:rsidRPr="00C20AB9">
        <w:rPr>
          <w:rFonts w:ascii="Times New Roman" w:hAnsi="Times New Roman" w:cs="Times New Roman"/>
          <w:sz w:val="24"/>
          <w:lang w:val="en-US"/>
        </w:rPr>
        <w:t xml:space="preserve"> (Accessed: 31 May 2026).</w:t>
      </w:r>
    </w:p>
    <w:p w14:paraId="6E632609"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National Institute of Standards and Technology (2018) </w:t>
      </w:r>
      <w:r w:rsidRPr="00C20AB9">
        <w:rPr>
          <w:rFonts w:ascii="Times New Roman" w:hAnsi="Times New Roman" w:cs="Times New Roman"/>
          <w:i/>
          <w:iCs/>
          <w:sz w:val="24"/>
          <w:lang w:val="en-US"/>
        </w:rPr>
        <w:t>Blockchain Technology Overview</w:t>
      </w:r>
      <w:r w:rsidRPr="00C20AB9">
        <w:rPr>
          <w:rFonts w:ascii="Times New Roman" w:hAnsi="Times New Roman" w:cs="Times New Roman"/>
          <w:sz w:val="24"/>
          <w:lang w:val="en-US"/>
        </w:rPr>
        <w:t xml:space="preserve">. Gaithersburg, MD: National Institute of Standards and Technology. Available at: </w:t>
      </w:r>
      <w:hyperlink r:id="rId30" w:tgtFrame="_new" w:history="1">
        <w:r w:rsidRPr="00C20AB9">
          <w:rPr>
            <w:rStyle w:val="af3"/>
            <w:rFonts w:ascii="Times New Roman" w:hAnsi="Times New Roman" w:cs="Times New Roman"/>
            <w:sz w:val="24"/>
            <w:lang w:val="en-US"/>
          </w:rPr>
          <w:t>https://nvlpubs.nist.gov/nistpubs/ir/2018/nist.ir.8202.pdf</w:t>
        </w:r>
      </w:hyperlink>
      <w:r w:rsidRPr="00C20AB9">
        <w:rPr>
          <w:rFonts w:ascii="Times New Roman" w:hAnsi="Times New Roman" w:cs="Times New Roman"/>
          <w:sz w:val="24"/>
          <w:lang w:val="en-US"/>
        </w:rPr>
        <w:t xml:space="preserve"> (Accessed: 31 May 2026).</w:t>
      </w:r>
    </w:p>
    <w:p w14:paraId="6CB71B7B" w14:textId="77777777" w:rsidR="00C20AB9" w:rsidRPr="00C20AB9" w:rsidRDefault="00C20AB9" w:rsidP="00C20AB9">
      <w:pPr>
        <w:spacing w:line="360" w:lineRule="auto"/>
        <w:rPr>
          <w:rFonts w:ascii="Times New Roman" w:hAnsi="Times New Roman" w:cs="Times New Roman"/>
          <w:sz w:val="24"/>
          <w:lang w:val="en-US"/>
        </w:rPr>
      </w:pPr>
      <w:r w:rsidRPr="00C20AB9">
        <w:rPr>
          <w:rFonts w:ascii="Times New Roman" w:hAnsi="Times New Roman" w:cs="Times New Roman"/>
          <w:sz w:val="24"/>
          <w:lang w:val="en-US"/>
        </w:rPr>
        <w:t xml:space="preserve">National Institute of Standards and Technology (2023) </w:t>
      </w:r>
      <w:r w:rsidRPr="00C20AB9">
        <w:rPr>
          <w:rFonts w:ascii="Times New Roman" w:hAnsi="Times New Roman" w:cs="Times New Roman"/>
          <w:i/>
          <w:iCs/>
          <w:sz w:val="24"/>
          <w:lang w:val="en-US"/>
        </w:rPr>
        <w:t>Artificial Intelligence Risk Management Framework (AI RMF 1.0)</w:t>
      </w:r>
      <w:r w:rsidRPr="00C20AB9">
        <w:rPr>
          <w:rFonts w:ascii="Times New Roman" w:hAnsi="Times New Roman" w:cs="Times New Roman"/>
          <w:sz w:val="24"/>
          <w:lang w:val="en-US"/>
        </w:rPr>
        <w:t xml:space="preserve">. Gaithersburg, MD: National Institute of Standards and Technology. Available at: </w:t>
      </w:r>
      <w:hyperlink r:id="rId31" w:tgtFrame="_new" w:history="1">
        <w:r w:rsidRPr="00C20AB9">
          <w:rPr>
            <w:rStyle w:val="af3"/>
            <w:rFonts w:ascii="Times New Roman" w:hAnsi="Times New Roman" w:cs="Times New Roman"/>
            <w:sz w:val="24"/>
            <w:lang w:val="en-US"/>
          </w:rPr>
          <w:t>https://nvlpubs.nist.gov/nistpubs/ai/nist.ai.100-1.pdf</w:t>
        </w:r>
      </w:hyperlink>
      <w:r w:rsidRPr="00C20AB9">
        <w:rPr>
          <w:rFonts w:ascii="Times New Roman" w:hAnsi="Times New Roman" w:cs="Times New Roman"/>
          <w:sz w:val="24"/>
          <w:lang w:val="en-US"/>
        </w:rPr>
        <w:t xml:space="preserve"> (Accessed: 31 May 2026).</w:t>
      </w:r>
    </w:p>
    <w:p w14:paraId="47A63365" w14:textId="77777777" w:rsidR="00C20AB9" w:rsidRPr="00C20AB9" w:rsidRDefault="00C20AB9" w:rsidP="00C20AB9">
      <w:pPr>
        <w:spacing w:line="360" w:lineRule="auto"/>
        <w:rPr>
          <w:rFonts w:ascii="Times New Roman" w:hAnsi="Times New Roman" w:cs="Times New Roman"/>
          <w:sz w:val="24"/>
          <w:lang w:val="en-US"/>
        </w:rPr>
      </w:pPr>
      <w:proofErr w:type="spellStart"/>
      <w:r w:rsidRPr="00C20AB9">
        <w:rPr>
          <w:rFonts w:ascii="Times New Roman" w:hAnsi="Times New Roman" w:cs="Times New Roman"/>
          <w:sz w:val="24"/>
          <w:lang w:val="en-US"/>
        </w:rPr>
        <w:t>Organisation</w:t>
      </w:r>
      <w:proofErr w:type="spellEnd"/>
      <w:r w:rsidRPr="00C20AB9">
        <w:rPr>
          <w:rFonts w:ascii="Times New Roman" w:hAnsi="Times New Roman" w:cs="Times New Roman"/>
          <w:sz w:val="24"/>
          <w:lang w:val="en-US"/>
        </w:rPr>
        <w:t xml:space="preserve"> for Economic Co-operation and Development (2018) </w:t>
      </w:r>
      <w:r w:rsidRPr="00C20AB9">
        <w:rPr>
          <w:rFonts w:ascii="Times New Roman" w:hAnsi="Times New Roman" w:cs="Times New Roman"/>
          <w:i/>
          <w:iCs/>
          <w:sz w:val="24"/>
          <w:lang w:val="en-US"/>
        </w:rPr>
        <w:t>OECD Due Diligence Guidance for Responsible Business Conduct</w:t>
      </w:r>
      <w:r w:rsidRPr="00C20AB9">
        <w:rPr>
          <w:rFonts w:ascii="Times New Roman" w:hAnsi="Times New Roman" w:cs="Times New Roman"/>
          <w:sz w:val="24"/>
          <w:lang w:val="en-US"/>
        </w:rPr>
        <w:t xml:space="preserve">. Paris: OECD Publishing. Available at: </w:t>
      </w:r>
      <w:hyperlink r:id="rId32" w:tgtFrame="_new" w:history="1">
        <w:r w:rsidRPr="00C20AB9">
          <w:rPr>
            <w:rStyle w:val="af3"/>
            <w:rFonts w:ascii="Times New Roman" w:hAnsi="Times New Roman" w:cs="Times New Roman"/>
            <w:sz w:val="24"/>
            <w:lang w:val="en-US"/>
          </w:rPr>
          <w:t>https://www.oecd.org/en/publications/oecd-due-diligence-guidance-for-responsible-business-conduct_15f5f4b3-en.html</w:t>
        </w:r>
      </w:hyperlink>
      <w:r w:rsidRPr="00C20AB9">
        <w:rPr>
          <w:rFonts w:ascii="Times New Roman" w:hAnsi="Times New Roman" w:cs="Times New Roman"/>
          <w:sz w:val="24"/>
          <w:lang w:val="en-US"/>
        </w:rPr>
        <w:t xml:space="preserve"> (Accessed: 31 May 2026).</w:t>
      </w:r>
    </w:p>
    <w:p w14:paraId="4E0E9151" w14:textId="77777777" w:rsidR="00C20AB9" w:rsidRPr="00C20AB9" w:rsidRDefault="00C20AB9" w:rsidP="00C20AB9">
      <w:pPr>
        <w:spacing w:line="360" w:lineRule="auto"/>
        <w:rPr>
          <w:rFonts w:ascii="Times New Roman" w:hAnsi="Times New Roman" w:cs="Times New Roman"/>
          <w:sz w:val="24"/>
          <w:lang w:val="en-US"/>
        </w:rPr>
      </w:pPr>
      <w:proofErr w:type="spellStart"/>
      <w:r w:rsidRPr="00C20AB9">
        <w:rPr>
          <w:rFonts w:ascii="Times New Roman" w:hAnsi="Times New Roman" w:cs="Times New Roman"/>
          <w:sz w:val="24"/>
          <w:lang w:val="en-US"/>
        </w:rPr>
        <w:lastRenderedPageBreak/>
        <w:t>Organisation</w:t>
      </w:r>
      <w:proofErr w:type="spellEnd"/>
      <w:r w:rsidRPr="00C20AB9">
        <w:rPr>
          <w:rFonts w:ascii="Times New Roman" w:hAnsi="Times New Roman" w:cs="Times New Roman"/>
          <w:sz w:val="24"/>
          <w:lang w:val="en-US"/>
        </w:rPr>
        <w:t xml:space="preserve"> for Economic Co-operation and Development (2024) </w:t>
      </w:r>
      <w:r w:rsidRPr="00C20AB9">
        <w:rPr>
          <w:rFonts w:ascii="Times New Roman" w:hAnsi="Times New Roman" w:cs="Times New Roman"/>
          <w:i/>
          <w:iCs/>
          <w:sz w:val="24"/>
          <w:lang w:val="en-US"/>
        </w:rPr>
        <w:t>AI principles</w:t>
      </w:r>
      <w:r w:rsidRPr="00C20AB9">
        <w:rPr>
          <w:rFonts w:ascii="Times New Roman" w:hAnsi="Times New Roman" w:cs="Times New Roman"/>
          <w:sz w:val="24"/>
          <w:lang w:val="en-US"/>
        </w:rPr>
        <w:t xml:space="preserve">. Available at: </w:t>
      </w:r>
      <w:hyperlink r:id="rId33" w:tgtFrame="_new" w:history="1">
        <w:r w:rsidRPr="00C20AB9">
          <w:rPr>
            <w:rStyle w:val="af3"/>
            <w:rFonts w:ascii="Times New Roman" w:hAnsi="Times New Roman" w:cs="Times New Roman"/>
            <w:sz w:val="24"/>
            <w:lang w:val="en-US"/>
          </w:rPr>
          <w:t>https://www.oecd.org/en/topics/sub-issues/ai-principles.html</w:t>
        </w:r>
      </w:hyperlink>
      <w:r w:rsidRPr="00C20AB9">
        <w:rPr>
          <w:rFonts w:ascii="Times New Roman" w:hAnsi="Times New Roman" w:cs="Times New Roman"/>
          <w:sz w:val="24"/>
          <w:lang w:val="en-US"/>
        </w:rPr>
        <w:t xml:space="preserve"> (Accessed: 31 May 2026).</w:t>
      </w:r>
    </w:p>
    <w:p w14:paraId="3471FA5D" w14:textId="65C0A61B" w:rsidR="00393D5F" w:rsidRPr="00C20AB9" w:rsidRDefault="00C20AB9" w:rsidP="00C20AB9">
      <w:pPr>
        <w:spacing w:line="360" w:lineRule="auto"/>
        <w:rPr>
          <w:rFonts w:ascii="Times New Roman" w:hAnsi="Times New Roman" w:cs="Times New Roman"/>
          <w:sz w:val="24"/>
          <w:lang w:val="en-US"/>
        </w:rPr>
      </w:pPr>
      <w:proofErr w:type="spellStart"/>
      <w:r w:rsidRPr="00C20AB9">
        <w:rPr>
          <w:rFonts w:ascii="Times New Roman" w:hAnsi="Times New Roman" w:cs="Times New Roman"/>
          <w:sz w:val="24"/>
          <w:lang w:val="en-US"/>
        </w:rPr>
        <w:t>Stöckle</w:t>
      </w:r>
      <w:proofErr w:type="spellEnd"/>
      <w:r w:rsidRPr="00C20AB9">
        <w:rPr>
          <w:rFonts w:ascii="Times New Roman" w:hAnsi="Times New Roman" w:cs="Times New Roman"/>
          <w:sz w:val="24"/>
          <w:lang w:val="en-US"/>
        </w:rPr>
        <w:t xml:space="preserve">, S. (2024) </w:t>
      </w:r>
      <w:r w:rsidRPr="00C20AB9">
        <w:rPr>
          <w:rFonts w:ascii="Times New Roman" w:hAnsi="Times New Roman" w:cs="Times New Roman"/>
          <w:i/>
          <w:iCs/>
          <w:sz w:val="24"/>
          <w:lang w:val="en-US"/>
        </w:rPr>
        <w:t>All eyes on: AI in Audit 2024</w:t>
      </w:r>
      <w:r w:rsidRPr="00C20AB9">
        <w:rPr>
          <w:rFonts w:ascii="Times New Roman" w:hAnsi="Times New Roman" w:cs="Times New Roman"/>
          <w:sz w:val="24"/>
          <w:lang w:val="en-US"/>
        </w:rPr>
        <w:t xml:space="preserve">. Available at: </w:t>
      </w:r>
      <w:hyperlink r:id="rId34" w:tgtFrame="_new" w:history="1">
        <w:r w:rsidRPr="00C20AB9">
          <w:rPr>
            <w:rStyle w:val="af3"/>
            <w:rFonts w:ascii="Times New Roman" w:hAnsi="Times New Roman" w:cs="Times New Roman"/>
            <w:sz w:val="24"/>
            <w:lang w:val="en-US"/>
          </w:rPr>
          <w:t>https://kpmg.com/xx/en/our-insights/ai-and-technology/all-eyes-on-ai-in-audit-2024.html</w:t>
        </w:r>
      </w:hyperlink>
      <w:r w:rsidRPr="00C20AB9">
        <w:rPr>
          <w:rFonts w:ascii="Times New Roman" w:hAnsi="Times New Roman" w:cs="Times New Roman"/>
          <w:sz w:val="24"/>
          <w:lang w:val="en-US"/>
        </w:rPr>
        <w:t xml:space="preserve"> (Accessed: 31 May 2026).</w:t>
      </w:r>
    </w:p>
    <w:sectPr w:rsidR="00393D5F" w:rsidRPr="00C20AB9" w:rsidSect="008314C9">
      <w:headerReference w:type="default" r:id="rId35"/>
      <w:footerReference w:type="default" r:id="rId36"/>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8518A" w14:textId="77777777" w:rsidR="001B688A" w:rsidRPr="005470C1" w:rsidRDefault="001B688A" w:rsidP="002F447C">
      <w:pPr>
        <w:spacing w:after="0" w:line="240" w:lineRule="auto"/>
        <w:rPr>
          <w:rFonts w:hint="eastAsia"/>
        </w:rPr>
      </w:pPr>
      <w:r w:rsidRPr="005470C1">
        <w:separator/>
      </w:r>
    </w:p>
  </w:endnote>
  <w:endnote w:type="continuationSeparator" w:id="0">
    <w:p w14:paraId="43D7B25C" w14:textId="77777777" w:rsidR="001B688A" w:rsidRPr="005470C1" w:rsidRDefault="001B688A" w:rsidP="002F447C">
      <w:pPr>
        <w:spacing w:after="0" w:line="240" w:lineRule="auto"/>
        <w:rPr>
          <w:rFonts w:hint="eastAsia"/>
        </w:rPr>
      </w:pPr>
      <w:r w:rsidRPr="005470C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8170589"/>
      <w:docPartObj>
        <w:docPartGallery w:val="Page Numbers (Bottom of Page)"/>
        <w:docPartUnique/>
      </w:docPartObj>
    </w:sdtPr>
    <w:sdtContent>
      <w:p w14:paraId="5B19FA6A" w14:textId="0136AD85" w:rsidR="00E35628" w:rsidRPr="005470C1" w:rsidRDefault="00E35628">
        <w:pPr>
          <w:pStyle w:val="af0"/>
          <w:jc w:val="center"/>
          <w:rPr>
            <w:rFonts w:hint="eastAsia"/>
          </w:rPr>
        </w:pPr>
        <w:r w:rsidRPr="005470C1">
          <w:fldChar w:fldCharType="begin"/>
        </w:r>
        <w:r w:rsidRPr="005470C1">
          <w:instrText>PAGE   \* MERGEFORMAT</w:instrText>
        </w:r>
        <w:r w:rsidRPr="005470C1">
          <w:fldChar w:fldCharType="separate"/>
        </w:r>
        <w:r w:rsidRPr="005470C1">
          <w:t>2</w:t>
        </w:r>
        <w:r w:rsidRPr="005470C1">
          <w:fldChar w:fldCharType="end"/>
        </w:r>
      </w:p>
    </w:sdtContent>
  </w:sdt>
  <w:p w14:paraId="6A8691BC" w14:textId="77777777" w:rsidR="002F447C" w:rsidRPr="005470C1" w:rsidRDefault="002F447C">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00DC1" w14:textId="77777777" w:rsidR="001B688A" w:rsidRPr="005470C1" w:rsidRDefault="001B688A" w:rsidP="002F447C">
      <w:pPr>
        <w:spacing w:after="0" w:line="240" w:lineRule="auto"/>
        <w:rPr>
          <w:rFonts w:hint="eastAsia"/>
        </w:rPr>
      </w:pPr>
      <w:r w:rsidRPr="005470C1">
        <w:separator/>
      </w:r>
    </w:p>
  </w:footnote>
  <w:footnote w:type="continuationSeparator" w:id="0">
    <w:p w14:paraId="454056FC" w14:textId="77777777" w:rsidR="001B688A" w:rsidRPr="005470C1" w:rsidRDefault="001B688A" w:rsidP="002F447C">
      <w:pPr>
        <w:spacing w:after="0" w:line="240" w:lineRule="auto"/>
        <w:rPr>
          <w:rFonts w:hint="eastAsia"/>
        </w:rPr>
      </w:pPr>
      <w:r w:rsidRPr="005470C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35CF4" w14:textId="495C2A6A" w:rsidR="002F447C" w:rsidRPr="005470C1" w:rsidRDefault="002F447C">
    <w:pPr>
      <w:pStyle w:val="ae"/>
      <w:rPr>
        <w:rFonts w:hint="eastAsia"/>
        <w:sz w:val="24"/>
        <w:szCs w:val="24"/>
      </w:rPr>
    </w:pPr>
    <w:r w:rsidRPr="007639FB">
      <w:rPr>
        <w:rFonts w:ascii="Times New Roman" w:hAnsi="Times New Roman" w:cs="Times New Roman"/>
        <w:sz w:val="20"/>
        <w:szCs w:val="20"/>
      </w:rPr>
      <w:t>Jingwei Liu 2253336</w:t>
    </w:r>
    <w:r w:rsidRPr="005470C1">
      <w:rPr>
        <w:sz w:val="24"/>
        <w:szCs w:val="24"/>
      </w:rPr>
      <w:ptab w:relativeTo="margin" w:alignment="center" w:leader="none"/>
    </w:r>
    <w:r w:rsidRPr="005470C1">
      <w:rPr>
        <w:sz w:val="24"/>
        <w:szCs w:val="24"/>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10F62"/>
    <w:multiLevelType w:val="hybridMultilevel"/>
    <w:tmpl w:val="BF7C865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2C26796"/>
    <w:multiLevelType w:val="hybridMultilevel"/>
    <w:tmpl w:val="46F4849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6680370"/>
    <w:multiLevelType w:val="hybridMultilevel"/>
    <w:tmpl w:val="2782F99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3AA0622"/>
    <w:multiLevelType w:val="hybridMultilevel"/>
    <w:tmpl w:val="117C43BE"/>
    <w:lvl w:ilvl="0" w:tplc="F314D94C">
      <w:start w:val="1"/>
      <w:numFmt w:val="bullet"/>
      <w:lvlText w:val=""/>
      <w:lvlJc w:val="left"/>
      <w:pPr>
        <w:ind w:left="440" w:hanging="440"/>
      </w:pPr>
      <w:rPr>
        <w:rFonts w:ascii="Wingdings" w:hAnsi="Wingdings" w:hint="default"/>
        <w:sz w:val="1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FDF7399"/>
    <w:multiLevelType w:val="hybridMultilevel"/>
    <w:tmpl w:val="1400974C"/>
    <w:lvl w:ilvl="0" w:tplc="ED1E275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AA95B90"/>
    <w:multiLevelType w:val="hybridMultilevel"/>
    <w:tmpl w:val="9A7E7882"/>
    <w:lvl w:ilvl="0" w:tplc="ED1E275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8150842"/>
    <w:multiLevelType w:val="hybridMultilevel"/>
    <w:tmpl w:val="33747676"/>
    <w:lvl w:ilvl="0" w:tplc="ED1E275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64068750">
    <w:abstractNumId w:val="3"/>
  </w:num>
  <w:num w:numId="2" w16cid:durableId="590165879">
    <w:abstractNumId w:val="0"/>
  </w:num>
  <w:num w:numId="3" w16cid:durableId="1376540763">
    <w:abstractNumId w:val="6"/>
  </w:num>
  <w:num w:numId="4" w16cid:durableId="319358437">
    <w:abstractNumId w:val="5"/>
  </w:num>
  <w:num w:numId="5" w16cid:durableId="428160715">
    <w:abstractNumId w:val="4"/>
  </w:num>
  <w:num w:numId="6" w16cid:durableId="1914076593">
    <w:abstractNumId w:val="1"/>
  </w:num>
  <w:num w:numId="7" w16cid:durableId="508758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0C2"/>
    <w:rsid w:val="000025D9"/>
    <w:rsid w:val="00005C5E"/>
    <w:rsid w:val="000068C4"/>
    <w:rsid w:val="0005162E"/>
    <w:rsid w:val="0005165A"/>
    <w:rsid w:val="00063262"/>
    <w:rsid w:val="000746B5"/>
    <w:rsid w:val="00074BFA"/>
    <w:rsid w:val="000774B5"/>
    <w:rsid w:val="000779C6"/>
    <w:rsid w:val="0009304C"/>
    <w:rsid w:val="00095AAF"/>
    <w:rsid w:val="000A088C"/>
    <w:rsid w:val="000B3B48"/>
    <w:rsid w:val="000C2625"/>
    <w:rsid w:val="001005B3"/>
    <w:rsid w:val="001073CD"/>
    <w:rsid w:val="0012719E"/>
    <w:rsid w:val="00130476"/>
    <w:rsid w:val="00135985"/>
    <w:rsid w:val="0014604C"/>
    <w:rsid w:val="0014785C"/>
    <w:rsid w:val="00150814"/>
    <w:rsid w:val="0015252E"/>
    <w:rsid w:val="001674BE"/>
    <w:rsid w:val="00171BB1"/>
    <w:rsid w:val="00175765"/>
    <w:rsid w:val="00177EAC"/>
    <w:rsid w:val="00184609"/>
    <w:rsid w:val="001A0F9D"/>
    <w:rsid w:val="001A6823"/>
    <w:rsid w:val="001B2EB3"/>
    <w:rsid w:val="001B688A"/>
    <w:rsid w:val="001C1D4B"/>
    <w:rsid w:val="001C2E96"/>
    <w:rsid w:val="001C3915"/>
    <w:rsid w:val="001C3B04"/>
    <w:rsid w:val="001D01A4"/>
    <w:rsid w:val="001D09D7"/>
    <w:rsid w:val="001E4396"/>
    <w:rsid w:val="001F4AF2"/>
    <w:rsid w:val="00235171"/>
    <w:rsid w:val="00246F4B"/>
    <w:rsid w:val="00277723"/>
    <w:rsid w:val="0028459A"/>
    <w:rsid w:val="00292BDA"/>
    <w:rsid w:val="002932A9"/>
    <w:rsid w:val="00293327"/>
    <w:rsid w:val="002946DF"/>
    <w:rsid w:val="002A1C23"/>
    <w:rsid w:val="002B7709"/>
    <w:rsid w:val="002D698F"/>
    <w:rsid w:val="002E687F"/>
    <w:rsid w:val="002F447C"/>
    <w:rsid w:val="002F6061"/>
    <w:rsid w:val="00301232"/>
    <w:rsid w:val="00302939"/>
    <w:rsid w:val="00311959"/>
    <w:rsid w:val="003150C2"/>
    <w:rsid w:val="00340564"/>
    <w:rsid w:val="0034724C"/>
    <w:rsid w:val="00356F8D"/>
    <w:rsid w:val="00367447"/>
    <w:rsid w:val="0037561E"/>
    <w:rsid w:val="003801AA"/>
    <w:rsid w:val="00393D5F"/>
    <w:rsid w:val="003A3997"/>
    <w:rsid w:val="003B0822"/>
    <w:rsid w:val="003B6CEB"/>
    <w:rsid w:val="003B7690"/>
    <w:rsid w:val="003B7A81"/>
    <w:rsid w:val="003C274D"/>
    <w:rsid w:val="003C57A0"/>
    <w:rsid w:val="003D5E92"/>
    <w:rsid w:val="003E1200"/>
    <w:rsid w:val="00417BB3"/>
    <w:rsid w:val="0044165D"/>
    <w:rsid w:val="004651F9"/>
    <w:rsid w:val="004776C7"/>
    <w:rsid w:val="00491DD3"/>
    <w:rsid w:val="00494C0E"/>
    <w:rsid w:val="00495A21"/>
    <w:rsid w:val="004B5CE2"/>
    <w:rsid w:val="004C674F"/>
    <w:rsid w:val="004C7888"/>
    <w:rsid w:val="004D6249"/>
    <w:rsid w:val="004E1559"/>
    <w:rsid w:val="004E1FA1"/>
    <w:rsid w:val="004F65BE"/>
    <w:rsid w:val="005054A2"/>
    <w:rsid w:val="00534911"/>
    <w:rsid w:val="00537A1E"/>
    <w:rsid w:val="005414E8"/>
    <w:rsid w:val="005470C1"/>
    <w:rsid w:val="005578E7"/>
    <w:rsid w:val="00557A81"/>
    <w:rsid w:val="00572BE7"/>
    <w:rsid w:val="005742BA"/>
    <w:rsid w:val="005752DF"/>
    <w:rsid w:val="005A4E48"/>
    <w:rsid w:val="005D079A"/>
    <w:rsid w:val="005D0A5F"/>
    <w:rsid w:val="005D7213"/>
    <w:rsid w:val="005F02E2"/>
    <w:rsid w:val="005F0335"/>
    <w:rsid w:val="00610370"/>
    <w:rsid w:val="0061095C"/>
    <w:rsid w:val="006248F0"/>
    <w:rsid w:val="006352C2"/>
    <w:rsid w:val="00670748"/>
    <w:rsid w:val="006814B8"/>
    <w:rsid w:val="006856A6"/>
    <w:rsid w:val="00685B7D"/>
    <w:rsid w:val="0069127B"/>
    <w:rsid w:val="006A744B"/>
    <w:rsid w:val="006C61DC"/>
    <w:rsid w:val="007020BE"/>
    <w:rsid w:val="00707714"/>
    <w:rsid w:val="0071725E"/>
    <w:rsid w:val="00727423"/>
    <w:rsid w:val="00756E31"/>
    <w:rsid w:val="007639FB"/>
    <w:rsid w:val="007967AE"/>
    <w:rsid w:val="00797D17"/>
    <w:rsid w:val="007A2D20"/>
    <w:rsid w:val="007B0733"/>
    <w:rsid w:val="007C4E4F"/>
    <w:rsid w:val="007F1D07"/>
    <w:rsid w:val="00803E96"/>
    <w:rsid w:val="0080401B"/>
    <w:rsid w:val="00806C7B"/>
    <w:rsid w:val="008078F6"/>
    <w:rsid w:val="00811D4B"/>
    <w:rsid w:val="008120A9"/>
    <w:rsid w:val="008314C9"/>
    <w:rsid w:val="00843C65"/>
    <w:rsid w:val="008660E4"/>
    <w:rsid w:val="008855C5"/>
    <w:rsid w:val="0089491B"/>
    <w:rsid w:val="008C7DF6"/>
    <w:rsid w:val="008F17BA"/>
    <w:rsid w:val="009127BB"/>
    <w:rsid w:val="00913528"/>
    <w:rsid w:val="00962566"/>
    <w:rsid w:val="00964B3D"/>
    <w:rsid w:val="00991648"/>
    <w:rsid w:val="009B3B86"/>
    <w:rsid w:val="009D717C"/>
    <w:rsid w:val="009E7412"/>
    <w:rsid w:val="00A04263"/>
    <w:rsid w:val="00A1643D"/>
    <w:rsid w:val="00A251F7"/>
    <w:rsid w:val="00A32DF1"/>
    <w:rsid w:val="00A47088"/>
    <w:rsid w:val="00A66F8D"/>
    <w:rsid w:val="00A763B2"/>
    <w:rsid w:val="00AB1A80"/>
    <w:rsid w:val="00AB3E46"/>
    <w:rsid w:val="00AD3B15"/>
    <w:rsid w:val="00AD7D5A"/>
    <w:rsid w:val="00AF0505"/>
    <w:rsid w:val="00AF0E8E"/>
    <w:rsid w:val="00AF330F"/>
    <w:rsid w:val="00B0495F"/>
    <w:rsid w:val="00B0551C"/>
    <w:rsid w:val="00B10069"/>
    <w:rsid w:val="00B23A76"/>
    <w:rsid w:val="00B32E23"/>
    <w:rsid w:val="00B35C85"/>
    <w:rsid w:val="00B65FD7"/>
    <w:rsid w:val="00B8769B"/>
    <w:rsid w:val="00B92835"/>
    <w:rsid w:val="00B97B28"/>
    <w:rsid w:val="00BD3795"/>
    <w:rsid w:val="00C06472"/>
    <w:rsid w:val="00C066EE"/>
    <w:rsid w:val="00C10C3E"/>
    <w:rsid w:val="00C20AB9"/>
    <w:rsid w:val="00C314FF"/>
    <w:rsid w:val="00C325FC"/>
    <w:rsid w:val="00C449BD"/>
    <w:rsid w:val="00C60FCD"/>
    <w:rsid w:val="00C822ED"/>
    <w:rsid w:val="00CA34E6"/>
    <w:rsid w:val="00CC4959"/>
    <w:rsid w:val="00CE4EFB"/>
    <w:rsid w:val="00CF13A2"/>
    <w:rsid w:val="00CF4758"/>
    <w:rsid w:val="00D034E9"/>
    <w:rsid w:val="00D03DD4"/>
    <w:rsid w:val="00D27B23"/>
    <w:rsid w:val="00D42B86"/>
    <w:rsid w:val="00D670C6"/>
    <w:rsid w:val="00D74480"/>
    <w:rsid w:val="00D831AA"/>
    <w:rsid w:val="00D85C92"/>
    <w:rsid w:val="00D910C2"/>
    <w:rsid w:val="00DA1D7F"/>
    <w:rsid w:val="00DA30E3"/>
    <w:rsid w:val="00DA4F13"/>
    <w:rsid w:val="00DB40FE"/>
    <w:rsid w:val="00DC0915"/>
    <w:rsid w:val="00DC58CB"/>
    <w:rsid w:val="00DE1D6D"/>
    <w:rsid w:val="00DE306A"/>
    <w:rsid w:val="00DE3D77"/>
    <w:rsid w:val="00DE51F8"/>
    <w:rsid w:val="00DF14E5"/>
    <w:rsid w:val="00E2754F"/>
    <w:rsid w:val="00E35628"/>
    <w:rsid w:val="00E6215E"/>
    <w:rsid w:val="00E7063E"/>
    <w:rsid w:val="00E74AE4"/>
    <w:rsid w:val="00E84974"/>
    <w:rsid w:val="00E84B5E"/>
    <w:rsid w:val="00E93CBB"/>
    <w:rsid w:val="00EA0349"/>
    <w:rsid w:val="00EA0D47"/>
    <w:rsid w:val="00ED0EC3"/>
    <w:rsid w:val="00ED23B2"/>
    <w:rsid w:val="00ED3366"/>
    <w:rsid w:val="00ED7813"/>
    <w:rsid w:val="00EE21E2"/>
    <w:rsid w:val="00EE25A2"/>
    <w:rsid w:val="00F06C66"/>
    <w:rsid w:val="00F50ED8"/>
    <w:rsid w:val="00F93A0B"/>
    <w:rsid w:val="00FB3BC8"/>
    <w:rsid w:val="00FC552A"/>
    <w:rsid w:val="00FD0D10"/>
    <w:rsid w:val="00FE54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A2010F"/>
  <w15:chartTrackingRefBased/>
  <w15:docId w15:val="{2363B37B-5987-42C3-9E81-C5D57874A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14C9"/>
    <w:pPr>
      <w:widowControl w:val="0"/>
    </w:pPr>
    <w:rPr>
      <w:lang w:val="en-GB"/>
    </w:rPr>
  </w:style>
  <w:style w:type="paragraph" w:styleId="1">
    <w:name w:val="heading 1"/>
    <w:basedOn w:val="a"/>
    <w:next w:val="a"/>
    <w:link w:val="10"/>
    <w:uiPriority w:val="9"/>
    <w:qFormat/>
    <w:rsid w:val="00D910C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D910C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910C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910C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910C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910C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910C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10C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910C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10C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D910C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910C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910C2"/>
    <w:rPr>
      <w:rFonts w:cstheme="majorBidi"/>
      <w:color w:val="2F5496" w:themeColor="accent1" w:themeShade="BF"/>
      <w:sz w:val="28"/>
      <w:szCs w:val="28"/>
    </w:rPr>
  </w:style>
  <w:style w:type="character" w:customStyle="1" w:styleId="50">
    <w:name w:val="标题 5 字符"/>
    <w:basedOn w:val="a0"/>
    <w:link w:val="5"/>
    <w:uiPriority w:val="9"/>
    <w:semiHidden/>
    <w:rsid w:val="00D910C2"/>
    <w:rPr>
      <w:rFonts w:cstheme="majorBidi"/>
      <w:color w:val="2F5496" w:themeColor="accent1" w:themeShade="BF"/>
      <w:sz w:val="24"/>
    </w:rPr>
  </w:style>
  <w:style w:type="character" w:customStyle="1" w:styleId="60">
    <w:name w:val="标题 6 字符"/>
    <w:basedOn w:val="a0"/>
    <w:link w:val="6"/>
    <w:uiPriority w:val="9"/>
    <w:semiHidden/>
    <w:rsid w:val="00D910C2"/>
    <w:rPr>
      <w:rFonts w:cstheme="majorBidi"/>
      <w:b/>
      <w:bCs/>
      <w:color w:val="2F5496" w:themeColor="accent1" w:themeShade="BF"/>
    </w:rPr>
  </w:style>
  <w:style w:type="character" w:customStyle="1" w:styleId="70">
    <w:name w:val="标题 7 字符"/>
    <w:basedOn w:val="a0"/>
    <w:link w:val="7"/>
    <w:uiPriority w:val="9"/>
    <w:semiHidden/>
    <w:rsid w:val="00D910C2"/>
    <w:rPr>
      <w:rFonts w:cstheme="majorBidi"/>
      <w:b/>
      <w:bCs/>
      <w:color w:val="595959" w:themeColor="text1" w:themeTint="A6"/>
    </w:rPr>
  </w:style>
  <w:style w:type="character" w:customStyle="1" w:styleId="80">
    <w:name w:val="标题 8 字符"/>
    <w:basedOn w:val="a0"/>
    <w:link w:val="8"/>
    <w:uiPriority w:val="9"/>
    <w:semiHidden/>
    <w:rsid w:val="00D910C2"/>
    <w:rPr>
      <w:rFonts w:cstheme="majorBidi"/>
      <w:color w:val="595959" w:themeColor="text1" w:themeTint="A6"/>
    </w:rPr>
  </w:style>
  <w:style w:type="character" w:customStyle="1" w:styleId="90">
    <w:name w:val="标题 9 字符"/>
    <w:basedOn w:val="a0"/>
    <w:link w:val="9"/>
    <w:uiPriority w:val="9"/>
    <w:semiHidden/>
    <w:rsid w:val="00D910C2"/>
    <w:rPr>
      <w:rFonts w:eastAsiaTheme="majorEastAsia" w:cstheme="majorBidi"/>
      <w:color w:val="595959" w:themeColor="text1" w:themeTint="A6"/>
    </w:rPr>
  </w:style>
  <w:style w:type="paragraph" w:styleId="a3">
    <w:name w:val="Title"/>
    <w:basedOn w:val="a"/>
    <w:next w:val="a"/>
    <w:link w:val="a4"/>
    <w:uiPriority w:val="10"/>
    <w:qFormat/>
    <w:rsid w:val="00D910C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10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10C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10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10C2"/>
    <w:pPr>
      <w:spacing w:before="160"/>
      <w:jc w:val="center"/>
    </w:pPr>
    <w:rPr>
      <w:i/>
      <w:iCs/>
      <w:color w:val="404040" w:themeColor="text1" w:themeTint="BF"/>
    </w:rPr>
  </w:style>
  <w:style w:type="character" w:customStyle="1" w:styleId="a8">
    <w:name w:val="引用 字符"/>
    <w:basedOn w:val="a0"/>
    <w:link w:val="a7"/>
    <w:uiPriority w:val="29"/>
    <w:rsid w:val="00D910C2"/>
    <w:rPr>
      <w:i/>
      <w:iCs/>
      <w:color w:val="404040" w:themeColor="text1" w:themeTint="BF"/>
    </w:rPr>
  </w:style>
  <w:style w:type="paragraph" w:styleId="a9">
    <w:name w:val="List Paragraph"/>
    <w:basedOn w:val="a"/>
    <w:uiPriority w:val="34"/>
    <w:qFormat/>
    <w:rsid w:val="00D910C2"/>
    <w:pPr>
      <w:ind w:left="720"/>
      <w:contextualSpacing/>
    </w:pPr>
  </w:style>
  <w:style w:type="character" w:styleId="aa">
    <w:name w:val="Intense Emphasis"/>
    <w:basedOn w:val="a0"/>
    <w:uiPriority w:val="21"/>
    <w:qFormat/>
    <w:rsid w:val="00D910C2"/>
    <w:rPr>
      <w:i/>
      <w:iCs/>
      <w:color w:val="2F5496" w:themeColor="accent1" w:themeShade="BF"/>
    </w:rPr>
  </w:style>
  <w:style w:type="paragraph" w:styleId="ab">
    <w:name w:val="Intense Quote"/>
    <w:basedOn w:val="a"/>
    <w:next w:val="a"/>
    <w:link w:val="ac"/>
    <w:uiPriority w:val="30"/>
    <w:qFormat/>
    <w:rsid w:val="00D910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910C2"/>
    <w:rPr>
      <w:i/>
      <w:iCs/>
      <w:color w:val="2F5496" w:themeColor="accent1" w:themeShade="BF"/>
    </w:rPr>
  </w:style>
  <w:style w:type="character" w:styleId="ad">
    <w:name w:val="Intense Reference"/>
    <w:basedOn w:val="a0"/>
    <w:uiPriority w:val="32"/>
    <w:qFormat/>
    <w:rsid w:val="00D910C2"/>
    <w:rPr>
      <w:b/>
      <w:bCs/>
      <w:smallCaps/>
      <w:color w:val="2F5496" w:themeColor="accent1" w:themeShade="BF"/>
      <w:spacing w:val="5"/>
    </w:rPr>
  </w:style>
  <w:style w:type="paragraph" w:styleId="ae">
    <w:name w:val="header"/>
    <w:basedOn w:val="a"/>
    <w:link w:val="af"/>
    <w:uiPriority w:val="99"/>
    <w:unhideWhenUsed/>
    <w:rsid w:val="002F447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F447C"/>
    <w:rPr>
      <w:sz w:val="18"/>
      <w:szCs w:val="18"/>
      <w:lang w:val="en-GB"/>
    </w:rPr>
  </w:style>
  <w:style w:type="paragraph" w:styleId="af0">
    <w:name w:val="footer"/>
    <w:basedOn w:val="a"/>
    <w:link w:val="af1"/>
    <w:uiPriority w:val="99"/>
    <w:unhideWhenUsed/>
    <w:rsid w:val="002F447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F447C"/>
    <w:rPr>
      <w:sz w:val="18"/>
      <w:szCs w:val="18"/>
      <w:lang w:val="en-GB"/>
    </w:rPr>
  </w:style>
  <w:style w:type="table" w:styleId="af2">
    <w:name w:val="Table Grid"/>
    <w:basedOn w:val="a1"/>
    <w:uiPriority w:val="39"/>
    <w:rsid w:val="00B876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E35628"/>
    <w:rPr>
      <w:color w:val="0563C1" w:themeColor="hyperlink"/>
      <w:u w:val="single"/>
    </w:rPr>
  </w:style>
  <w:style w:type="character" w:styleId="af4">
    <w:name w:val="Unresolved Mention"/>
    <w:basedOn w:val="a0"/>
    <w:uiPriority w:val="99"/>
    <w:semiHidden/>
    <w:unhideWhenUsed/>
    <w:rsid w:val="00E35628"/>
    <w:rPr>
      <w:color w:val="605E5C"/>
      <w:shd w:val="clear" w:color="auto" w:fill="E1DFDD"/>
    </w:rPr>
  </w:style>
  <w:style w:type="paragraph" w:customStyle="1" w:styleId="11">
    <w:name w:val="样式1"/>
    <w:basedOn w:val="a"/>
    <w:link w:val="12"/>
    <w:qFormat/>
    <w:rsid w:val="0005165A"/>
    <w:pPr>
      <w:spacing w:line="240" w:lineRule="auto"/>
    </w:pPr>
    <w:rPr>
      <w:rFonts w:ascii="Times New Roman" w:hAnsi="Times New Roman" w:cs="Times New Roman"/>
      <w:b/>
      <w:bCs/>
      <w:sz w:val="28"/>
    </w:rPr>
  </w:style>
  <w:style w:type="character" w:customStyle="1" w:styleId="12">
    <w:name w:val="样式1 字符"/>
    <w:basedOn w:val="a0"/>
    <w:link w:val="11"/>
    <w:rsid w:val="0005165A"/>
    <w:rPr>
      <w:rFonts w:ascii="Times New Roman" w:hAnsi="Times New Roman" w:cs="Times New Roman"/>
      <w:b/>
      <w:bCs/>
      <w:sz w:val="28"/>
      <w:lang w:val="en-GB"/>
    </w:rPr>
  </w:style>
  <w:style w:type="paragraph" w:customStyle="1" w:styleId="21">
    <w:name w:val="样式2"/>
    <w:basedOn w:val="1"/>
    <w:link w:val="22"/>
    <w:qFormat/>
    <w:rsid w:val="0005165A"/>
    <w:rPr>
      <w:rFonts w:eastAsia="Times New Roman"/>
      <w:b/>
      <w:color w:val="000000" w:themeColor="text1"/>
      <w:sz w:val="28"/>
    </w:rPr>
  </w:style>
  <w:style w:type="character" w:customStyle="1" w:styleId="22">
    <w:name w:val="样式2 字符"/>
    <w:basedOn w:val="10"/>
    <w:link w:val="21"/>
    <w:rsid w:val="0005165A"/>
    <w:rPr>
      <w:rFonts w:asciiTheme="majorHAnsi" w:eastAsia="Times New Roman" w:hAnsiTheme="majorHAnsi" w:cstheme="majorBidi"/>
      <w:b/>
      <w:color w:val="000000" w:themeColor="text1"/>
      <w:sz w:val="28"/>
      <w:szCs w:val="48"/>
      <w:lang w:val="en-GB"/>
    </w:rPr>
  </w:style>
  <w:style w:type="paragraph" w:customStyle="1" w:styleId="31">
    <w:name w:val="样式3"/>
    <w:basedOn w:val="1"/>
    <w:next w:val="11"/>
    <w:link w:val="32"/>
    <w:qFormat/>
    <w:rsid w:val="0005165A"/>
    <w:rPr>
      <w:rFonts w:ascii="Times New Roman" w:eastAsia="Times New Roman" w:hAnsi="Times New Roman" w:cs="Times New Roman"/>
      <w:b/>
      <w:bCs/>
      <w:color w:val="000000" w:themeColor="text1"/>
      <w:sz w:val="28"/>
      <w:szCs w:val="28"/>
    </w:rPr>
  </w:style>
  <w:style w:type="character" w:customStyle="1" w:styleId="32">
    <w:name w:val="样式3 字符"/>
    <w:basedOn w:val="10"/>
    <w:link w:val="31"/>
    <w:rsid w:val="0005165A"/>
    <w:rPr>
      <w:rFonts w:ascii="Times New Roman" w:eastAsia="Times New Roman" w:hAnsi="Times New Roman" w:cs="Times New Roman"/>
      <w:b/>
      <w:bCs/>
      <w:color w:val="000000" w:themeColor="text1"/>
      <w:sz w:val="28"/>
      <w:szCs w:val="28"/>
      <w:lang w:val="en-GB"/>
    </w:rPr>
  </w:style>
  <w:style w:type="paragraph" w:styleId="TOC1">
    <w:name w:val="toc 1"/>
    <w:basedOn w:val="a"/>
    <w:next w:val="a"/>
    <w:autoRedefine/>
    <w:uiPriority w:val="39"/>
    <w:unhideWhenUsed/>
    <w:rsid w:val="00235171"/>
    <w:pPr>
      <w:tabs>
        <w:tab w:val="right" w:leader="dot" w:pos="9060"/>
      </w:tabs>
    </w:pPr>
    <w:rPr>
      <w:rFonts w:ascii="Times New Roman" w:hAnsi="Times New Roman" w:cs="Times New Roman"/>
      <w:noProof/>
      <w:sz w:val="24"/>
    </w:rPr>
  </w:style>
  <w:style w:type="paragraph" w:customStyle="1" w:styleId="41">
    <w:name w:val="样式4"/>
    <w:basedOn w:val="2"/>
    <w:next w:val="21"/>
    <w:link w:val="42"/>
    <w:qFormat/>
    <w:rsid w:val="0005165A"/>
    <w:rPr>
      <w:rFonts w:ascii="Times New Roman" w:eastAsia="Times New Roman" w:hAnsi="Times New Roman" w:cs="Times New Roman"/>
      <w:b/>
      <w:bCs/>
      <w:color w:val="auto"/>
      <w:sz w:val="24"/>
      <w:szCs w:val="24"/>
    </w:rPr>
  </w:style>
  <w:style w:type="character" w:customStyle="1" w:styleId="42">
    <w:name w:val="样式4 字符"/>
    <w:basedOn w:val="20"/>
    <w:link w:val="41"/>
    <w:rsid w:val="0005165A"/>
    <w:rPr>
      <w:rFonts w:ascii="Times New Roman" w:eastAsia="Times New Roman" w:hAnsi="Times New Roman" w:cs="Times New Roman"/>
      <w:b/>
      <w:bCs/>
      <w:color w:val="2F5496" w:themeColor="accent1" w:themeShade="BF"/>
      <w:sz w:val="24"/>
      <w:szCs w:val="40"/>
      <w:lang w:val="en-GB"/>
    </w:rPr>
  </w:style>
  <w:style w:type="paragraph" w:styleId="TOC2">
    <w:name w:val="toc 2"/>
    <w:basedOn w:val="a"/>
    <w:next w:val="a"/>
    <w:autoRedefine/>
    <w:uiPriority w:val="39"/>
    <w:unhideWhenUsed/>
    <w:rsid w:val="00235171"/>
    <w:pPr>
      <w:ind w:leftChars="200" w:left="420"/>
    </w:pPr>
  </w:style>
  <w:style w:type="character" w:styleId="af5">
    <w:name w:val="FollowedHyperlink"/>
    <w:basedOn w:val="a0"/>
    <w:uiPriority w:val="99"/>
    <w:semiHidden/>
    <w:unhideWhenUsed/>
    <w:rsid w:val="00FC552A"/>
    <w:rPr>
      <w:color w:val="954F72" w:themeColor="followedHyperlink"/>
      <w:u w:val="single"/>
    </w:rPr>
  </w:style>
  <w:style w:type="paragraph" w:styleId="af6">
    <w:name w:val="caption"/>
    <w:basedOn w:val="a"/>
    <w:next w:val="a"/>
    <w:uiPriority w:val="35"/>
    <w:unhideWhenUsed/>
    <w:qFormat/>
    <w:rsid w:val="004B5CE2"/>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lobalreporting.org/publications/documents/english/gri-405-diversity-and-equal-opportunity-2016/" TargetMode="External"/><Relationship Id="rId18" Type="http://schemas.openxmlformats.org/officeDocument/2006/relationships/hyperlink" Target="https://www.icaew.com/insights/viewpoints-on-the-news/2025/mar-2025/data-analytics-for-auditors-five-essentials" TargetMode="External"/><Relationship Id="rId26" Type="http://schemas.openxmlformats.org/officeDocument/2006/relationships/hyperlink" Target="https://www.iaasb.org/publications/international-standard-sustainability-assurance-5000-general-requirements-sustainability-assurance?utm_source=chatgpt.com" TargetMode="External"/><Relationship Id="rId21" Type="http://schemas.openxmlformats.org/officeDocument/2006/relationships/hyperlink" Target="https://www.ibr-ire.be/docs/default-source/nl/documents/regelgeving-en-publicaties/rechtsleer/normen-en-aanbevelingen/isa-s/isa-english-version/isa-320_en.pdf" TargetMode="External"/><Relationship Id="rId34" Type="http://schemas.openxmlformats.org/officeDocument/2006/relationships/hyperlink" Target="https://kpmg.com/xx/en/our-insights/ai-and-technology/all-eyes-on-ai-in-audit-2024.html" TargetMode="External"/><Relationship Id="rId7" Type="http://schemas.openxmlformats.org/officeDocument/2006/relationships/endnotes" Target="endnotes.xml"/><Relationship Id="rId12" Type="http://schemas.openxmlformats.org/officeDocument/2006/relationships/hyperlink" Target="https://www.globalreporting.org/publications/documents/english/gri-301-materials-2016/" TargetMode="External"/><Relationship Id="rId17" Type="http://schemas.openxmlformats.org/officeDocument/2006/relationships/hyperlink" Target="https://www.icaew.com/-/media/corporate/files/technical/technology/thought-leadership/blockchain-and-the-future-of-accountancy.ashx" TargetMode="External"/><Relationship Id="rId25" Type="http://schemas.openxmlformats.org/officeDocument/2006/relationships/hyperlink" Target="https://www.iaasb.org/publications/non-authoritative-guidance-applying-isae-3000-revised-sustainability-and-other-extended-external" TargetMode="External"/><Relationship Id="rId33" Type="http://schemas.openxmlformats.org/officeDocument/2006/relationships/hyperlink" Target="https://www.oecd.org/en/topics/sub-issues/ai-principles.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hgprotocol.org/corporate-standard" TargetMode="External"/><Relationship Id="rId20" Type="http://schemas.openxmlformats.org/officeDocument/2006/relationships/hyperlink" Target="https://www.ibr-ire.be/docs/default-source/nl/documents/regelgeving-en-publicaties/rechtsleer/normen-en-aanbevelingen/isa-s/isa-english-version/isa-500_en.pdf" TargetMode="External"/><Relationship Id="rId29" Type="http://schemas.openxmlformats.org/officeDocument/2006/relationships/hyperlink" Target="https://www.ifrs.org/content/dam/ifrs/publications/pdf-standards-issb/english/2023/issued/part-a/issb-2023-a-ifrs-s1-general-requirements-for-disclosure-of-sustainability-related-financial-information.pdf?bypas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frag.org/sites/default/files/media/document/2024-08/ESRS%201%20Delegated-act-2023-5303-annex-1_en.pdf" TargetMode="External"/><Relationship Id="rId24" Type="http://schemas.openxmlformats.org/officeDocument/2006/relationships/hyperlink" Target="https://www.iaasb.org/publications/non-authoritative-support-materials-using-automated-tools-techniques-performing-audit-procedures" TargetMode="External"/><Relationship Id="rId32" Type="http://schemas.openxmlformats.org/officeDocument/2006/relationships/hyperlink" Target="https://www.oecd.org/en/publications/oecd-due-diligence-guidance-for-responsible-business-conduct_15f5f4b3-en.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hgprotocol.org/corporate-value-chain-scope-3-standard" TargetMode="External"/><Relationship Id="rId23" Type="http://schemas.openxmlformats.org/officeDocument/2006/relationships/hyperlink" Target="https://www.ifac.org/system/files/publications/files/ISAE%203000%20Revised%20-%20for%20IAASB.pdf" TargetMode="External"/><Relationship Id="rId28" Type="http://schemas.openxmlformats.org/officeDocument/2006/relationships/hyperlink" Target="https://www.ifac.org/news-events/2025-03/ifac-enhances-international-education-standards-equip-professional-accountants-sustainability" TargetMode="External"/><Relationship Id="rId36" Type="http://schemas.openxmlformats.org/officeDocument/2006/relationships/footer" Target="footer1.xml"/><Relationship Id="rId10" Type="http://schemas.openxmlformats.org/officeDocument/2006/relationships/hyperlink" Target="https://www.cpacanada.ca/-/media/site/business-and-accounting-resources/docs/01529-rg-blockchain-technology-potential-impact-audit-assurance-profession-january-2018" TargetMode="External"/><Relationship Id="rId19" Type="http://schemas.openxmlformats.org/officeDocument/2006/relationships/hyperlink" Target="https://www.ibr-ire.be/docs/default-source/nl/documents/regelgeving-en-publicaties/rechtsleer/normen-en-aanbevelingen/isa-s/isa-english-version/isa-200_en.pdf" TargetMode="External"/><Relationship Id="rId31" Type="http://schemas.openxmlformats.org/officeDocument/2006/relationships/hyperlink" Target="https://nvlpubs.nist.gov/nistpubs/ai/nist.ai.100-1.pdf" TargetMode="External"/><Relationship Id="rId4" Type="http://schemas.openxmlformats.org/officeDocument/2006/relationships/settings" Target="settings.xml"/><Relationship Id="rId9" Type="http://schemas.openxmlformats.org/officeDocument/2006/relationships/hyperlink" Target="https://www.accaglobal.com/content/dam/ACCA_Global/professional-insights/sustainability-insurance/PI-SUSTAINABILITY-ASSURANCE%20v5.pdf" TargetMode="External"/><Relationship Id="rId14" Type="http://schemas.openxmlformats.org/officeDocument/2006/relationships/hyperlink" Target="https://www.globalreporting.org/pdf.ashx?id=12453" TargetMode="External"/><Relationship Id="rId22" Type="http://schemas.openxmlformats.org/officeDocument/2006/relationships/hyperlink" Target="https://www.iaasb.org/system/files/publications/files/B008%202013%20IAASB%20Handbook%20ISAE%203410.pdf" TargetMode="External"/><Relationship Id="rId27" Type="http://schemas.openxmlformats.org/officeDocument/2006/relationships/hyperlink" Target="https://www.ifac.org/knowledge-gateway/discussion/professional-skepticism-heart-audit" TargetMode="External"/><Relationship Id="rId30" Type="http://schemas.openxmlformats.org/officeDocument/2006/relationships/hyperlink" Target="https://nvlpubs.nist.gov/nistpubs/ir/2018/nist.ir.8202.pdf" TargetMode="External"/><Relationship Id="rId35" Type="http://schemas.openxmlformats.org/officeDocument/2006/relationships/header" Target="header1.xml"/><Relationship Id="rId8" Type="http://schemas.openxmlformats.org/officeDocument/2006/relationships/hyperlink" Target="https://www.accaglobal.com/content/dam/ACCA_Global/professional-insights/machine-learning/pi-machine-learning-report.pdf" TargetMode="Externa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FF683-D517-4C73-9E3E-CA00E9CED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1498</TotalTime>
  <Pages>20</Pages>
  <Words>4957</Words>
  <Characters>35000</Characters>
  <Application>Microsoft Office Word</Application>
  <DocSecurity>0</DocSecurity>
  <Lines>660</Lines>
  <Paragraphs>248</Paragraphs>
  <ScaleCrop>false</ScaleCrop>
  <Company/>
  <LinksUpToDate>false</LinksUpToDate>
  <CharactersWithSpaces>39709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YuZzD_ _</dc:creator>
  <cp:keywords/>
  <dc:description/>
  <cp:lastModifiedBy>YuZzD_ _</cp:lastModifiedBy>
  <cp:revision>176</cp:revision>
  <dcterms:created xsi:type="dcterms:W3CDTF">2026-05-15T16:18:00Z</dcterms:created>
  <dcterms:modified xsi:type="dcterms:W3CDTF">2026-06-10T17:25:00Z</dcterms:modified>
</cp:coreProperties>
</file>