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7B630" w14:textId="77777777" w:rsidR="009C6180" w:rsidRPr="000960C2" w:rsidRDefault="00000000">
      <w:pPr>
        <w:widowControl/>
        <w:spacing w:before="729" w:after="699" w:line="240" w:lineRule="auto"/>
        <w:contextualSpacing/>
        <w:jc w:val="center"/>
        <w:textAlignment w:val="baseline"/>
        <w:rPr>
          <w:rFonts w:ascii="Arial" w:eastAsia="Castellar" w:hAnsi="Arial" w:cs="Arial"/>
          <w:color w:val="000000"/>
          <w:spacing w:val="6"/>
          <w:kern w:val="0"/>
          <w:sz w:val="35"/>
          <w:szCs w:val="22"/>
          <w:lang w:eastAsia="en-US"/>
          <w14:ligatures w14:val="none"/>
        </w:rPr>
      </w:pPr>
      <w:r w:rsidRPr="000960C2">
        <w:rPr>
          <w:rFonts w:ascii="Arial" w:eastAsia="Castellar" w:hAnsi="Arial" w:cs="Arial"/>
          <w:color w:val="000000"/>
          <w:spacing w:val="6"/>
          <w:kern w:val="0"/>
          <w:sz w:val="35"/>
          <w:szCs w:val="22"/>
          <w:lang w:eastAsia="en-US"/>
          <w14:ligatures w14:val="none"/>
        </w:rPr>
        <w:t>COURSEWORK SUBMISSION COVER SHEET</w:t>
      </w:r>
    </w:p>
    <w:tbl>
      <w:tblPr>
        <w:tblpPr w:leftFromText="180" w:rightFromText="180" w:vertAnchor="text" w:horzAnchor="margin" w:tblpXSpec="center" w:tblpY="206"/>
        <w:tblW w:w="9064" w:type="dxa"/>
        <w:jc w:val="center"/>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87"/>
        <w:gridCol w:w="2616"/>
        <w:gridCol w:w="3961"/>
      </w:tblGrid>
      <w:tr w:rsidR="009C6180" w:rsidRPr="000960C2" w14:paraId="75E9F925" w14:textId="77777777">
        <w:trPr>
          <w:trHeight w:val="369"/>
          <w:jc w:val="center"/>
        </w:trPr>
        <w:tc>
          <w:tcPr>
            <w:tcW w:w="2487" w:type="dxa"/>
            <w:vAlign w:val="center"/>
          </w:tcPr>
          <w:p w14:paraId="715524DA" w14:textId="77777777" w:rsidR="009C6180" w:rsidRPr="000960C2" w:rsidRDefault="00000000">
            <w:pPr>
              <w:widowControl/>
              <w:spacing w:before="76" w:after="49" w:line="239" w:lineRule="exact"/>
              <w:ind w:left="115"/>
              <w:textAlignment w:val="baseline"/>
              <w:rPr>
                <w:rFonts w:ascii="Arial" w:eastAsia="Verdana" w:hAnsi="Arial" w:cs="Arial"/>
                <w:color w:val="000000"/>
                <w:kern w:val="0"/>
                <w:szCs w:val="22"/>
                <w:lang w:eastAsia="en-US"/>
                <w14:ligatures w14:val="none"/>
              </w:rPr>
            </w:pPr>
            <w:r w:rsidRPr="000960C2">
              <w:rPr>
                <w:rFonts w:ascii="Arial" w:eastAsia="Verdana" w:hAnsi="Arial" w:cs="Arial"/>
                <w:color w:val="000000"/>
                <w:kern w:val="0"/>
                <w:szCs w:val="22"/>
                <w:lang w:eastAsia="en-US"/>
                <w14:ligatures w14:val="none"/>
              </w:rPr>
              <w:t>Group number (as per the spreadsheet)</w:t>
            </w:r>
          </w:p>
        </w:tc>
        <w:tc>
          <w:tcPr>
            <w:tcW w:w="6577" w:type="dxa"/>
            <w:gridSpan w:val="2"/>
            <w:tcBorders>
              <w:bottom w:val="single" w:sz="4" w:space="0" w:color="auto"/>
            </w:tcBorders>
            <w:vAlign w:val="center"/>
          </w:tcPr>
          <w:p w14:paraId="6A73C218" w14:textId="77777777" w:rsidR="009C6180" w:rsidRPr="000960C2" w:rsidRDefault="00000000">
            <w:pPr>
              <w:widowControl/>
              <w:tabs>
                <w:tab w:val="left" w:pos="4752"/>
              </w:tabs>
              <w:spacing w:before="76" w:after="47" w:line="241" w:lineRule="exact"/>
              <w:ind w:right="1328" w:firstLineChars="50" w:firstLine="110"/>
              <w:textAlignment w:val="baseline"/>
              <w:rPr>
                <w:rFonts w:ascii="Arial" w:hAnsi="Arial" w:cs="Arial"/>
                <w:color w:val="000000"/>
                <w:kern w:val="0"/>
                <w:szCs w:val="22"/>
                <w14:ligatures w14:val="none"/>
              </w:rPr>
            </w:pPr>
            <w:r w:rsidRPr="000960C2">
              <w:rPr>
                <w:rFonts w:ascii="Arial" w:hAnsi="Arial" w:cs="Arial" w:hint="eastAsia"/>
                <w:color w:val="000000"/>
                <w:kern w:val="0"/>
                <w:szCs w:val="22"/>
                <w14:ligatures w14:val="none"/>
              </w:rPr>
              <w:t>13</w:t>
            </w:r>
          </w:p>
        </w:tc>
      </w:tr>
      <w:tr w:rsidR="009C6180" w:rsidRPr="000960C2" w14:paraId="79F62237" w14:textId="77777777">
        <w:trPr>
          <w:trHeight w:val="369"/>
          <w:jc w:val="center"/>
        </w:trPr>
        <w:tc>
          <w:tcPr>
            <w:tcW w:w="2487" w:type="dxa"/>
            <w:vMerge w:val="restart"/>
            <w:vAlign w:val="center"/>
          </w:tcPr>
          <w:p w14:paraId="2C07E5E5" w14:textId="77777777" w:rsidR="009C6180" w:rsidRPr="000960C2" w:rsidRDefault="00000000">
            <w:pPr>
              <w:widowControl/>
              <w:spacing w:before="76" w:after="50" w:line="239" w:lineRule="exact"/>
              <w:ind w:left="115"/>
              <w:textAlignment w:val="baseline"/>
              <w:rPr>
                <w:rFonts w:ascii="Arial" w:eastAsia="Verdana" w:hAnsi="Arial" w:cs="Arial"/>
                <w:color w:val="000000"/>
                <w:kern w:val="0"/>
                <w:szCs w:val="22"/>
                <w:lang w:eastAsia="en-US"/>
                <w14:ligatures w14:val="none"/>
              </w:rPr>
            </w:pPr>
            <w:r w:rsidRPr="000960C2">
              <w:rPr>
                <w:rFonts w:ascii="Arial" w:eastAsia="Verdana" w:hAnsi="Arial" w:cs="Arial"/>
                <w:color w:val="000000"/>
                <w:kern w:val="0"/>
                <w:szCs w:val="22"/>
                <w:lang w:eastAsia="en-US"/>
                <w14:ligatures w14:val="none"/>
              </w:rPr>
              <w:t xml:space="preserve">Group members </w:t>
            </w:r>
          </w:p>
        </w:tc>
        <w:tc>
          <w:tcPr>
            <w:tcW w:w="2616" w:type="dxa"/>
            <w:tcBorders>
              <w:top w:val="single" w:sz="4" w:space="0" w:color="auto"/>
              <w:bottom w:val="single" w:sz="4" w:space="0" w:color="auto"/>
            </w:tcBorders>
            <w:shd w:val="clear" w:color="auto" w:fill="9CC2E5" w:themeFill="accent5" w:themeFillTint="99"/>
            <w:vAlign w:val="center"/>
          </w:tcPr>
          <w:p w14:paraId="460B59EF" w14:textId="77777777" w:rsidR="009C6180" w:rsidRPr="000960C2" w:rsidRDefault="00000000">
            <w:pPr>
              <w:widowControl/>
              <w:tabs>
                <w:tab w:val="left" w:pos="4752"/>
              </w:tabs>
              <w:spacing w:before="76" w:after="47" w:line="241" w:lineRule="exact"/>
              <w:ind w:right="1328"/>
              <w:jc w:val="center"/>
              <w:textAlignment w:val="baseline"/>
              <w:rPr>
                <w:rFonts w:ascii="Arial" w:eastAsia="Verdana" w:hAnsi="Arial" w:cs="Arial"/>
                <w:color w:val="000000"/>
                <w:kern w:val="0"/>
                <w:szCs w:val="22"/>
                <w:lang w:eastAsia="en-US"/>
                <w14:ligatures w14:val="none"/>
              </w:rPr>
            </w:pPr>
            <w:r w:rsidRPr="000960C2">
              <w:rPr>
                <w:rFonts w:ascii="Arial" w:eastAsia="Verdana" w:hAnsi="Arial" w:cs="Arial"/>
                <w:color w:val="000000"/>
                <w:kern w:val="0"/>
                <w:szCs w:val="22"/>
                <w:lang w:eastAsia="en-US"/>
                <w14:ligatures w14:val="none"/>
              </w:rPr>
              <w:t>Student ID</w:t>
            </w:r>
          </w:p>
        </w:tc>
        <w:tc>
          <w:tcPr>
            <w:tcW w:w="3961" w:type="dxa"/>
            <w:tcBorders>
              <w:top w:val="single" w:sz="4" w:space="0" w:color="auto"/>
              <w:bottom w:val="single" w:sz="4" w:space="0" w:color="auto"/>
            </w:tcBorders>
            <w:shd w:val="clear" w:color="auto" w:fill="9CC2E5" w:themeFill="accent5" w:themeFillTint="99"/>
            <w:vAlign w:val="center"/>
          </w:tcPr>
          <w:p w14:paraId="3C85F433" w14:textId="77777777" w:rsidR="009C6180" w:rsidRPr="000960C2" w:rsidRDefault="00000000">
            <w:pPr>
              <w:widowControl/>
              <w:tabs>
                <w:tab w:val="left" w:pos="4752"/>
              </w:tabs>
              <w:spacing w:before="76" w:after="47" w:line="241" w:lineRule="exact"/>
              <w:ind w:right="1328"/>
              <w:textAlignment w:val="baseline"/>
              <w:rPr>
                <w:rFonts w:ascii="Arial" w:hAnsi="Arial" w:cs="Arial"/>
                <w:color w:val="000000"/>
                <w:kern w:val="0"/>
                <w:szCs w:val="22"/>
                <w14:ligatures w14:val="none"/>
              </w:rPr>
            </w:pPr>
            <w:r w:rsidRPr="000960C2">
              <w:rPr>
                <w:rFonts w:ascii="Arial" w:hAnsi="Arial" w:cs="Arial"/>
                <w:color w:val="000000"/>
                <w:kern w:val="0"/>
                <w:szCs w:val="22"/>
                <w14:ligatures w14:val="none"/>
              </w:rPr>
              <w:t xml:space="preserve">   Name</w:t>
            </w:r>
          </w:p>
        </w:tc>
      </w:tr>
      <w:tr w:rsidR="009C6180" w:rsidRPr="000960C2" w14:paraId="779B60A5" w14:textId="77777777">
        <w:trPr>
          <w:trHeight w:val="369"/>
          <w:jc w:val="center"/>
        </w:trPr>
        <w:tc>
          <w:tcPr>
            <w:tcW w:w="2487" w:type="dxa"/>
            <w:vMerge/>
            <w:vAlign w:val="center"/>
          </w:tcPr>
          <w:p w14:paraId="728B8213" w14:textId="77777777" w:rsidR="009C6180" w:rsidRPr="000960C2" w:rsidRDefault="009C6180">
            <w:pPr>
              <w:widowControl/>
              <w:spacing w:before="76" w:after="50" w:line="239" w:lineRule="exact"/>
              <w:ind w:left="115"/>
              <w:textAlignment w:val="baseline"/>
              <w:rPr>
                <w:rFonts w:ascii="Arial" w:eastAsia="Verdana" w:hAnsi="Arial" w:cs="Arial"/>
                <w:color w:val="000000"/>
                <w:kern w:val="0"/>
                <w:szCs w:val="22"/>
                <w:lang w:eastAsia="en-US"/>
                <w14:ligatures w14:val="none"/>
              </w:rPr>
            </w:pPr>
          </w:p>
        </w:tc>
        <w:tc>
          <w:tcPr>
            <w:tcW w:w="2616" w:type="dxa"/>
            <w:tcBorders>
              <w:top w:val="single" w:sz="4" w:space="0" w:color="auto"/>
            </w:tcBorders>
            <w:vAlign w:val="center"/>
          </w:tcPr>
          <w:p w14:paraId="6D0A1AE5" w14:textId="77777777" w:rsidR="009C6180" w:rsidRPr="000960C2" w:rsidRDefault="00000000">
            <w:pPr>
              <w:widowControl/>
              <w:tabs>
                <w:tab w:val="left" w:pos="4752"/>
              </w:tabs>
              <w:spacing w:before="76" w:after="47" w:line="241" w:lineRule="exact"/>
              <w:ind w:right="1328" w:firstLineChars="50" w:firstLine="110"/>
              <w:textAlignment w:val="baseline"/>
              <w:rPr>
                <w:rFonts w:ascii="Arial" w:hAnsi="Arial" w:cs="Arial"/>
                <w:color w:val="000000"/>
                <w:kern w:val="0"/>
                <w:szCs w:val="22"/>
                <w14:ligatures w14:val="none"/>
              </w:rPr>
            </w:pPr>
            <w:r w:rsidRPr="000960C2">
              <w:rPr>
                <w:rFonts w:ascii="Arial" w:hAnsi="Arial" w:cs="Arial"/>
                <w:color w:val="000000"/>
                <w:kern w:val="0"/>
                <w:szCs w:val="22"/>
                <w14:ligatures w14:val="none"/>
              </w:rPr>
              <w:t>2253303</w:t>
            </w:r>
          </w:p>
        </w:tc>
        <w:tc>
          <w:tcPr>
            <w:tcW w:w="3961" w:type="dxa"/>
            <w:tcBorders>
              <w:top w:val="single" w:sz="4" w:space="0" w:color="auto"/>
            </w:tcBorders>
            <w:vAlign w:val="center"/>
          </w:tcPr>
          <w:p w14:paraId="37B6B71B" w14:textId="77777777" w:rsidR="009C6180" w:rsidRPr="000960C2" w:rsidRDefault="00000000">
            <w:pPr>
              <w:widowControl/>
              <w:tabs>
                <w:tab w:val="left" w:pos="4752"/>
              </w:tabs>
              <w:spacing w:before="76" w:after="47" w:line="241" w:lineRule="exact"/>
              <w:ind w:right="1328" w:firstLineChars="50" w:firstLine="110"/>
              <w:textAlignment w:val="baseline"/>
              <w:rPr>
                <w:rFonts w:ascii="Arial" w:hAnsi="Arial" w:cs="Arial"/>
                <w:color w:val="000000"/>
                <w:kern w:val="0"/>
                <w:szCs w:val="22"/>
                <w14:ligatures w14:val="none"/>
              </w:rPr>
            </w:pPr>
            <w:r w:rsidRPr="000960C2">
              <w:rPr>
                <w:rFonts w:ascii="Arial" w:hAnsi="Arial" w:cs="Arial"/>
                <w:color w:val="000000"/>
                <w:kern w:val="0"/>
                <w:szCs w:val="22"/>
                <w14:ligatures w14:val="none"/>
              </w:rPr>
              <w:t>Ying Huang</w:t>
            </w:r>
          </w:p>
        </w:tc>
      </w:tr>
      <w:tr w:rsidR="009C6180" w:rsidRPr="000960C2" w14:paraId="1E5DD401" w14:textId="77777777">
        <w:trPr>
          <w:trHeight w:val="369"/>
          <w:jc w:val="center"/>
        </w:trPr>
        <w:tc>
          <w:tcPr>
            <w:tcW w:w="2487" w:type="dxa"/>
            <w:vMerge/>
            <w:vAlign w:val="center"/>
          </w:tcPr>
          <w:p w14:paraId="1ED791FB" w14:textId="77777777" w:rsidR="009C6180" w:rsidRPr="000960C2" w:rsidRDefault="009C6180">
            <w:pPr>
              <w:widowControl/>
              <w:spacing w:before="76" w:after="50" w:line="239" w:lineRule="exact"/>
              <w:ind w:left="115"/>
              <w:textAlignment w:val="baseline"/>
              <w:rPr>
                <w:rFonts w:ascii="Arial" w:eastAsia="Verdana" w:hAnsi="Arial" w:cs="Arial"/>
                <w:color w:val="000000"/>
                <w:kern w:val="0"/>
                <w:szCs w:val="22"/>
                <w:lang w:eastAsia="en-US"/>
                <w14:ligatures w14:val="none"/>
              </w:rPr>
            </w:pPr>
          </w:p>
        </w:tc>
        <w:tc>
          <w:tcPr>
            <w:tcW w:w="2616" w:type="dxa"/>
            <w:vAlign w:val="center"/>
          </w:tcPr>
          <w:p w14:paraId="4F07FD5C" w14:textId="77777777" w:rsidR="009C6180" w:rsidRPr="000960C2" w:rsidRDefault="00000000">
            <w:pPr>
              <w:widowControl/>
              <w:tabs>
                <w:tab w:val="left" w:pos="4752"/>
              </w:tabs>
              <w:spacing w:before="76" w:after="47" w:line="241" w:lineRule="exact"/>
              <w:ind w:right="1328" w:firstLineChars="50" w:firstLine="110"/>
              <w:textAlignment w:val="baseline"/>
              <w:rPr>
                <w:rFonts w:ascii="Arial" w:hAnsi="Arial" w:cs="Arial"/>
                <w:color w:val="000000"/>
                <w:kern w:val="0"/>
                <w:szCs w:val="22"/>
                <w14:ligatures w14:val="none"/>
              </w:rPr>
            </w:pPr>
            <w:r w:rsidRPr="000960C2">
              <w:rPr>
                <w:rFonts w:ascii="Arial" w:hAnsi="Arial" w:cs="Arial"/>
                <w:color w:val="000000"/>
                <w:kern w:val="0"/>
                <w:szCs w:val="22"/>
                <w14:ligatures w14:val="none"/>
              </w:rPr>
              <w:t>2253335</w:t>
            </w:r>
          </w:p>
        </w:tc>
        <w:tc>
          <w:tcPr>
            <w:tcW w:w="3961" w:type="dxa"/>
            <w:vAlign w:val="center"/>
          </w:tcPr>
          <w:p w14:paraId="008F8E96" w14:textId="77777777" w:rsidR="009C6180" w:rsidRPr="000960C2" w:rsidRDefault="00000000">
            <w:pPr>
              <w:widowControl/>
              <w:tabs>
                <w:tab w:val="left" w:pos="4752"/>
              </w:tabs>
              <w:spacing w:before="76" w:after="47" w:line="241" w:lineRule="exact"/>
              <w:ind w:right="1328" w:firstLineChars="50" w:firstLine="110"/>
              <w:textAlignment w:val="baseline"/>
              <w:rPr>
                <w:rFonts w:ascii="Arial" w:hAnsi="Arial" w:cs="Arial"/>
                <w:color w:val="000000"/>
                <w:kern w:val="0"/>
                <w:szCs w:val="22"/>
                <w14:ligatures w14:val="none"/>
              </w:rPr>
            </w:pPr>
            <w:r w:rsidRPr="000960C2">
              <w:rPr>
                <w:rFonts w:ascii="Arial" w:hAnsi="Arial" w:cs="Arial"/>
                <w:color w:val="000000"/>
                <w:kern w:val="0"/>
                <w:szCs w:val="22"/>
                <w14:ligatures w14:val="none"/>
              </w:rPr>
              <w:t>Zihan Zhou</w:t>
            </w:r>
          </w:p>
        </w:tc>
      </w:tr>
      <w:tr w:rsidR="009C6180" w:rsidRPr="000960C2" w14:paraId="09669B5A" w14:textId="77777777">
        <w:trPr>
          <w:trHeight w:val="369"/>
          <w:jc w:val="center"/>
        </w:trPr>
        <w:tc>
          <w:tcPr>
            <w:tcW w:w="2487" w:type="dxa"/>
            <w:vMerge/>
            <w:vAlign w:val="center"/>
          </w:tcPr>
          <w:p w14:paraId="109AF718" w14:textId="77777777" w:rsidR="009C6180" w:rsidRPr="000960C2" w:rsidRDefault="009C6180">
            <w:pPr>
              <w:widowControl/>
              <w:spacing w:before="76" w:after="50" w:line="239" w:lineRule="exact"/>
              <w:ind w:left="115"/>
              <w:textAlignment w:val="baseline"/>
              <w:rPr>
                <w:rFonts w:ascii="Arial" w:eastAsia="Verdana" w:hAnsi="Arial" w:cs="Arial"/>
                <w:color w:val="000000"/>
                <w:kern w:val="0"/>
                <w:szCs w:val="22"/>
                <w:lang w:eastAsia="en-US"/>
                <w14:ligatures w14:val="none"/>
              </w:rPr>
            </w:pPr>
          </w:p>
        </w:tc>
        <w:tc>
          <w:tcPr>
            <w:tcW w:w="2616" w:type="dxa"/>
            <w:vAlign w:val="center"/>
          </w:tcPr>
          <w:p w14:paraId="240612B3" w14:textId="77777777" w:rsidR="009C6180" w:rsidRPr="000960C2" w:rsidRDefault="00000000">
            <w:pPr>
              <w:widowControl/>
              <w:tabs>
                <w:tab w:val="left" w:pos="4752"/>
              </w:tabs>
              <w:spacing w:before="76" w:after="47" w:line="241" w:lineRule="exact"/>
              <w:ind w:right="1328" w:firstLineChars="50" w:firstLine="110"/>
              <w:textAlignment w:val="baseline"/>
              <w:rPr>
                <w:rFonts w:ascii="Arial" w:hAnsi="Arial" w:cs="Arial"/>
                <w:color w:val="000000"/>
                <w:kern w:val="0"/>
                <w:szCs w:val="22"/>
                <w14:ligatures w14:val="none"/>
              </w:rPr>
            </w:pPr>
            <w:r w:rsidRPr="000960C2">
              <w:rPr>
                <w:rFonts w:ascii="Arial" w:hAnsi="Arial" w:cs="Arial"/>
                <w:color w:val="000000"/>
                <w:kern w:val="0"/>
                <w:szCs w:val="22"/>
                <w14:ligatures w14:val="none"/>
              </w:rPr>
              <w:t>2253336</w:t>
            </w:r>
          </w:p>
        </w:tc>
        <w:tc>
          <w:tcPr>
            <w:tcW w:w="3961" w:type="dxa"/>
            <w:vAlign w:val="center"/>
          </w:tcPr>
          <w:p w14:paraId="180816FD" w14:textId="77777777" w:rsidR="009C6180" w:rsidRPr="000960C2" w:rsidRDefault="00000000">
            <w:pPr>
              <w:widowControl/>
              <w:tabs>
                <w:tab w:val="left" w:pos="4752"/>
              </w:tabs>
              <w:spacing w:before="76" w:after="47" w:line="241" w:lineRule="exact"/>
              <w:ind w:right="1328" w:firstLineChars="50" w:firstLine="110"/>
              <w:textAlignment w:val="baseline"/>
              <w:rPr>
                <w:rFonts w:ascii="Arial" w:hAnsi="Arial" w:cs="Arial"/>
                <w:color w:val="000000"/>
                <w:kern w:val="0"/>
                <w:szCs w:val="22"/>
                <w14:ligatures w14:val="none"/>
              </w:rPr>
            </w:pPr>
            <w:r w:rsidRPr="000960C2">
              <w:rPr>
                <w:rFonts w:ascii="Arial" w:hAnsi="Arial" w:cs="Arial"/>
                <w:color w:val="000000"/>
                <w:kern w:val="0"/>
                <w:szCs w:val="22"/>
                <w14:ligatures w14:val="none"/>
              </w:rPr>
              <w:t>Jingwei Liu</w:t>
            </w:r>
          </w:p>
        </w:tc>
      </w:tr>
      <w:tr w:rsidR="009C6180" w:rsidRPr="000960C2" w14:paraId="782F03C5" w14:textId="77777777">
        <w:trPr>
          <w:trHeight w:val="369"/>
          <w:jc w:val="center"/>
        </w:trPr>
        <w:tc>
          <w:tcPr>
            <w:tcW w:w="2487" w:type="dxa"/>
            <w:vMerge/>
            <w:vAlign w:val="center"/>
          </w:tcPr>
          <w:p w14:paraId="406286B4" w14:textId="77777777" w:rsidR="009C6180" w:rsidRPr="000960C2" w:rsidRDefault="009C6180">
            <w:pPr>
              <w:widowControl/>
              <w:spacing w:before="76" w:after="50" w:line="239" w:lineRule="exact"/>
              <w:ind w:left="115"/>
              <w:textAlignment w:val="baseline"/>
              <w:rPr>
                <w:rFonts w:ascii="Arial" w:eastAsia="Verdana" w:hAnsi="Arial" w:cs="Arial"/>
                <w:color w:val="000000"/>
                <w:kern w:val="0"/>
                <w:szCs w:val="22"/>
                <w:lang w:eastAsia="en-US"/>
                <w14:ligatures w14:val="none"/>
              </w:rPr>
            </w:pPr>
          </w:p>
        </w:tc>
        <w:tc>
          <w:tcPr>
            <w:tcW w:w="2616" w:type="dxa"/>
            <w:vAlign w:val="center"/>
          </w:tcPr>
          <w:p w14:paraId="1ED66FA9" w14:textId="77777777" w:rsidR="009C6180" w:rsidRPr="000960C2" w:rsidRDefault="00000000">
            <w:pPr>
              <w:widowControl/>
              <w:tabs>
                <w:tab w:val="left" w:pos="4752"/>
              </w:tabs>
              <w:spacing w:before="76" w:after="47" w:line="241" w:lineRule="exact"/>
              <w:ind w:right="1328" w:firstLineChars="50" w:firstLine="110"/>
              <w:textAlignment w:val="baseline"/>
              <w:rPr>
                <w:rFonts w:ascii="Arial" w:hAnsi="Arial" w:cs="Arial"/>
                <w:color w:val="000000"/>
                <w:kern w:val="0"/>
                <w:szCs w:val="22"/>
                <w14:ligatures w14:val="none"/>
              </w:rPr>
            </w:pPr>
            <w:r w:rsidRPr="000960C2">
              <w:rPr>
                <w:rFonts w:ascii="Arial" w:hAnsi="Arial" w:cs="Arial"/>
                <w:color w:val="000000"/>
                <w:kern w:val="0"/>
                <w:szCs w:val="22"/>
                <w14:ligatures w14:val="none"/>
              </w:rPr>
              <w:t>2257491</w:t>
            </w:r>
          </w:p>
        </w:tc>
        <w:tc>
          <w:tcPr>
            <w:tcW w:w="3961" w:type="dxa"/>
            <w:vAlign w:val="center"/>
          </w:tcPr>
          <w:p w14:paraId="23867479" w14:textId="77777777" w:rsidR="009C6180" w:rsidRPr="000960C2" w:rsidRDefault="00000000">
            <w:pPr>
              <w:widowControl/>
              <w:tabs>
                <w:tab w:val="left" w:pos="4752"/>
              </w:tabs>
              <w:spacing w:before="76" w:after="47" w:line="241" w:lineRule="exact"/>
              <w:ind w:right="1328" w:firstLineChars="50" w:firstLine="110"/>
              <w:textAlignment w:val="baseline"/>
              <w:rPr>
                <w:rFonts w:ascii="Arial" w:hAnsi="Arial" w:cs="Arial"/>
                <w:color w:val="000000"/>
                <w:kern w:val="0"/>
                <w:szCs w:val="22"/>
                <w14:ligatures w14:val="none"/>
              </w:rPr>
            </w:pPr>
            <w:proofErr w:type="spellStart"/>
            <w:r w:rsidRPr="000960C2">
              <w:rPr>
                <w:rFonts w:ascii="Arial" w:hAnsi="Arial" w:cs="Arial"/>
                <w:color w:val="000000"/>
                <w:kern w:val="0"/>
                <w:szCs w:val="22"/>
                <w14:ligatures w14:val="none"/>
              </w:rPr>
              <w:t>Qirong</w:t>
            </w:r>
            <w:proofErr w:type="spellEnd"/>
            <w:r w:rsidRPr="000960C2">
              <w:rPr>
                <w:rFonts w:ascii="Arial" w:hAnsi="Arial" w:cs="Arial"/>
                <w:color w:val="000000"/>
                <w:kern w:val="0"/>
                <w:szCs w:val="22"/>
                <w14:ligatures w14:val="none"/>
              </w:rPr>
              <w:t xml:space="preserve"> Fan</w:t>
            </w:r>
          </w:p>
        </w:tc>
      </w:tr>
      <w:tr w:rsidR="009C6180" w:rsidRPr="000960C2" w14:paraId="73970EBF" w14:textId="77777777">
        <w:trPr>
          <w:trHeight w:val="369"/>
          <w:jc w:val="center"/>
        </w:trPr>
        <w:tc>
          <w:tcPr>
            <w:tcW w:w="2487" w:type="dxa"/>
            <w:vAlign w:val="center"/>
          </w:tcPr>
          <w:p w14:paraId="3EB09726" w14:textId="77777777" w:rsidR="009C6180" w:rsidRPr="000960C2" w:rsidRDefault="00000000">
            <w:pPr>
              <w:widowControl/>
              <w:spacing w:before="76" w:after="49" w:line="239" w:lineRule="exact"/>
              <w:ind w:left="115"/>
              <w:textAlignment w:val="baseline"/>
              <w:rPr>
                <w:rFonts w:ascii="Arial" w:eastAsia="Verdana" w:hAnsi="Arial" w:cs="Arial"/>
                <w:color w:val="000000"/>
                <w:kern w:val="0"/>
                <w:szCs w:val="22"/>
                <w:lang w:eastAsia="en-US"/>
                <w14:ligatures w14:val="none"/>
              </w:rPr>
            </w:pPr>
            <w:r w:rsidRPr="000960C2">
              <w:rPr>
                <w:rFonts w:ascii="Arial" w:eastAsia="Verdana" w:hAnsi="Arial" w:cs="Arial"/>
                <w:color w:val="000000"/>
                <w:kern w:val="0"/>
                <w:szCs w:val="22"/>
                <w:lang w:eastAsia="en-US"/>
                <w14:ligatures w14:val="none"/>
              </w:rPr>
              <w:t>Program</w:t>
            </w:r>
          </w:p>
        </w:tc>
        <w:tc>
          <w:tcPr>
            <w:tcW w:w="6577" w:type="dxa"/>
            <w:gridSpan w:val="2"/>
            <w:vAlign w:val="center"/>
          </w:tcPr>
          <w:p w14:paraId="17A36CF1" w14:textId="77777777" w:rsidR="009C6180" w:rsidRPr="000960C2" w:rsidRDefault="00000000">
            <w:pPr>
              <w:widowControl/>
              <w:tabs>
                <w:tab w:val="left" w:pos="4752"/>
              </w:tabs>
              <w:spacing w:before="76" w:after="47" w:line="241" w:lineRule="exact"/>
              <w:ind w:right="1328" w:firstLineChars="50" w:firstLine="110"/>
              <w:textAlignment w:val="baseline"/>
              <w:rPr>
                <w:rFonts w:ascii="Arial" w:hAnsi="Arial" w:cs="Arial"/>
                <w:color w:val="000000"/>
                <w:kern w:val="0"/>
                <w:szCs w:val="22"/>
                <w14:ligatures w14:val="none"/>
              </w:rPr>
            </w:pPr>
            <w:r w:rsidRPr="000960C2">
              <w:rPr>
                <w:rFonts w:ascii="Arial" w:hAnsi="Arial" w:cs="Arial"/>
                <w:color w:val="000000"/>
                <w:kern w:val="0"/>
                <w:szCs w:val="22"/>
                <w14:ligatures w14:val="none"/>
              </w:rPr>
              <w:t>Accounting</w:t>
            </w:r>
          </w:p>
        </w:tc>
      </w:tr>
      <w:tr w:rsidR="009C6180" w:rsidRPr="000960C2" w14:paraId="76F10945" w14:textId="77777777">
        <w:trPr>
          <w:trHeight w:val="369"/>
          <w:jc w:val="center"/>
        </w:trPr>
        <w:tc>
          <w:tcPr>
            <w:tcW w:w="2487" w:type="dxa"/>
            <w:vAlign w:val="center"/>
          </w:tcPr>
          <w:p w14:paraId="051DB43F" w14:textId="77777777" w:rsidR="009C6180" w:rsidRPr="000960C2" w:rsidRDefault="00000000">
            <w:pPr>
              <w:widowControl/>
              <w:spacing w:before="71" w:after="55" w:line="239" w:lineRule="exact"/>
              <w:ind w:left="115"/>
              <w:textAlignment w:val="baseline"/>
              <w:rPr>
                <w:rFonts w:ascii="Arial" w:eastAsia="Verdana" w:hAnsi="Arial" w:cs="Arial"/>
                <w:color w:val="000000"/>
                <w:kern w:val="0"/>
                <w:szCs w:val="22"/>
                <w:lang w:eastAsia="en-US"/>
                <w14:ligatures w14:val="none"/>
              </w:rPr>
            </w:pPr>
            <w:r w:rsidRPr="000960C2">
              <w:rPr>
                <w:rFonts w:ascii="Arial" w:eastAsia="Verdana" w:hAnsi="Arial" w:cs="Arial"/>
                <w:color w:val="000000"/>
                <w:kern w:val="0"/>
                <w:szCs w:val="22"/>
                <w:lang w:eastAsia="en-US"/>
                <w14:ligatures w14:val="none"/>
              </w:rPr>
              <w:t>Module Title</w:t>
            </w:r>
          </w:p>
        </w:tc>
        <w:tc>
          <w:tcPr>
            <w:tcW w:w="6577" w:type="dxa"/>
            <w:gridSpan w:val="2"/>
            <w:vAlign w:val="center"/>
          </w:tcPr>
          <w:p w14:paraId="5F9875EE" w14:textId="77777777" w:rsidR="009C6180" w:rsidRPr="000960C2" w:rsidRDefault="00000000">
            <w:pPr>
              <w:widowControl/>
              <w:tabs>
                <w:tab w:val="left" w:pos="4752"/>
              </w:tabs>
              <w:spacing w:before="76" w:after="47" w:line="241" w:lineRule="exact"/>
              <w:ind w:right="1328" w:firstLineChars="50" w:firstLine="110"/>
              <w:textAlignment w:val="baseline"/>
              <w:rPr>
                <w:rFonts w:ascii="Arial" w:hAnsi="Arial" w:cs="Arial"/>
                <w:color w:val="000000"/>
                <w:kern w:val="0"/>
                <w:szCs w:val="22"/>
                <w14:ligatures w14:val="none"/>
              </w:rPr>
            </w:pPr>
            <w:r w:rsidRPr="000960C2">
              <w:rPr>
                <w:rFonts w:ascii="Arial" w:hAnsi="Arial" w:cs="Arial"/>
                <w:color w:val="000000"/>
                <w:kern w:val="0"/>
                <w:szCs w:val="22"/>
                <w14:ligatures w14:val="none"/>
              </w:rPr>
              <w:t>Advanced Management Accounting</w:t>
            </w:r>
          </w:p>
        </w:tc>
      </w:tr>
      <w:tr w:rsidR="009C6180" w:rsidRPr="000960C2" w14:paraId="1E4CF8B9" w14:textId="77777777">
        <w:trPr>
          <w:trHeight w:val="369"/>
          <w:jc w:val="center"/>
        </w:trPr>
        <w:tc>
          <w:tcPr>
            <w:tcW w:w="2487" w:type="dxa"/>
            <w:vAlign w:val="center"/>
          </w:tcPr>
          <w:p w14:paraId="17FD85CB" w14:textId="77777777" w:rsidR="009C6180" w:rsidRPr="000960C2" w:rsidRDefault="00000000">
            <w:pPr>
              <w:widowControl/>
              <w:spacing w:before="76" w:after="54" w:line="239" w:lineRule="exact"/>
              <w:ind w:left="115"/>
              <w:textAlignment w:val="baseline"/>
              <w:rPr>
                <w:rFonts w:ascii="Arial" w:eastAsia="Verdana" w:hAnsi="Arial" w:cs="Arial"/>
                <w:color w:val="000000"/>
                <w:kern w:val="0"/>
                <w:szCs w:val="22"/>
                <w:lang w:eastAsia="en-US"/>
                <w14:ligatures w14:val="none"/>
              </w:rPr>
            </w:pPr>
            <w:r w:rsidRPr="000960C2">
              <w:rPr>
                <w:rFonts w:ascii="Arial" w:eastAsia="Verdana" w:hAnsi="Arial" w:cs="Arial"/>
                <w:color w:val="000000"/>
                <w:kern w:val="0"/>
                <w:szCs w:val="22"/>
                <w:lang w:eastAsia="en-US"/>
                <w14:ligatures w14:val="none"/>
              </w:rPr>
              <w:t>Module Code</w:t>
            </w:r>
          </w:p>
        </w:tc>
        <w:tc>
          <w:tcPr>
            <w:tcW w:w="6577" w:type="dxa"/>
            <w:gridSpan w:val="2"/>
            <w:vAlign w:val="center"/>
          </w:tcPr>
          <w:p w14:paraId="74027B9C" w14:textId="77777777" w:rsidR="009C6180" w:rsidRPr="000960C2" w:rsidRDefault="00000000">
            <w:pPr>
              <w:widowControl/>
              <w:tabs>
                <w:tab w:val="left" w:pos="4752"/>
              </w:tabs>
              <w:spacing w:before="76" w:after="47" w:line="241" w:lineRule="exact"/>
              <w:ind w:right="1328" w:firstLineChars="50" w:firstLine="110"/>
              <w:textAlignment w:val="baseline"/>
              <w:rPr>
                <w:rFonts w:ascii="Arial" w:hAnsi="Arial" w:cs="Arial"/>
                <w:color w:val="000000"/>
                <w:kern w:val="0"/>
                <w:szCs w:val="22"/>
                <w14:ligatures w14:val="none"/>
              </w:rPr>
            </w:pPr>
            <w:r w:rsidRPr="000960C2">
              <w:rPr>
                <w:rFonts w:ascii="Arial" w:hAnsi="Arial" w:cs="Arial"/>
                <w:color w:val="000000"/>
                <w:kern w:val="0"/>
                <w:szCs w:val="22"/>
                <w14:ligatures w14:val="none"/>
              </w:rPr>
              <w:t>ACC301</w:t>
            </w:r>
          </w:p>
        </w:tc>
      </w:tr>
      <w:tr w:rsidR="009C6180" w:rsidRPr="000960C2" w14:paraId="1925901B" w14:textId="77777777">
        <w:trPr>
          <w:trHeight w:val="369"/>
          <w:jc w:val="center"/>
        </w:trPr>
        <w:tc>
          <w:tcPr>
            <w:tcW w:w="2487" w:type="dxa"/>
            <w:vAlign w:val="center"/>
          </w:tcPr>
          <w:p w14:paraId="09EE9E29" w14:textId="77777777" w:rsidR="009C6180" w:rsidRPr="000960C2" w:rsidRDefault="00000000">
            <w:pPr>
              <w:widowControl/>
              <w:spacing w:before="76" w:after="54" w:line="239" w:lineRule="exact"/>
              <w:ind w:left="115"/>
              <w:textAlignment w:val="baseline"/>
              <w:rPr>
                <w:rFonts w:ascii="Arial" w:eastAsia="Verdana" w:hAnsi="Arial" w:cs="Arial"/>
                <w:color w:val="000000"/>
                <w:kern w:val="0"/>
                <w:szCs w:val="22"/>
                <w:lang w:eastAsia="en-US"/>
                <w14:ligatures w14:val="none"/>
              </w:rPr>
            </w:pPr>
            <w:r w:rsidRPr="000960C2">
              <w:rPr>
                <w:rFonts w:ascii="Arial" w:eastAsia="Verdana" w:hAnsi="Arial" w:cs="Arial"/>
                <w:color w:val="000000"/>
                <w:kern w:val="0"/>
                <w:szCs w:val="22"/>
                <w:lang w:eastAsia="en-US"/>
                <w14:ligatures w14:val="none"/>
              </w:rPr>
              <w:t xml:space="preserve">Module Leader  </w:t>
            </w:r>
          </w:p>
        </w:tc>
        <w:tc>
          <w:tcPr>
            <w:tcW w:w="6577" w:type="dxa"/>
            <w:gridSpan w:val="2"/>
            <w:vAlign w:val="center"/>
          </w:tcPr>
          <w:p w14:paraId="22365347" w14:textId="77777777" w:rsidR="009C6180" w:rsidRPr="000960C2" w:rsidRDefault="00000000">
            <w:pPr>
              <w:widowControl/>
              <w:tabs>
                <w:tab w:val="left" w:pos="4752"/>
              </w:tabs>
              <w:spacing w:before="76" w:after="47" w:line="241" w:lineRule="exact"/>
              <w:ind w:right="1328" w:firstLineChars="50" w:firstLine="110"/>
              <w:textAlignment w:val="baseline"/>
              <w:rPr>
                <w:rFonts w:ascii="Arial" w:hAnsi="Arial" w:cs="Arial"/>
                <w:color w:val="000000"/>
                <w:kern w:val="0"/>
                <w:szCs w:val="22"/>
                <w14:ligatures w14:val="none"/>
              </w:rPr>
            </w:pPr>
            <w:r w:rsidRPr="000960C2">
              <w:rPr>
                <w:rFonts w:ascii="Arial" w:hAnsi="Arial" w:cs="Arial"/>
                <w:color w:val="000000"/>
                <w:kern w:val="0"/>
                <w:szCs w:val="22"/>
                <w14:ligatures w14:val="none"/>
              </w:rPr>
              <w:t>Rui Ding</w:t>
            </w:r>
          </w:p>
        </w:tc>
      </w:tr>
      <w:tr w:rsidR="009C6180" w:rsidRPr="000960C2" w14:paraId="7E602B34" w14:textId="77777777">
        <w:trPr>
          <w:trHeight w:val="369"/>
          <w:jc w:val="center"/>
        </w:trPr>
        <w:tc>
          <w:tcPr>
            <w:tcW w:w="2487" w:type="dxa"/>
            <w:vAlign w:val="center"/>
          </w:tcPr>
          <w:p w14:paraId="51160FF5" w14:textId="77777777" w:rsidR="009C6180" w:rsidRPr="000960C2" w:rsidRDefault="00000000">
            <w:pPr>
              <w:widowControl/>
              <w:spacing w:before="71" w:after="59" w:line="239" w:lineRule="exact"/>
              <w:ind w:left="115"/>
              <w:textAlignment w:val="baseline"/>
              <w:rPr>
                <w:rFonts w:ascii="Arial" w:eastAsia="Verdana" w:hAnsi="Arial" w:cs="Arial"/>
                <w:color w:val="000000"/>
                <w:kern w:val="0"/>
                <w:szCs w:val="22"/>
                <w:lang w:eastAsia="en-US"/>
                <w14:ligatures w14:val="none"/>
              </w:rPr>
            </w:pPr>
            <w:r w:rsidRPr="000960C2">
              <w:rPr>
                <w:rFonts w:ascii="Arial" w:eastAsia="Verdana" w:hAnsi="Arial" w:cs="Arial"/>
                <w:color w:val="000000"/>
                <w:kern w:val="0"/>
                <w:szCs w:val="22"/>
                <w:lang w:eastAsia="en-US"/>
                <w14:ligatures w14:val="none"/>
              </w:rPr>
              <w:t>Submission date</w:t>
            </w:r>
          </w:p>
        </w:tc>
        <w:tc>
          <w:tcPr>
            <w:tcW w:w="6577" w:type="dxa"/>
            <w:gridSpan w:val="2"/>
            <w:vAlign w:val="center"/>
          </w:tcPr>
          <w:p w14:paraId="566F1407" w14:textId="77777777" w:rsidR="009C6180" w:rsidRPr="000960C2" w:rsidRDefault="00000000">
            <w:pPr>
              <w:widowControl/>
              <w:tabs>
                <w:tab w:val="left" w:pos="4752"/>
              </w:tabs>
              <w:spacing w:before="76" w:after="47" w:line="241" w:lineRule="exact"/>
              <w:ind w:right="1328" w:firstLineChars="50" w:firstLine="110"/>
              <w:textAlignment w:val="baseline"/>
              <w:rPr>
                <w:rFonts w:ascii="Arial" w:hAnsi="Arial" w:cs="Arial"/>
                <w:color w:val="000000"/>
                <w:kern w:val="0"/>
                <w:szCs w:val="22"/>
                <w14:ligatures w14:val="none"/>
              </w:rPr>
            </w:pPr>
            <w:r w:rsidRPr="000960C2">
              <w:rPr>
                <w:rFonts w:ascii="Arial" w:hAnsi="Arial" w:cs="Arial"/>
                <w:color w:val="000000"/>
                <w:kern w:val="0"/>
                <w:szCs w:val="22"/>
                <w14:ligatures w14:val="none"/>
              </w:rPr>
              <w:t>11:59 pm on 24 May 2026</w:t>
            </w:r>
          </w:p>
        </w:tc>
      </w:tr>
      <w:tr w:rsidR="009C6180" w:rsidRPr="000960C2" w14:paraId="1A3AF19E" w14:textId="77777777">
        <w:trPr>
          <w:trHeight w:val="369"/>
          <w:jc w:val="center"/>
        </w:trPr>
        <w:tc>
          <w:tcPr>
            <w:tcW w:w="2487" w:type="dxa"/>
            <w:vAlign w:val="center"/>
          </w:tcPr>
          <w:p w14:paraId="4A6661DA" w14:textId="77777777" w:rsidR="009C6180" w:rsidRPr="000960C2" w:rsidRDefault="00000000">
            <w:pPr>
              <w:widowControl/>
              <w:spacing w:before="71" w:after="59" w:line="239" w:lineRule="exact"/>
              <w:ind w:left="115"/>
              <w:textAlignment w:val="baseline"/>
              <w:rPr>
                <w:rFonts w:ascii="Arial" w:eastAsia="Verdana" w:hAnsi="Arial" w:cs="Arial"/>
                <w:color w:val="000000"/>
                <w:kern w:val="0"/>
                <w:szCs w:val="22"/>
                <w:lang w:eastAsia="en-US"/>
                <w14:ligatures w14:val="none"/>
              </w:rPr>
            </w:pPr>
            <w:r w:rsidRPr="000960C2">
              <w:rPr>
                <w:rFonts w:ascii="Arial" w:eastAsia="Verdana" w:hAnsi="Arial" w:cs="Arial"/>
                <w:color w:val="000000"/>
                <w:kern w:val="0"/>
                <w:szCs w:val="22"/>
                <w:lang w:eastAsia="en-US"/>
                <w14:ligatures w14:val="none"/>
              </w:rPr>
              <w:t>Assignment Title</w:t>
            </w:r>
          </w:p>
        </w:tc>
        <w:tc>
          <w:tcPr>
            <w:tcW w:w="6577" w:type="dxa"/>
            <w:gridSpan w:val="2"/>
            <w:vAlign w:val="center"/>
          </w:tcPr>
          <w:p w14:paraId="54C4BAB1" w14:textId="77777777" w:rsidR="009C6180" w:rsidRPr="000960C2" w:rsidRDefault="00000000">
            <w:pPr>
              <w:widowControl/>
              <w:tabs>
                <w:tab w:val="left" w:pos="4752"/>
              </w:tabs>
              <w:spacing w:before="76" w:after="47" w:line="241" w:lineRule="exact"/>
              <w:ind w:leftChars="50" w:left="110" w:right="1328"/>
              <w:textAlignment w:val="baseline"/>
              <w:rPr>
                <w:rFonts w:ascii="Arial" w:hAnsi="Arial" w:cs="Arial"/>
                <w:color w:val="000000"/>
                <w:kern w:val="0"/>
                <w:szCs w:val="22"/>
                <w14:ligatures w14:val="none"/>
              </w:rPr>
            </w:pPr>
            <w:r w:rsidRPr="000960C2">
              <w:rPr>
                <w:rFonts w:ascii="Arial" w:hAnsi="Arial" w:cs="Arial"/>
                <w:color w:val="000000"/>
                <w:kern w:val="0"/>
                <w:szCs w:val="22"/>
                <w14:ligatures w14:val="none"/>
              </w:rPr>
              <w:t>Aligning Strategy, Performance Measurement and Incentives at China Lodging Group</w:t>
            </w:r>
          </w:p>
        </w:tc>
      </w:tr>
    </w:tbl>
    <w:p w14:paraId="625401A7" w14:textId="77777777" w:rsidR="009C6180" w:rsidRPr="000960C2" w:rsidRDefault="009C6180">
      <w:pPr>
        <w:widowControl/>
        <w:spacing w:after="327" w:line="20" w:lineRule="exact"/>
        <w:rPr>
          <w:rFonts w:ascii="Arial" w:eastAsia="PMingLiU" w:hAnsi="Arial" w:cs="Arial"/>
          <w:kern w:val="0"/>
          <w:szCs w:val="22"/>
          <w:lang w:eastAsia="en-US"/>
          <w14:ligatures w14:val="none"/>
        </w:rPr>
      </w:pPr>
    </w:p>
    <w:p w14:paraId="4BD059E8" w14:textId="77777777" w:rsidR="009C6180" w:rsidRPr="000960C2" w:rsidRDefault="009C6180">
      <w:pPr>
        <w:widowControl/>
        <w:spacing w:before="8" w:after="0" w:line="241" w:lineRule="exact"/>
        <w:ind w:left="144"/>
        <w:textAlignment w:val="baseline"/>
        <w:rPr>
          <w:rFonts w:ascii="Arial" w:eastAsia="Verdana" w:hAnsi="Arial" w:cs="Arial"/>
          <w:color w:val="000000"/>
          <w:kern w:val="0"/>
          <w:sz w:val="20"/>
          <w:szCs w:val="22"/>
          <w:lang w:eastAsia="en-US"/>
          <w14:ligatures w14:val="none"/>
        </w:rPr>
      </w:pPr>
    </w:p>
    <w:p w14:paraId="1315E4E3" w14:textId="77777777" w:rsidR="009C6180" w:rsidRPr="000960C2" w:rsidRDefault="00000000">
      <w:pPr>
        <w:widowControl/>
        <w:spacing w:before="8" w:after="0" w:line="241" w:lineRule="exact"/>
        <w:ind w:left="144"/>
        <w:textAlignment w:val="baseline"/>
        <w:rPr>
          <w:rFonts w:ascii="Arial" w:eastAsia="Verdana" w:hAnsi="Arial" w:cs="Arial"/>
          <w:color w:val="000000"/>
          <w:kern w:val="0"/>
          <w:szCs w:val="22"/>
          <w:lang w:eastAsia="en-US"/>
          <w14:ligatures w14:val="none"/>
        </w:rPr>
      </w:pPr>
      <w:r w:rsidRPr="000960C2">
        <w:rPr>
          <w:rFonts w:ascii="Arial" w:eastAsia="Verdana" w:hAnsi="Arial" w:cs="Arial"/>
          <w:color w:val="000000"/>
          <w:kern w:val="0"/>
          <w:szCs w:val="22"/>
          <w:lang w:eastAsia="en-US"/>
          <w14:ligatures w14:val="none"/>
        </w:rPr>
        <w:t>By uploading or submitting this coursework submission cover sheet, we certify the following:</w:t>
      </w:r>
    </w:p>
    <w:p w14:paraId="49FA9681" w14:textId="74006DB1" w:rsidR="009C6180" w:rsidRPr="000960C2" w:rsidRDefault="00000000">
      <w:pPr>
        <w:widowControl/>
        <w:numPr>
          <w:ilvl w:val="0"/>
          <w:numId w:val="1"/>
        </w:numPr>
        <w:tabs>
          <w:tab w:val="clear" w:pos="360"/>
          <w:tab w:val="left" w:pos="864"/>
        </w:tabs>
        <w:spacing w:after="0" w:line="312" w:lineRule="exact"/>
        <w:ind w:left="864" w:right="432" w:hanging="360"/>
        <w:textAlignment w:val="baseline"/>
        <w:rPr>
          <w:rFonts w:ascii="Arial" w:eastAsia="Verdana" w:hAnsi="Arial" w:cs="Arial"/>
          <w:color w:val="000000"/>
          <w:spacing w:val="-2"/>
          <w:kern w:val="0"/>
          <w:szCs w:val="22"/>
          <w:lang w:eastAsia="en-US"/>
          <w14:ligatures w14:val="none"/>
        </w:rPr>
      </w:pPr>
      <w:r w:rsidRPr="000960C2">
        <w:rPr>
          <w:rFonts w:ascii="Arial" w:eastAsia="Verdana" w:hAnsi="Arial" w:cs="Arial"/>
          <w:color w:val="000000"/>
          <w:spacing w:val="-2"/>
          <w:kern w:val="0"/>
          <w:szCs w:val="22"/>
          <w:lang w:eastAsia="en-US"/>
          <w14:ligatures w14:val="none"/>
        </w:rPr>
        <w:t>We have read and understood the definitions of PLAGIARISM, COLLUSION, and the FABRICATION O</w:t>
      </w:r>
      <w:r w:rsidRPr="000960C2">
        <w:rPr>
          <w:rFonts w:ascii="Arial" w:hAnsi="Arial" w:cs="Arial" w:hint="eastAsia"/>
          <w:color w:val="000000"/>
          <w:spacing w:val="-2"/>
          <w:kern w:val="0"/>
          <w:szCs w:val="22"/>
          <w14:ligatures w14:val="none"/>
        </w:rPr>
        <w:t xml:space="preserve">F </w:t>
      </w:r>
      <w:r w:rsidRPr="000960C2">
        <w:rPr>
          <w:rFonts w:ascii="Arial" w:eastAsia="Verdana" w:hAnsi="Arial" w:cs="Arial"/>
          <w:color w:val="000000"/>
          <w:spacing w:val="-2"/>
          <w:kern w:val="0"/>
          <w:szCs w:val="22"/>
          <w:lang w:eastAsia="en-US"/>
          <w14:ligatures w14:val="none"/>
        </w:rPr>
        <w:t>DATA, as outlined in the Postgraduate Student Handbook of Xi</w:t>
      </w:r>
      <w:r w:rsidR="00B53D84">
        <w:rPr>
          <w:rFonts w:ascii="Arial" w:eastAsia="Verdana" w:hAnsi="Arial" w:cs="Arial"/>
          <w:color w:val="000000"/>
          <w:spacing w:val="-2"/>
          <w:kern w:val="0"/>
          <w:szCs w:val="22"/>
          <w:lang w:eastAsia="en-US"/>
          <w14:ligatures w14:val="none"/>
        </w:rPr>
        <w:t>’</w:t>
      </w:r>
      <w:r w:rsidRPr="000960C2">
        <w:rPr>
          <w:rFonts w:ascii="Arial" w:eastAsia="Verdana" w:hAnsi="Arial" w:cs="Arial"/>
          <w:color w:val="000000"/>
          <w:spacing w:val="-2"/>
          <w:kern w:val="0"/>
          <w:szCs w:val="22"/>
          <w:lang w:eastAsia="en-US"/>
          <w14:ligatures w14:val="none"/>
        </w:rPr>
        <w:t xml:space="preserve">an </w:t>
      </w:r>
      <w:proofErr w:type="spellStart"/>
      <w:r w:rsidRPr="000960C2">
        <w:rPr>
          <w:rFonts w:ascii="Arial" w:eastAsia="Verdana" w:hAnsi="Arial" w:cs="Arial"/>
          <w:color w:val="000000"/>
          <w:spacing w:val="-2"/>
          <w:kern w:val="0"/>
          <w:szCs w:val="22"/>
          <w:lang w:eastAsia="en-US"/>
          <w14:ligatures w14:val="none"/>
        </w:rPr>
        <w:t>Jiaotong</w:t>
      </w:r>
      <w:proofErr w:type="spellEnd"/>
      <w:r w:rsidRPr="000960C2">
        <w:rPr>
          <w:rFonts w:ascii="Arial" w:eastAsia="Verdana" w:hAnsi="Arial" w:cs="Arial"/>
          <w:color w:val="000000"/>
          <w:spacing w:val="-2"/>
          <w:kern w:val="0"/>
          <w:szCs w:val="22"/>
          <w:lang w:eastAsia="en-US"/>
          <w14:ligatures w14:val="none"/>
        </w:rPr>
        <w:t>-Liverpool University and as posted on the University Website.</w:t>
      </w:r>
    </w:p>
    <w:p w14:paraId="2D6CBBFD" w14:textId="77777777" w:rsidR="009C6180" w:rsidRPr="000960C2" w:rsidRDefault="00000000">
      <w:pPr>
        <w:widowControl/>
        <w:numPr>
          <w:ilvl w:val="0"/>
          <w:numId w:val="1"/>
        </w:numPr>
        <w:tabs>
          <w:tab w:val="clear" w:pos="360"/>
          <w:tab w:val="left" w:pos="864"/>
        </w:tabs>
        <w:spacing w:after="0" w:line="311" w:lineRule="exact"/>
        <w:ind w:left="864" w:right="576" w:hanging="360"/>
        <w:textAlignment w:val="baseline"/>
        <w:rPr>
          <w:rFonts w:ascii="Arial" w:eastAsia="Verdana" w:hAnsi="Arial" w:cs="Arial"/>
          <w:color w:val="000000"/>
          <w:kern w:val="0"/>
          <w:szCs w:val="22"/>
          <w:lang w:eastAsia="en-US"/>
          <w14:ligatures w14:val="none"/>
        </w:rPr>
      </w:pPr>
      <w:r w:rsidRPr="000960C2">
        <w:rPr>
          <w:rFonts w:ascii="Arial" w:eastAsia="Verdana" w:hAnsi="Arial" w:cs="Arial"/>
          <w:color w:val="000000"/>
          <w:kern w:val="0"/>
          <w:szCs w:val="22"/>
          <w:lang w:eastAsia="en-US"/>
          <w14:ligatures w14:val="none"/>
        </w:rPr>
        <w:t>This work is our own, original work produced specifically for this assignment. It does not misrepresent the work of another person or institution as our own. Additionally, it is a submission that has not been previously published, or submitted to another module.</w:t>
      </w:r>
    </w:p>
    <w:p w14:paraId="3F74ACAE" w14:textId="77777777" w:rsidR="009C6180" w:rsidRPr="000960C2" w:rsidRDefault="00000000">
      <w:pPr>
        <w:widowControl/>
        <w:numPr>
          <w:ilvl w:val="0"/>
          <w:numId w:val="1"/>
        </w:numPr>
        <w:tabs>
          <w:tab w:val="clear" w:pos="360"/>
          <w:tab w:val="left" w:pos="864"/>
        </w:tabs>
        <w:spacing w:after="0" w:line="312" w:lineRule="exact"/>
        <w:ind w:left="864" w:right="648" w:hanging="360"/>
        <w:textAlignment w:val="baseline"/>
        <w:rPr>
          <w:rFonts w:ascii="Arial" w:eastAsia="Verdana" w:hAnsi="Arial" w:cs="Arial"/>
          <w:color w:val="000000"/>
          <w:kern w:val="0"/>
          <w:szCs w:val="22"/>
          <w:lang w:eastAsia="en-US"/>
          <w14:ligatures w14:val="none"/>
        </w:rPr>
      </w:pPr>
      <w:r w:rsidRPr="000960C2">
        <w:rPr>
          <w:rFonts w:ascii="Arial" w:eastAsia="Verdana" w:hAnsi="Arial" w:cs="Arial"/>
          <w:color w:val="000000"/>
          <w:kern w:val="0"/>
          <w:szCs w:val="22"/>
          <w:lang w:eastAsia="en-US"/>
          <w14:ligatures w14:val="none"/>
        </w:rPr>
        <w:t>This work is not the product of unauthorized collaboration between our group and others.</w:t>
      </w:r>
    </w:p>
    <w:p w14:paraId="7A116BE5" w14:textId="77777777" w:rsidR="009C6180" w:rsidRPr="000960C2" w:rsidRDefault="00000000">
      <w:pPr>
        <w:widowControl/>
        <w:numPr>
          <w:ilvl w:val="0"/>
          <w:numId w:val="1"/>
        </w:numPr>
        <w:tabs>
          <w:tab w:val="clear" w:pos="360"/>
          <w:tab w:val="left" w:pos="864"/>
        </w:tabs>
        <w:spacing w:before="73" w:after="0" w:line="239" w:lineRule="exact"/>
        <w:ind w:left="864" w:hanging="360"/>
        <w:textAlignment w:val="baseline"/>
        <w:rPr>
          <w:rFonts w:ascii="Arial" w:eastAsia="Verdana" w:hAnsi="Arial" w:cs="Arial"/>
          <w:color w:val="000000"/>
          <w:kern w:val="0"/>
          <w:szCs w:val="22"/>
          <w:lang w:eastAsia="en-US"/>
          <w14:ligatures w14:val="none"/>
        </w:rPr>
      </w:pPr>
      <w:r w:rsidRPr="000960C2">
        <w:rPr>
          <w:rFonts w:ascii="Arial" w:eastAsia="Verdana" w:hAnsi="Arial" w:cs="Arial"/>
          <w:color w:val="000000"/>
          <w:kern w:val="0"/>
          <w:szCs w:val="22"/>
          <w:lang w:eastAsia="en-US"/>
          <w14:ligatures w14:val="none"/>
        </w:rPr>
        <w:t>This work is free of embellished or fabricated data.</w:t>
      </w:r>
    </w:p>
    <w:p w14:paraId="0965247C" w14:textId="77777777" w:rsidR="009C6180" w:rsidRPr="000960C2" w:rsidRDefault="00000000">
      <w:pPr>
        <w:widowControl/>
        <w:spacing w:before="434" w:after="0" w:line="312" w:lineRule="exact"/>
        <w:ind w:left="142" w:right="142"/>
        <w:contextualSpacing/>
        <w:textAlignment w:val="baseline"/>
        <w:rPr>
          <w:rFonts w:ascii="Arial" w:hAnsi="Arial" w:cs="Arial"/>
          <w:color w:val="000000"/>
          <w:kern w:val="0"/>
          <w:szCs w:val="22"/>
          <w14:ligatures w14:val="none"/>
        </w:rPr>
      </w:pPr>
      <w:r w:rsidRPr="000960C2">
        <w:rPr>
          <w:rFonts w:ascii="Arial" w:eastAsia="Verdana" w:hAnsi="Arial" w:cs="Arial"/>
          <w:color w:val="000000"/>
          <w:kern w:val="0"/>
          <w:szCs w:val="22"/>
          <w:lang w:eastAsia="en-US"/>
          <w14:ligatures w14:val="none"/>
        </w:rPr>
        <w:t>We understand that PLAGIARISM, COLLUSION and the FABRICATION OF DATA are serious disciplinary offences. By uploading or submitting this cover sheet, we acknowledge that we are subject to disciplinary action if we are found to have committed such acts.</w:t>
      </w:r>
    </w:p>
    <w:p w14:paraId="083558EE" w14:textId="77777777" w:rsidR="009C6180" w:rsidRPr="000960C2" w:rsidRDefault="009C6180">
      <w:pPr>
        <w:widowControl/>
        <w:spacing w:before="434" w:after="0" w:line="312" w:lineRule="exact"/>
        <w:ind w:left="142" w:right="142"/>
        <w:contextualSpacing/>
        <w:textAlignment w:val="baseline"/>
        <w:rPr>
          <w:rFonts w:ascii="Arial" w:hAnsi="Arial" w:cs="Arial"/>
          <w:color w:val="000000"/>
          <w:kern w:val="0"/>
          <w:szCs w:val="22"/>
          <w14:ligatures w14:val="none"/>
        </w:rPr>
      </w:pPr>
    </w:p>
    <w:p w14:paraId="01A15890" w14:textId="77777777" w:rsidR="009C6180" w:rsidRPr="000960C2" w:rsidRDefault="00000000">
      <w:pPr>
        <w:widowControl/>
        <w:tabs>
          <w:tab w:val="left" w:leader="dot" w:pos="5184"/>
          <w:tab w:val="left" w:leader="dot" w:pos="8784"/>
        </w:tabs>
        <w:spacing w:before="709" w:after="628" w:line="240" w:lineRule="auto"/>
        <w:ind w:left="111" w:hangingChars="50" w:hanging="111"/>
        <w:contextualSpacing/>
        <w:textAlignment w:val="baseline"/>
        <w:rPr>
          <w:rFonts w:ascii="Arial" w:eastAsia="Verdana" w:hAnsi="Arial" w:cs="Arial"/>
          <w:color w:val="000000"/>
          <w:spacing w:val="1"/>
          <w:kern w:val="0"/>
          <w:szCs w:val="22"/>
          <w:u w:val="single"/>
          <w:lang w:eastAsia="en-US"/>
          <w14:ligatures w14:val="none"/>
        </w:rPr>
      </w:pPr>
      <w:r w:rsidRPr="000960C2">
        <w:rPr>
          <w:rFonts w:ascii="Arial" w:eastAsia="Verdana" w:hAnsi="Arial" w:cs="Arial"/>
          <w:color w:val="000000"/>
          <w:spacing w:val="1"/>
          <w:kern w:val="0"/>
          <w:szCs w:val="22"/>
          <w:lang w:eastAsia="en-US"/>
          <w14:ligatures w14:val="none"/>
        </w:rPr>
        <w:t>Signature</w:t>
      </w:r>
      <w:r w:rsidRPr="000960C2">
        <w:rPr>
          <w:rFonts w:ascii="Arial" w:hAnsi="Arial" w:cs="Arial" w:hint="eastAsia"/>
          <w:color w:val="000000"/>
          <w:spacing w:val="1"/>
          <w:kern w:val="0"/>
          <w:szCs w:val="22"/>
          <w14:ligatures w14:val="none"/>
        </w:rPr>
        <w:t xml:space="preserve"> </w:t>
      </w:r>
      <w:r w:rsidRPr="000960C2">
        <w:rPr>
          <w:rFonts w:ascii="Arial" w:eastAsia="Verdana" w:hAnsi="Arial" w:cs="Arial"/>
          <w:color w:val="000000"/>
          <w:spacing w:val="1"/>
          <w:kern w:val="0"/>
          <w:szCs w:val="22"/>
          <w:lang w:eastAsia="en-US"/>
          <w14:ligatures w14:val="none"/>
        </w:rPr>
        <w:t xml:space="preserve"> </w:t>
      </w:r>
      <w:r w:rsidRPr="000960C2">
        <w:rPr>
          <w:rFonts w:ascii="Arial" w:hAnsi="Arial" w:cs="Arial" w:hint="eastAsia"/>
          <w:color w:val="000000"/>
          <w:spacing w:val="1"/>
          <w:kern w:val="0"/>
          <w:szCs w:val="22"/>
          <w:u w:val="single"/>
          <w14:ligatures w14:val="none"/>
        </w:rPr>
        <w:t xml:space="preserve">Ying Huang, Zihan Zhou, Jingwei Liu, </w:t>
      </w:r>
      <w:proofErr w:type="spellStart"/>
      <w:r w:rsidRPr="000960C2">
        <w:rPr>
          <w:rFonts w:ascii="Arial" w:hAnsi="Arial" w:cs="Arial" w:hint="eastAsia"/>
          <w:color w:val="000000"/>
          <w:spacing w:val="1"/>
          <w:kern w:val="0"/>
          <w:szCs w:val="22"/>
          <w:u w:val="single"/>
          <w14:ligatures w14:val="none"/>
        </w:rPr>
        <w:t>Qirong</w:t>
      </w:r>
      <w:proofErr w:type="spellEnd"/>
      <w:r w:rsidRPr="000960C2">
        <w:rPr>
          <w:rFonts w:ascii="Arial" w:hAnsi="Arial" w:cs="Arial" w:hint="eastAsia"/>
          <w:color w:val="000000"/>
          <w:spacing w:val="1"/>
          <w:kern w:val="0"/>
          <w:szCs w:val="22"/>
          <w:u w:val="single"/>
          <w14:ligatures w14:val="none"/>
        </w:rPr>
        <w:t xml:space="preserve"> Fan</w:t>
      </w:r>
      <w:r w:rsidRPr="000960C2">
        <w:rPr>
          <w:rFonts w:ascii="Arial" w:hAnsi="Arial" w:cs="Arial" w:hint="eastAsia"/>
          <w:color w:val="000000"/>
          <w:spacing w:val="1"/>
          <w:kern w:val="0"/>
          <w:szCs w:val="22"/>
          <w14:ligatures w14:val="none"/>
        </w:rPr>
        <w:t xml:space="preserve">          </w:t>
      </w:r>
      <w:r w:rsidRPr="000960C2">
        <w:rPr>
          <w:rFonts w:ascii="Arial" w:eastAsia="Verdana" w:hAnsi="Arial" w:cs="Arial"/>
          <w:color w:val="000000"/>
          <w:spacing w:val="1"/>
          <w:kern w:val="0"/>
          <w:szCs w:val="22"/>
          <w:lang w:eastAsia="en-US"/>
          <w14:ligatures w14:val="none"/>
        </w:rPr>
        <w:t>Date</w:t>
      </w:r>
      <w:r w:rsidRPr="000960C2">
        <w:rPr>
          <w:rFonts w:ascii="Arial" w:hAnsi="Arial" w:cs="Arial" w:hint="eastAsia"/>
          <w:color w:val="000000"/>
          <w:spacing w:val="1"/>
          <w:kern w:val="0"/>
          <w:szCs w:val="22"/>
          <w14:ligatures w14:val="none"/>
        </w:rPr>
        <w:t xml:space="preserve">  </w:t>
      </w:r>
      <w:r w:rsidRPr="000960C2">
        <w:rPr>
          <w:rFonts w:ascii="Arial" w:hAnsi="Arial" w:cs="Arial" w:hint="eastAsia"/>
          <w:color w:val="000000"/>
          <w:spacing w:val="1"/>
          <w:kern w:val="0"/>
          <w:szCs w:val="22"/>
          <w:u w:val="single"/>
          <w14:ligatures w14:val="none"/>
        </w:rPr>
        <w:t>2026.5.24</w:t>
      </w:r>
    </w:p>
    <w:p w14:paraId="25CF4556" w14:textId="77777777" w:rsidR="009C6180" w:rsidRPr="000960C2" w:rsidRDefault="00000000">
      <w:pPr>
        <w:widowControl/>
        <w:tabs>
          <w:tab w:val="left" w:leader="dot" w:pos="5184"/>
          <w:tab w:val="left" w:leader="dot" w:pos="8784"/>
        </w:tabs>
        <w:spacing w:before="709" w:after="628" w:line="241" w:lineRule="exact"/>
        <w:textAlignment w:val="baseline"/>
        <w:rPr>
          <w:rFonts w:ascii="Arial" w:hAnsi="Arial" w:cs="Arial"/>
          <w:color w:val="000000"/>
          <w:spacing w:val="1"/>
          <w:kern w:val="0"/>
          <w:szCs w:val="22"/>
          <w14:ligatures w14:val="none"/>
        </w:rPr>
      </w:pPr>
      <w:r w:rsidRPr="000960C2">
        <w:rPr>
          <w:rFonts w:ascii="Arial" w:eastAsia="Verdana" w:hAnsi="Arial" w:cs="Arial"/>
          <w:color w:val="000000"/>
          <w:spacing w:val="1"/>
          <w:kern w:val="0"/>
          <w:szCs w:val="22"/>
          <w:lang w:eastAsia="en-US"/>
          <w14:ligatures w14:val="none"/>
        </w:rPr>
        <w:t>by all group members</w:t>
      </w:r>
    </w:p>
    <w:p w14:paraId="1BA3B07D" w14:textId="77777777" w:rsidR="009C6180" w:rsidRPr="000960C2" w:rsidRDefault="00000000">
      <w:pPr>
        <w:spacing w:line="240" w:lineRule="auto"/>
        <w:jc w:val="both"/>
        <w:rPr>
          <w:rFonts w:ascii="Times New Roman" w:hAnsi="Times New Roman" w:cs="Times New Roman"/>
          <w:bCs/>
          <w:sz w:val="28"/>
          <w:szCs w:val="28"/>
        </w:rPr>
      </w:pPr>
      <w:r w:rsidRPr="000960C2">
        <w:rPr>
          <w:rFonts w:ascii="Times New Roman" w:hAnsi="Times New Roman" w:cs="Times New Roman" w:hint="eastAsia"/>
          <w:b/>
          <w:sz w:val="28"/>
          <w:szCs w:val="28"/>
        </w:rPr>
        <w:lastRenderedPageBreak/>
        <w:t>Introduction</w:t>
      </w:r>
    </w:p>
    <w:p w14:paraId="7E55B5B2" w14:textId="2F22557B" w:rsidR="009C6180" w:rsidRPr="000960C2" w:rsidRDefault="000960C2" w:rsidP="000960C2">
      <w:pPr>
        <w:spacing w:line="360" w:lineRule="auto"/>
        <w:jc w:val="both"/>
        <w:rPr>
          <w:rFonts w:ascii="Times New Roman" w:hAnsi="Times New Roman" w:cs="Times New Roman"/>
          <w:bCs/>
          <w:sz w:val="24"/>
        </w:rPr>
      </w:pPr>
      <w:r w:rsidRPr="000960C2">
        <w:rPr>
          <w:rFonts w:ascii="Times New Roman" w:hAnsi="Times New Roman" w:cs="Times New Roman"/>
          <w:bCs/>
          <w:sz w:val="24"/>
        </w:rPr>
        <w:t>As China Lodging Group (CLG) continued its rapid expansion, it faced a management control challenge: how to grow a multi-brand hotel group while controlling costs, maintaining service consistency and preserving entrepreneurial energy. This report assesses if CLG</w:t>
      </w:r>
      <w:r w:rsidR="00B53D84">
        <w:rPr>
          <w:rFonts w:ascii="Times New Roman" w:hAnsi="Times New Roman" w:cs="Times New Roman"/>
          <w:bCs/>
          <w:sz w:val="24"/>
        </w:rPr>
        <w:t>’</w:t>
      </w:r>
      <w:r w:rsidRPr="000960C2">
        <w:rPr>
          <w:rFonts w:ascii="Times New Roman" w:hAnsi="Times New Roman" w:cs="Times New Roman"/>
          <w:bCs/>
          <w:sz w:val="24"/>
        </w:rPr>
        <w:t>s strategy, Balanced Scorecard (BSC) and redesigned incentive system created an effective control structure to meet that challenge. It first identifies the strategy and critical success factors (CSFs) for CLG</w:t>
      </w:r>
      <w:r w:rsidR="00B53D84">
        <w:rPr>
          <w:rFonts w:ascii="Times New Roman" w:hAnsi="Times New Roman" w:cs="Times New Roman"/>
          <w:bCs/>
          <w:sz w:val="24"/>
        </w:rPr>
        <w:t>’</w:t>
      </w:r>
      <w:r w:rsidRPr="000960C2">
        <w:rPr>
          <w:rFonts w:ascii="Times New Roman" w:hAnsi="Times New Roman" w:cs="Times New Roman"/>
          <w:bCs/>
          <w:sz w:val="24"/>
        </w:rPr>
        <w:t>s growth, and then evaluates if the original BSC was aligned with these priorities or promoted metric chasing. The report also assesses the impact of the incentive changes in Case B, and recommends an enhanced BSC to better tie financial accountability to c</w:t>
      </w:r>
      <w:r w:rsidR="00B53D84">
        <w:rPr>
          <w:rFonts w:ascii="Times New Roman" w:hAnsi="Times New Roman" w:cs="Times New Roman" w:hint="eastAsia"/>
          <w:bCs/>
          <w:sz w:val="24"/>
        </w:rPr>
        <w:t xml:space="preserve">ustomer </w:t>
      </w:r>
      <w:r w:rsidRPr="000960C2">
        <w:rPr>
          <w:rFonts w:ascii="Times New Roman" w:hAnsi="Times New Roman" w:cs="Times New Roman"/>
          <w:bCs/>
          <w:sz w:val="24"/>
        </w:rPr>
        <w:t>satisfaction, operational consistency, digital capability and management ownership.</w:t>
      </w:r>
    </w:p>
    <w:p w14:paraId="3928682C" w14:textId="77777777" w:rsidR="009C6180" w:rsidRPr="000960C2" w:rsidRDefault="00000000">
      <w:pPr>
        <w:spacing w:line="240" w:lineRule="auto"/>
        <w:jc w:val="both"/>
        <w:rPr>
          <w:rFonts w:ascii="Times New Roman" w:hAnsi="Times New Roman" w:cs="Times New Roman"/>
          <w:b/>
          <w:sz w:val="28"/>
          <w:szCs w:val="28"/>
        </w:rPr>
      </w:pPr>
      <w:r w:rsidRPr="000960C2">
        <w:rPr>
          <w:rFonts w:ascii="Times New Roman" w:hAnsi="Times New Roman" w:cs="Times New Roman"/>
          <w:b/>
          <w:sz w:val="28"/>
          <w:szCs w:val="28"/>
        </w:rPr>
        <w:t>Question 1</w:t>
      </w:r>
      <w:r w:rsidRPr="000960C2">
        <w:rPr>
          <w:rFonts w:ascii="Times New Roman" w:hAnsi="Times New Roman" w:cs="Times New Roman" w:hint="eastAsia"/>
          <w:b/>
          <w:sz w:val="28"/>
          <w:szCs w:val="28"/>
        </w:rPr>
        <w:t>.</w:t>
      </w:r>
      <w:r w:rsidRPr="000960C2">
        <w:rPr>
          <w:rFonts w:ascii="Times New Roman" w:hAnsi="Times New Roman" w:cs="Times New Roman"/>
          <w:b/>
          <w:sz w:val="28"/>
          <w:szCs w:val="28"/>
        </w:rPr>
        <w:t xml:space="preserve"> Strategy and Critical Success Factors</w:t>
      </w:r>
    </w:p>
    <w:p w14:paraId="0E9BFE50" w14:textId="2DA54509" w:rsidR="000960C2" w:rsidRPr="000960C2" w:rsidRDefault="000960C2">
      <w:pPr>
        <w:spacing w:line="360" w:lineRule="auto"/>
        <w:jc w:val="both"/>
        <w:rPr>
          <w:rFonts w:ascii="Times New Roman" w:hAnsi="Times New Roman" w:cs="Times New Roman"/>
          <w:bCs/>
          <w:sz w:val="24"/>
        </w:rPr>
      </w:pPr>
      <w:r w:rsidRPr="000960C2">
        <w:rPr>
          <w:rFonts w:ascii="Times New Roman" w:hAnsi="Times New Roman" w:cs="Times New Roman"/>
          <w:bCs/>
          <w:sz w:val="24"/>
        </w:rPr>
        <w:t xml:space="preserve">Through multi-brand expansion and strong </w:t>
      </w:r>
      <w:r w:rsidR="00B53D84">
        <w:rPr>
          <w:rFonts w:ascii="Times New Roman" w:hAnsi="Times New Roman" w:cs="Times New Roman" w:hint="eastAsia"/>
          <w:bCs/>
          <w:sz w:val="24"/>
        </w:rPr>
        <w:t xml:space="preserve">operational </w:t>
      </w:r>
      <w:r w:rsidRPr="000960C2">
        <w:rPr>
          <w:rFonts w:ascii="Times New Roman" w:hAnsi="Times New Roman" w:cs="Times New Roman"/>
          <w:bCs/>
          <w:sz w:val="24"/>
        </w:rPr>
        <w:t>control, CLG grew rapidly in China</w:t>
      </w:r>
      <w:r w:rsidR="00B53D84">
        <w:rPr>
          <w:rFonts w:ascii="Times New Roman" w:hAnsi="Times New Roman" w:cs="Times New Roman"/>
          <w:bCs/>
          <w:sz w:val="24"/>
        </w:rPr>
        <w:t>’</w:t>
      </w:r>
      <w:r w:rsidRPr="000960C2">
        <w:rPr>
          <w:rFonts w:ascii="Times New Roman" w:hAnsi="Times New Roman" w:cs="Times New Roman"/>
          <w:bCs/>
          <w:sz w:val="24"/>
        </w:rPr>
        <w:t>s hotel industry. In this section, CLG</w:t>
      </w:r>
      <w:r w:rsidR="00B53D84">
        <w:rPr>
          <w:rFonts w:ascii="Times New Roman" w:hAnsi="Times New Roman" w:cs="Times New Roman"/>
          <w:bCs/>
          <w:sz w:val="24"/>
        </w:rPr>
        <w:t>’</w:t>
      </w:r>
      <w:r w:rsidRPr="000960C2">
        <w:rPr>
          <w:rFonts w:ascii="Times New Roman" w:hAnsi="Times New Roman" w:cs="Times New Roman"/>
          <w:bCs/>
          <w:sz w:val="24"/>
        </w:rPr>
        <w:t xml:space="preserve">s business strategy and the </w:t>
      </w:r>
      <w:r w:rsidR="00BA0015">
        <w:rPr>
          <w:rFonts w:ascii="Times New Roman" w:hAnsi="Times New Roman" w:cs="Times New Roman" w:hint="eastAsia"/>
          <w:bCs/>
          <w:sz w:val="24"/>
        </w:rPr>
        <w:t>CSFs</w:t>
      </w:r>
      <w:r w:rsidRPr="000960C2">
        <w:rPr>
          <w:rFonts w:ascii="Times New Roman" w:hAnsi="Times New Roman" w:cs="Times New Roman"/>
          <w:bCs/>
          <w:sz w:val="24"/>
        </w:rPr>
        <w:t xml:space="preserve"> that facilitated its quick growth are examined.</w:t>
      </w:r>
    </w:p>
    <w:p w14:paraId="216D265C" w14:textId="634E99EF" w:rsidR="009C6180" w:rsidRPr="000960C2" w:rsidRDefault="00000000">
      <w:pPr>
        <w:spacing w:line="360" w:lineRule="auto"/>
        <w:jc w:val="both"/>
        <w:rPr>
          <w:rFonts w:ascii="Times New Roman" w:hAnsi="Times New Roman" w:cs="Times New Roman"/>
          <w:b/>
          <w:sz w:val="24"/>
        </w:rPr>
      </w:pPr>
      <w:r w:rsidRPr="000960C2">
        <w:rPr>
          <w:rFonts w:ascii="Times New Roman" w:hAnsi="Times New Roman" w:cs="Times New Roman"/>
          <w:b/>
          <w:sz w:val="24"/>
        </w:rPr>
        <w:t>CLG</w:t>
      </w:r>
      <w:r w:rsidR="00B53D84">
        <w:rPr>
          <w:rFonts w:ascii="Times New Roman" w:hAnsi="Times New Roman" w:cs="Times New Roman"/>
          <w:b/>
          <w:sz w:val="24"/>
        </w:rPr>
        <w:t>’</w:t>
      </w:r>
      <w:r w:rsidRPr="000960C2">
        <w:rPr>
          <w:rFonts w:ascii="Times New Roman" w:hAnsi="Times New Roman" w:cs="Times New Roman"/>
          <w:b/>
          <w:sz w:val="24"/>
        </w:rPr>
        <w:t>s business strategies</w:t>
      </w:r>
    </w:p>
    <w:p w14:paraId="261C61EE" w14:textId="12DF7D01" w:rsidR="000960C2" w:rsidRPr="000960C2" w:rsidRDefault="000960C2">
      <w:pPr>
        <w:spacing w:line="360" w:lineRule="auto"/>
        <w:jc w:val="both"/>
        <w:rPr>
          <w:rFonts w:ascii="Times New Roman" w:hAnsi="Times New Roman" w:cs="Times New Roman"/>
          <w:bCs/>
          <w:sz w:val="24"/>
        </w:rPr>
      </w:pPr>
      <w:r w:rsidRPr="000960C2">
        <w:rPr>
          <w:rFonts w:ascii="Times New Roman" w:hAnsi="Times New Roman" w:cs="Times New Roman"/>
          <w:bCs/>
          <w:sz w:val="24"/>
        </w:rPr>
        <w:t>Based on multi-brand positioning, operational efficiency, service standardisation, digital systems and member loyalty, CLG</w:t>
      </w:r>
      <w:r w:rsidR="00B53D84">
        <w:rPr>
          <w:rFonts w:ascii="Times New Roman" w:hAnsi="Times New Roman" w:cs="Times New Roman"/>
          <w:bCs/>
          <w:sz w:val="24"/>
        </w:rPr>
        <w:t>’</w:t>
      </w:r>
      <w:r w:rsidRPr="000960C2">
        <w:rPr>
          <w:rFonts w:ascii="Times New Roman" w:hAnsi="Times New Roman" w:cs="Times New Roman"/>
          <w:bCs/>
          <w:sz w:val="24"/>
        </w:rPr>
        <w:t xml:space="preserve">s strategy was to build the hotel network rapidly. By the end of 2014, CLG had seven brands with 1,995 hotels in 300 cities, </w:t>
      </w:r>
      <w:r w:rsidR="00EC52F6">
        <w:rPr>
          <w:rFonts w:ascii="Times New Roman" w:hAnsi="Times New Roman" w:cs="Times New Roman" w:hint="eastAsia"/>
          <w:bCs/>
          <w:sz w:val="24"/>
        </w:rPr>
        <w:t>covering</w:t>
      </w:r>
      <w:r w:rsidRPr="000960C2">
        <w:rPr>
          <w:rFonts w:ascii="Times New Roman" w:hAnsi="Times New Roman" w:cs="Times New Roman"/>
          <w:bCs/>
          <w:sz w:val="24"/>
        </w:rPr>
        <w:t xml:space="preserve"> economy to high-end</w:t>
      </w:r>
      <w:r w:rsidR="00EC52F6">
        <w:rPr>
          <w:rFonts w:ascii="Times New Roman" w:hAnsi="Times New Roman" w:cs="Times New Roman" w:hint="eastAsia"/>
          <w:bCs/>
          <w:sz w:val="24"/>
        </w:rPr>
        <w:t xml:space="preserve"> segments</w:t>
      </w:r>
      <w:r w:rsidRPr="000960C2">
        <w:rPr>
          <w:rFonts w:ascii="Times New Roman" w:hAnsi="Times New Roman" w:cs="Times New Roman"/>
          <w:bCs/>
          <w:sz w:val="24"/>
        </w:rPr>
        <w:t xml:space="preserve">, and expected to operate 5,000 hotels by 2021 (Sandino, Li and </w:t>
      </w:r>
      <w:proofErr w:type="spellStart"/>
      <w:r w:rsidRPr="000960C2">
        <w:rPr>
          <w:rFonts w:ascii="Times New Roman" w:hAnsi="Times New Roman" w:cs="Times New Roman"/>
          <w:bCs/>
          <w:sz w:val="24"/>
        </w:rPr>
        <w:t>Huadai</w:t>
      </w:r>
      <w:proofErr w:type="spellEnd"/>
      <w:r w:rsidRPr="000960C2">
        <w:rPr>
          <w:rFonts w:ascii="Times New Roman" w:hAnsi="Times New Roman" w:cs="Times New Roman"/>
          <w:bCs/>
          <w:sz w:val="24"/>
        </w:rPr>
        <w:t xml:space="preserve">, 2016a). Its multi-brand structure helped CLG reach various customer segments and reduce dependence on </w:t>
      </w:r>
      <w:r w:rsidR="002827BF">
        <w:rPr>
          <w:rFonts w:ascii="Times New Roman" w:hAnsi="Times New Roman" w:cs="Times New Roman" w:hint="eastAsia"/>
          <w:bCs/>
          <w:sz w:val="24"/>
        </w:rPr>
        <w:t>one</w:t>
      </w:r>
      <w:r w:rsidRPr="000960C2">
        <w:rPr>
          <w:rFonts w:ascii="Times New Roman" w:hAnsi="Times New Roman" w:cs="Times New Roman"/>
          <w:bCs/>
          <w:sz w:val="24"/>
        </w:rPr>
        <w:t xml:space="preserve"> segment. </w:t>
      </w:r>
      <w:r w:rsidR="002827BF">
        <w:rPr>
          <w:rFonts w:ascii="Times New Roman" w:hAnsi="Times New Roman" w:cs="Times New Roman" w:hint="eastAsia"/>
          <w:bCs/>
          <w:sz w:val="24"/>
        </w:rPr>
        <w:t>Meanwhil</w:t>
      </w:r>
      <w:r w:rsidRPr="000960C2">
        <w:rPr>
          <w:rFonts w:ascii="Times New Roman" w:hAnsi="Times New Roman" w:cs="Times New Roman"/>
          <w:bCs/>
          <w:sz w:val="24"/>
        </w:rPr>
        <w:t>e, standardised processes, centralised management and cost control</w:t>
      </w:r>
      <w:r w:rsidR="00B53D84">
        <w:rPr>
          <w:rFonts w:ascii="Times New Roman" w:hAnsi="Times New Roman" w:cs="Times New Roman" w:hint="eastAsia"/>
          <w:bCs/>
          <w:sz w:val="24"/>
        </w:rPr>
        <w:t xml:space="preserve"> improve</w:t>
      </w:r>
      <w:r w:rsidRPr="000960C2">
        <w:rPr>
          <w:rFonts w:ascii="Times New Roman" w:hAnsi="Times New Roman" w:cs="Times New Roman"/>
          <w:bCs/>
          <w:sz w:val="24"/>
        </w:rPr>
        <w:t xml:space="preserve">d efficiency, shown by the decrease in the staff-to-room ratio from 0.32 in 2007 to 0.17 in 2014. Unified service standards, </w:t>
      </w:r>
      <w:proofErr w:type="spellStart"/>
      <w:r w:rsidRPr="000960C2">
        <w:rPr>
          <w:rFonts w:ascii="Times New Roman" w:hAnsi="Times New Roman" w:cs="Times New Roman"/>
          <w:bCs/>
          <w:sz w:val="24"/>
        </w:rPr>
        <w:t>Huazhu</w:t>
      </w:r>
      <w:proofErr w:type="spellEnd"/>
      <w:r w:rsidRPr="000960C2">
        <w:rPr>
          <w:rFonts w:ascii="Times New Roman" w:hAnsi="Times New Roman" w:cs="Times New Roman"/>
          <w:bCs/>
          <w:sz w:val="24"/>
        </w:rPr>
        <w:t xml:space="preserve"> University training, central reservation, CRM and property-management systems made expansion more controllable. Moreover, its loyalty programme, with more than 31 million members, helped to retain customers and </w:t>
      </w:r>
      <w:r w:rsidR="00B53D84">
        <w:rPr>
          <w:rFonts w:ascii="Times New Roman" w:hAnsi="Times New Roman" w:cs="Times New Roman" w:hint="eastAsia"/>
          <w:bCs/>
          <w:sz w:val="24"/>
        </w:rPr>
        <w:t>support</w:t>
      </w:r>
      <w:r w:rsidRPr="000960C2">
        <w:rPr>
          <w:rFonts w:ascii="Times New Roman" w:hAnsi="Times New Roman" w:cs="Times New Roman"/>
          <w:bCs/>
          <w:sz w:val="24"/>
        </w:rPr>
        <w:t xml:space="preserve"> their repeat demand (Sandino, Li and </w:t>
      </w:r>
      <w:proofErr w:type="spellStart"/>
      <w:r w:rsidRPr="000960C2">
        <w:rPr>
          <w:rFonts w:ascii="Times New Roman" w:hAnsi="Times New Roman" w:cs="Times New Roman"/>
          <w:bCs/>
          <w:sz w:val="24"/>
        </w:rPr>
        <w:t>Huadai</w:t>
      </w:r>
      <w:proofErr w:type="spellEnd"/>
      <w:r w:rsidRPr="000960C2">
        <w:rPr>
          <w:rFonts w:ascii="Times New Roman" w:hAnsi="Times New Roman" w:cs="Times New Roman"/>
          <w:bCs/>
          <w:sz w:val="24"/>
        </w:rPr>
        <w:t>, 2016a). Thus, CLG</w:t>
      </w:r>
      <w:r w:rsidR="00B53D84">
        <w:rPr>
          <w:rFonts w:ascii="Times New Roman" w:hAnsi="Times New Roman" w:cs="Times New Roman"/>
          <w:bCs/>
          <w:sz w:val="24"/>
        </w:rPr>
        <w:t>’</w:t>
      </w:r>
      <w:r w:rsidRPr="000960C2">
        <w:rPr>
          <w:rFonts w:ascii="Times New Roman" w:hAnsi="Times New Roman" w:cs="Times New Roman"/>
          <w:bCs/>
          <w:sz w:val="24"/>
        </w:rPr>
        <w:t xml:space="preserve">s expansion was not only about opening more hotels, but also </w:t>
      </w:r>
      <w:r w:rsidR="00B53D84">
        <w:rPr>
          <w:rFonts w:ascii="Times New Roman" w:hAnsi="Times New Roman" w:cs="Times New Roman" w:hint="eastAsia"/>
          <w:bCs/>
          <w:sz w:val="24"/>
        </w:rPr>
        <w:t xml:space="preserve">about </w:t>
      </w:r>
      <w:r w:rsidRPr="000960C2">
        <w:rPr>
          <w:rFonts w:ascii="Times New Roman" w:hAnsi="Times New Roman" w:cs="Times New Roman"/>
          <w:bCs/>
          <w:sz w:val="24"/>
        </w:rPr>
        <w:t>creating a scalable and controllable hotel operating system.</w:t>
      </w:r>
    </w:p>
    <w:p w14:paraId="14D6B31A" w14:textId="2658575D" w:rsidR="009C6180" w:rsidRPr="000960C2" w:rsidRDefault="00000000">
      <w:pPr>
        <w:spacing w:line="360" w:lineRule="auto"/>
        <w:jc w:val="both"/>
        <w:rPr>
          <w:rFonts w:ascii="Times New Roman" w:hAnsi="Times New Roman" w:cs="Times New Roman"/>
          <w:b/>
          <w:sz w:val="24"/>
        </w:rPr>
      </w:pPr>
      <w:r w:rsidRPr="000960C2">
        <w:rPr>
          <w:rFonts w:ascii="Times New Roman" w:hAnsi="Times New Roman" w:cs="Times New Roman"/>
          <w:b/>
          <w:sz w:val="24"/>
        </w:rPr>
        <w:lastRenderedPageBreak/>
        <w:t>Main drivers of competitive advantage in the hotel industry</w:t>
      </w:r>
    </w:p>
    <w:p w14:paraId="7D2FE1CF" w14:textId="78141C24" w:rsidR="000960C2" w:rsidRPr="000960C2" w:rsidRDefault="000960C2">
      <w:pPr>
        <w:spacing w:line="360" w:lineRule="auto"/>
        <w:jc w:val="both"/>
        <w:rPr>
          <w:rFonts w:ascii="Times New Roman" w:hAnsi="Times New Roman" w:cs="Times New Roman"/>
          <w:bCs/>
          <w:sz w:val="24"/>
        </w:rPr>
      </w:pPr>
      <w:r w:rsidRPr="000960C2">
        <w:rPr>
          <w:rFonts w:ascii="Times New Roman" w:hAnsi="Times New Roman" w:cs="Times New Roman"/>
          <w:bCs/>
          <w:sz w:val="24"/>
        </w:rPr>
        <w:t>In the hotel market in China, the key factors of competitive advantage were primarily brand coverage, efficient operation, customer loyalty and digital capability. As summarised in Table 1, high buyer power and intense rivalry made customer trust and repeat demand important for CLG, while medium threats from new entrants and substitutes made standardisation, scale and control enabled by IT more important.</w:t>
      </w:r>
    </w:p>
    <w:p w14:paraId="549D5A18" w14:textId="77777777" w:rsidR="009C6180" w:rsidRPr="003240B1" w:rsidRDefault="00000000">
      <w:pPr>
        <w:pStyle w:val="a3"/>
        <w:keepNext/>
        <w:jc w:val="center"/>
        <w:rPr>
          <w:rFonts w:ascii="Times New Roman" w:hAnsi="Times New Roman" w:cs="Times New Roman"/>
          <w:b/>
          <w:bCs/>
          <w:i w:val="0"/>
          <w:color w:val="000000" w:themeColor="text1"/>
          <w:sz w:val="24"/>
          <w:szCs w:val="22"/>
        </w:rPr>
      </w:pPr>
      <w:r w:rsidRPr="003240B1">
        <w:rPr>
          <w:rFonts w:ascii="Times New Roman" w:hAnsi="Times New Roman" w:cs="Times New Roman"/>
          <w:b/>
          <w:bCs/>
          <w:i w:val="0"/>
          <w:color w:val="000000" w:themeColor="text1"/>
          <w:sz w:val="24"/>
          <w:szCs w:val="22"/>
        </w:rPr>
        <w:t xml:space="preserve">Table </w:t>
      </w:r>
      <w:r w:rsidRPr="003240B1">
        <w:rPr>
          <w:rFonts w:ascii="Times New Roman" w:hAnsi="Times New Roman" w:cs="Times New Roman"/>
          <w:b/>
          <w:bCs/>
          <w:i w:val="0"/>
          <w:color w:val="000000" w:themeColor="text1"/>
          <w:sz w:val="24"/>
          <w:szCs w:val="22"/>
        </w:rPr>
        <w:fldChar w:fldCharType="begin"/>
      </w:r>
      <w:r w:rsidRPr="003240B1">
        <w:rPr>
          <w:rFonts w:ascii="Times New Roman" w:hAnsi="Times New Roman" w:cs="Times New Roman"/>
          <w:b/>
          <w:bCs/>
          <w:i w:val="0"/>
          <w:color w:val="000000" w:themeColor="text1"/>
          <w:sz w:val="24"/>
          <w:szCs w:val="22"/>
        </w:rPr>
        <w:instrText xml:space="preserve"> SEQ Table \* ARABIC </w:instrText>
      </w:r>
      <w:r w:rsidRPr="003240B1">
        <w:rPr>
          <w:rFonts w:ascii="Times New Roman" w:hAnsi="Times New Roman" w:cs="Times New Roman"/>
          <w:b/>
          <w:bCs/>
          <w:i w:val="0"/>
          <w:color w:val="000000" w:themeColor="text1"/>
          <w:sz w:val="24"/>
          <w:szCs w:val="22"/>
        </w:rPr>
        <w:fldChar w:fldCharType="separate"/>
      </w:r>
      <w:r w:rsidRPr="003240B1">
        <w:rPr>
          <w:rFonts w:ascii="Times New Roman" w:hAnsi="Times New Roman" w:cs="Times New Roman"/>
          <w:b/>
          <w:bCs/>
          <w:i w:val="0"/>
          <w:color w:val="000000" w:themeColor="text1"/>
          <w:sz w:val="24"/>
          <w:szCs w:val="22"/>
        </w:rPr>
        <w:t>1</w:t>
      </w:r>
      <w:r w:rsidRPr="003240B1">
        <w:rPr>
          <w:rFonts w:ascii="Times New Roman" w:hAnsi="Times New Roman" w:cs="Times New Roman"/>
          <w:b/>
          <w:bCs/>
          <w:i w:val="0"/>
          <w:color w:val="000000" w:themeColor="text1"/>
          <w:sz w:val="24"/>
          <w:szCs w:val="22"/>
        </w:rPr>
        <w:fldChar w:fldCharType="end"/>
      </w:r>
      <w:r w:rsidRPr="003240B1">
        <w:rPr>
          <w:rFonts w:ascii="Times New Roman" w:hAnsi="Times New Roman" w:cs="Times New Roman"/>
          <w:b/>
          <w:bCs/>
          <w:i w:val="0"/>
          <w:color w:val="000000" w:themeColor="text1"/>
          <w:sz w:val="24"/>
          <w:szCs w:val="22"/>
        </w:rPr>
        <w:t>. Five Forces Analysis of Hotel Industry in China</w:t>
      </w:r>
    </w:p>
    <w:tbl>
      <w:tblPr>
        <w:tblStyle w:val="ad"/>
        <w:tblW w:w="0" w:type="auto"/>
        <w:jc w:val="center"/>
        <w:tblLook w:val="04A0" w:firstRow="1" w:lastRow="0" w:firstColumn="1" w:lastColumn="0" w:noHBand="0" w:noVBand="1"/>
      </w:tblPr>
      <w:tblGrid>
        <w:gridCol w:w="1555"/>
        <w:gridCol w:w="1275"/>
        <w:gridCol w:w="6186"/>
      </w:tblGrid>
      <w:tr w:rsidR="009C6180" w:rsidRPr="000960C2" w14:paraId="1CEF74E7" w14:textId="77777777">
        <w:trPr>
          <w:jc w:val="center"/>
        </w:trPr>
        <w:tc>
          <w:tcPr>
            <w:tcW w:w="1555" w:type="dxa"/>
            <w:shd w:val="clear" w:color="auto" w:fill="DEEAF6" w:themeFill="accent5" w:themeFillTint="33"/>
            <w:vAlign w:val="center"/>
          </w:tcPr>
          <w:p w14:paraId="33961C9E" w14:textId="77777777" w:rsidR="009C6180" w:rsidRPr="000960C2" w:rsidRDefault="00000000">
            <w:pPr>
              <w:spacing w:after="0" w:line="240" w:lineRule="auto"/>
              <w:jc w:val="center"/>
              <w:rPr>
                <w:rFonts w:ascii="Times New Roman" w:hAnsi="Times New Roman" w:cs="Times New Roman"/>
                <w:b/>
                <w:bCs/>
                <w:sz w:val="24"/>
              </w:rPr>
            </w:pPr>
            <w:r w:rsidRPr="000960C2">
              <w:rPr>
                <w:rFonts w:ascii="Times New Roman" w:hAnsi="Times New Roman" w:cs="Times New Roman"/>
                <w:b/>
                <w:bCs/>
                <w:sz w:val="24"/>
              </w:rPr>
              <w:t>Five forces</w:t>
            </w:r>
          </w:p>
        </w:tc>
        <w:tc>
          <w:tcPr>
            <w:tcW w:w="1275" w:type="dxa"/>
            <w:shd w:val="clear" w:color="auto" w:fill="DEEAF6" w:themeFill="accent5" w:themeFillTint="33"/>
            <w:vAlign w:val="center"/>
          </w:tcPr>
          <w:p w14:paraId="20D4A155" w14:textId="77777777" w:rsidR="009C6180" w:rsidRPr="000960C2" w:rsidRDefault="00000000">
            <w:pPr>
              <w:spacing w:after="0" w:line="240" w:lineRule="auto"/>
              <w:jc w:val="center"/>
              <w:rPr>
                <w:rFonts w:ascii="Times New Roman" w:hAnsi="Times New Roman" w:cs="Times New Roman"/>
                <w:b/>
                <w:bCs/>
                <w:sz w:val="24"/>
              </w:rPr>
            </w:pPr>
            <w:r w:rsidRPr="000960C2">
              <w:rPr>
                <w:rFonts w:ascii="Times New Roman" w:hAnsi="Times New Roman" w:cs="Times New Roman"/>
                <w:b/>
                <w:bCs/>
                <w:sz w:val="24"/>
              </w:rPr>
              <w:t>Rating</w:t>
            </w:r>
          </w:p>
        </w:tc>
        <w:tc>
          <w:tcPr>
            <w:tcW w:w="6186" w:type="dxa"/>
            <w:shd w:val="clear" w:color="auto" w:fill="DEEAF6" w:themeFill="accent5" w:themeFillTint="33"/>
            <w:vAlign w:val="center"/>
          </w:tcPr>
          <w:p w14:paraId="183DFBBE" w14:textId="77777777" w:rsidR="009C6180" w:rsidRPr="000960C2" w:rsidRDefault="00000000">
            <w:pPr>
              <w:spacing w:after="0" w:line="240" w:lineRule="auto"/>
              <w:jc w:val="center"/>
              <w:rPr>
                <w:rFonts w:ascii="Times New Roman" w:hAnsi="Times New Roman" w:cs="Times New Roman"/>
                <w:b/>
                <w:bCs/>
                <w:sz w:val="24"/>
              </w:rPr>
            </w:pPr>
            <w:r w:rsidRPr="000960C2">
              <w:rPr>
                <w:rFonts w:ascii="Times New Roman" w:hAnsi="Times New Roman" w:cs="Times New Roman"/>
                <w:b/>
                <w:bCs/>
                <w:sz w:val="24"/>
              </w:rPr>
              <w:t>Justification</w:t>
            </w:r>
          </w:p>
        </w:tc>
      </w:tr>
      <w:tr w:rsidR="009C6180" w:rsidRPr="000960C2" w14:paraId="048BB44B" w14:textId="77777777">
        <w:trPr>
          <w:jc w:val="center"/>
        </w:trPr>
        <w:tc>
          <w:tcPr>
            <w:tcW w:w="1555" w:type="dxa"/>
            <w:vAlign w:val="center"/>
          </w:tcPr>
          <w:p w14:paraId="29648355"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Threat of new entrants</w:t>
            </w:r>
          </w:p>
        </w:tc>
        <w:tc>
          <w:tcPr>
            <w:tcW w:w="1275" w:type="dxa"/>
            <w:vAlign w:val="center"/>
          </w:tcPr>
          <w:p w14:paraId="100F1D50"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Medium</w:t>
            </w:r>
          </w:p>
        </w:tc>
        <w:tc>
          <w:tcPr>
            <w:tcW w:w="6186" w:type="dxa"/>
            <w:vAlign w:val="center"/>
          </w:tcPr>
          <w:p w14:paraId="2EE439D7"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Low barriers for single hotels; high requirements for chain-scale expansion, including brand recognition, IT systems and standardised management</w:t>
            </w:r>
          </w:p>
        </w:tc>
      </w:tr>
      <w:tr w:rsidR="009C6180" w:rsidRPr="000960C2" w14:paraId="284B9D77" w14:textId="77777777">
        <w:trPr>
          <w:jc w:val="center"/>
        </w:trPr>
        <w:tc>
          <w:tcPr>
            <w:tcW w:w="1555" w:type="dxa"/>
            <w:vAlign w:val="center"/>
          </w:tcPr>
          <w:p w14:paraId="7E9043C9"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Bargaining power of suppliers</w:t>
            </w:r>
          </w:p>
        </w:tc>
        <w:tc>
          <w:tcPr>
            <w:tcW w:w="1275" w:type="dxa"/>
            <w:vAlign w:val="center"/>
          </w:tcPr>
          <w:p w14:paraId="7F856C1A"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Low</w:t>
            </w:r>
          </w:p>
        </w:tc>
        <w:tc>
          <w:tcPr>
            <w:tcW w:w="6186" w:type="dxa"/>
            <w:vAlign w:val="center"/>
          </w:tcPr>
          <w:p w14:paraId="3C912BD7"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Fragmented suppliers; scale purchasing and centralised procurement advantages for large hotel chains</w:t>
            </w:r>
          </w:p>
        </w:tc>
      </w:tr>
      <w:tr w:rsidR="009C6180" w:rsidRPr="000960C2" w14:paraId="06394634" w14:textId="77777777">
        <w:trPr>
          <w:jc w:val="center"/>
        </w:trPr>
        <w:tc>
          <w:tcPr>
            <w:tcW w:w="1555" w:type="dxa"/>
            <w:vAlign w:val="center"/>
          </w:tcPr>
          <w:p w14:paraId="77E4A735"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Bargaining power of buyers</w:t>
            </w:r>
          </w:p>
        </w:tc>
        <w:tc>
          <w:tcPr>
            <w:tcW w:w="1275" w:type="dxa"/>
            <w:vAlign w:val="center"/>
          </w:tcPr>
          <w:p w14:paraId="19EF9950"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High</w:t>
            </w:r>
          </w:p>
        </w:tc>
        <w:tc>
          <w:tcPr>
            <w:tcW w:w="6186" w:type="dxa"/>
            <w:vAlign w:val="center"/>
          </w:tcPr>
          <w:p w14:paraId="17D94BAF"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Low switching costs and strong price sensitivity; greater need for brand trust, service consistency and loyalty programmes</w:t>
            </w:r>
          </w:p>
        </w:tc>
      </w:tr>
      <w:tr w:rsidR="009C6180" w:rsidRPr="000960C2" w14:paraId="7F201C16" w14:textId="77777777">
        <w:trPr>
          <w:jc w:val="center"/>
        </w:trPr>
        <w:tc>
          <w:tcPr>
            <w:tcW w:w="1555" w:type="dxa"/>
            <w:vAlign w:val="center"/>
          </w:tcPr>
          <w:p w14:paraId="5E46F342"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Threat of substitutes</w:t>
            </w:r>
          </w:p>
        </w:tc>
        <w:tc>
          <w:tcPr>
            <w:tcW w:w="1275" w:type="dxa"/>
            <w:vAlign w:val="center"/>
          </w:tcPr>
          <w:p w14:paraId="62EF17EC"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Medium</w:t>
            </w:r>
          </w:p>
        </w:tc>
        <w:tc>
          <w:tcPr>
            <w:tcW w:w="6186" w:type="dxa"/>
            <w:vAlign w:val="center"/>
          </w:tcPr>
          <w:p w14:paraId="097596A0"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Substitutes from hostels, short-term rentals and local hotels; weaker standardisation and brand reliability than chain hotels</w:t>
            </w:r>
          </w:p>
        </w:tc>
      </w:tr>
      <w:tr w:rsidR="009C6180" w:rsidRPr="000960C2" w14:paraId="1D9B21EF" w14:textId="77777777">
        <w:trPr>
          <w:jc w:val="center"/>
        </w:trPr>
        <w:tc>
          <w:tcPr>
            <w:tcW w:w="1555" w:type="dxa"/>
            <w:vAlign w:val="center"/>
          </w:tcPr>
          <w:p w14:paraId="0DE27F64"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Intensity of rivalry</w:t>
            </w:r>
          </w:p>
        </w:tc>
        <w:tc>
          <w:tcPr>
            <w:tcW w:w="1275" w:type="dxa"/>
            <w:vAlign w:val="center"/>
          </w:tcPr>
          <w:p w14:paraId="453DDB7F"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High</w:t>
            </w:r>
          </w:p>
        </w:tc>
        <w:tc>
          <w:tcPr>
            <w:tcW w:w="6186" w:type="dxa"/>
            <w:vAlign w:val="center"/>
          </w:tcPr>
          <w:p w14:paraId="711A6B81"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Fragmented and competitive market; rivalry over price, location, service quality and expansion speed</w:t>
            </w:r>
          </w:p>
        </w:tc>
      </w:tr>
    </w:tbl>
    <w:p w14:paraId="6371A138" w14:textId="6962F433" w:rsidR="009C6180" w:rsidRPr="000960C2" w:rsidRDefault="00000000">
      <w:pPr>
        <w:spacing w:line="360" w:lineRule="auto"/>
        <w:jc w:val="both"/>
        <w:rPr>
          <w:rFonts w:ascii="Times New Roman" w:hAnsi="Times New Roman" w:cs="Times New Roman"/>
          <w:bCs/>
          <w:sz w:val="24"/>
        </w:rPr>
      </w:pPr>
      <w:r w:rsidRPr="000960C2">
        <w:rPr>
          <w:rFonts w:ascii="Times New Roman" w:hAnsi="Times New Roman" w:cs="Times New Roman"/>
          <w:bCs/>
          <w:sz w:val="24"/>
        </w:rPr>
        <w:t>This competitive environment explains why CLG</w:t>
      </w:r>
      <w:r w:rsidR="00B53D84">
        <w:rPr>
          <w:rFonts w:ascii="Times New Roman" w:hAnsi="Times New Roman" w:cs="Times New Roman"/>
          <w:bCs/>
          <w:sz w:val="24"/>
        </w:rPr>
        <w:t>’</w:t>
      </w:r>
      <w:r w:rsidRPr="000960C2">
        <w:rPr>
          <w:rFonts w:ascii="Times New Roman" w:hAnsi="Times New Roman" w:cs="Times New Roman"/>
          <w:bCs/>
          <w:sz w:val="24"/>
        </w:rPr>
        <w:t xml:space="preserve">s </w:t>
      </w:r>
      <w:r w:rsidR="000960C2" w:rsidRPr="000960C2">
        <w:rPr>
          <w:rFonts w:ascii="Times New Roman" w:hAnsi="Times New Roman" w:cs="Times New Roman" w:hint="eastAsia"/>
          <w:bCs/>
          <w:sz w:val="24"/>
        </w:rPr>
        <w:t>CSFs</w:t>
      </w:r>
      <w:r w:rsidRPr="000960C2">
        <w:rPr>
          <w:rFonts w:ascii="Times New Roman" w:hAnsi="Times New Roman" w:cs="Times New Roman"/>
          <w:bCs/>
          <w:sz w:val="24"/>
        </w:rPr>
        <w:t xml:space="preserve"> were closely linked to scale, efficiency, standardisation, digital capability and customer retention.</w:t>
      </w:r>
    </w:p>
    <w:p w14:paraId="1942C18E" w14:textId="06051B73" w:rsidR="009C6180" w:rsidRPr="000960C2" w:rsidRDefault="00000000">
      <w:pPr>
        <w:spacing w:line="360" w:lineRule="auto"/>
        <w:jc w:val="both"/>
        <w:rPr>
          <w:rFonts w:ascii="Times New Roman" w:hAnsi="Times New Roman" w:cs="Times New Roman"/>
          <w:b/>
          <w:sz w:val="24"/>
        </w:rPr>
      </w:pPr>
      <w:r w:rsidRPr="000960C2">
        <w:rPr>
          <w:rFonts w:ascii="Times New Roman" w:hAnsi="Times New Roman" w:cs="Times New Roman"/>
          <w:b/>
          <w:sz w:val="24"/>
        </w:rPr>
        <w:t>C</w:t>
      </w:r>
      <w:r w:rsidR="000960C2" w:rsidRPr="000960C2">
        <w:rPr>
          <w:rFonts w:ascii="Times New Roman" w:hAnsi="Times New Roman" w:cs="Times New Roman" w:hint="eastAsia"/>
          <w:b/>
          <w:sz w:val="24"/>
        </w:rPr>
        <w:t>SFs</w:t>
      </w:r>
      <w:r w:rsidRPr="000960C2">
        <w:rPr>
          <w:rFonts w:ascii="Times New Roman" w:hAnsi="Times New Roman" w:cs="Times New Roman"/>
          <w:b/>
          <w:sz w:val="24"/>
        </w:rPr>
        <w:t xml:space="preserve"> for CLG</w:t>
      </w:r>
    </w:p>
    <w:p w14:paraId="58F0AC37" w14:textId="4FCD716F" w:rsidR="000960C2" w:rsidRPr="000960C2" w:rsidRDefault="000960C2">
      <w:pPr>
        <w:spacing w:line="360" w:lineRule="auto"/>
        <w:jc w:val="both"/>
        <w:rPr>
          <w:rFonts w:ascii="Times New Roman" w:hAnsi="Times New Roman" w:cs="Times New Roman"/>
          <w:bCs/>
          <w:sz w:val="24"/>
        </w:rPr>
      </w:pPr>
      <w:r w:rsidRPr="000960C2">
        <w:rPr>
          <w:rFonts w:ascii="Times New Roman" w:hAnsi="Times New Roman" w:cs="Times New Roman"/>
          <w:bCs/>
          <w:sz w:val="24"/>
        </w:rPr>
        <w:t xml:space="preserve">From the strategy and industry analysis above, CLG </w:t>
      </w:r>
      <w:r w:rsidR="00BA0015" w:rsidRPr="00BA0015">
        <w:rPr>
          <w:rFonts w:ascii="Times New Roman" w:hAnsi="Times New Roman" w:cs="Times New Roman"/>
          <w:bCs/>
          <w:sz w:val="24"/>
        </w:rPr>
        <w:t>rapid growth relied on four CSFs</w:t>
      </w:r>
      <w:r w:rsidRPr="000960C2">
        <w:rPr>
          <w:rFonts w:ascii="Times New Roman" w:hAnsi="Times New Roman" w:cs="Times New Roman"/>
          <w:bCs/>
          <w:sz w:val="24"/>
        </w:rPr>
        <w:t>. Firstly, multi-brand diversity and broad geographic reach were important as CLG needed to cover economy, midscale and higher-end segments and strengthen its market presence at a national level. Secondly, efficient operations and service standardisation were important because rising labour and rental costs made cost control and consistent service necessary for profitable expansion. Thirdly, digital and IT-enabled operating infrastructure supported CLG</w:t>
      </w:r>
      <w:r w:rsidR="00B53D84">
        <w:rPr>
          <w:rFonts w:ascii="Times New Roman" w:hAnsi="Times New Roman" w:cs="Times New Roman"/>
          <w:bCs/>
          <w:sz w:val="24"/>
        </w:rPr>
        <w:t>’</w:t>
      </w:r>
      <w:r w:rsidRPr="000960C2">
        <w:rPr>
          <w:rFonts w:ascii="Times New Roman" w:hAnsi="Times New Roman" w:cs="Times New Roman"/>
          <w:bCs/>
          <w:sz w:val="24"/>
        </w:rPr>
        <w:t xml:space="preserve">s central control of a geographically dispersed hotel portfolio, particularly in the areas of reservations, CRM and property-management systems. Fourthly, CLG had built up strong brand equity and member loyalty, which helped to reduce marketing costs, stabilise occupancy and keep their </w:t>
      </w:r>
      <w:r w:rsidRPr="000960C2">
        <w:rPr>
          <w:rFonts w:ascii="Times New Roman" w:hAnsi="Times New Roman" w:cs="Times New Roman"/>
          <w:bCs/>
          <w:sz w:val="24"/>
        </w:rPr>
        <w:lastRenderedPageBreak/>
        <w:t>customers in a market with high buyer power and low switching costs. The CSFs were mutually reinforcing: scale drove market reach, efficiency protected profitability, standardisation supported quality of service, digital systems enabled control, and loyalty generated repeat demand.</w:t>
      </w:r>
    </w:p>
    <w:p w14:paraId="1FDD607C" w14:textId="730588ED" w:rsidR="009C6180" w:rsidRPr="000960C2" w:rsidRDefault="00000000">
      <w:pPr>
        <w:spacing w:line="360" w:lineRule="auto"/>
        <w:jc w:val="both"/>
        <w:rPr>
          <w:rFonts w:ascii="Times New Roman" w:hAnsi="Times New Roman" w:cs="Times New Roman"/>
          <w:b/>
          <w:sz w:val="24"/>
        </w:rPr>
      </w:pPr>
      <w:r w:rsidRPr="000960C2">
        <w:rPr>
          <w:rFonts w:ascii="Times New Roman" w:hAnsi="Times New Roman" w:cs="Times New Roman"/>
          <w:b/>
          <w:sz w:val="24"/>
        </w:rPr>
        <w:t>Cause-and-effect analysis: How CSFs underpin CLG</w:t>
      </w:r>
      <w:r w:rsidR="00B53D84">
        <w:rPr>
          <w:rFonts w:ascii="Times New Roman" w:hAnsi="Times New Roman" w:cs="Times New Roman"/>
          <w:b/>
          <w:sz w:val="24"/>
        </w:rPr>
        <w:t>’</w:t>
      </w:r>
      <w:r w:rsidRPr="000960C2">
        <w:rPr>
          <w:rFonts w:ascii="Times New Roman" w:hAnsi="Times New Roman" w:cs="Times New Roman"/>
          <w:b/>
          <w:sz w:val="24"/>
        </w:rPr>
        <w:t>s rapid expansion</w:t>
      </w:r>
    </w:p>
    <w:p w14:paraId="33364375" w14:textId="0BF918C2" w:rsidR="000960C2" w:rsidRPr="000960C2" w:rsidRDefault="000960C2" w:rsidP="000960C2">
      <w:pPr>
        <w:spacing w:line="360" w:lineRule="auto"/>
        <w:jc w:val="both"/>
        <w:rPr>
          <w:rFonts w:ascii="Times New Roman" w:hAnsi="Times New Roman" w:cs="Times New Roman" w:hint="eastAsia"/>
          <w:bCs/>
          <w:sz w:val="24"/>
        </w:rPr>
      </w:pPr>
      <w:r w:rsidRPr="000960C2">
        <w:rPr>
          <w:rFonts w:ascii="Times New Roman" w:hAnsi="Times New Roman" w:cs="Times New Roman" w:hint="eastAsia"/>
          <w:bCs/>
          <w:sz w:val="24"/>
        </w:rPr>
        <w:t>Brand diversity and geographic coverage: CLG</w:t>
      </w:r>
      <w:r w:rsidR="00B53D84">
        <w:rPr>
          <w:rFonts w:ascii="Times New Roman" w:hAnsi="Times New Roman" w:cs="Times New Roman"/>
          <w:bCs/>
          <w:sz w:val="24"/>
        </w:rPr>
        <w:t>’</w:t>
      </w:r>
      <w:r w:rsidRPr="000960C2">
        <w:rPr>
          <w:rFonts w:ascii="Times New Roman" w:hAnsi="Times New Roman" w:cs="Times New Roman" w:hint="eastAsia"/>
          <w:bCs/>
          <w:sz w:val="24"/>
        </w:rPr>
        <w:t xml:space="preserve">s diversified brand portfolio and nationwide coverage helped serve different customer groups and reduce dependence on a single market. Its presence in both economy and mid/high-end sectors provided a wider revenue base, while broader city coverage boosted brand recognition and bargaining power in new markets (Sandino, Li and </w:t>
      </w:r>
      <w:proofErr w:type="spellStart"/>
      <w:r w:rsidRPr="000960C2">
        <w:rPr>
          <w:rFonts w:ascii="Times New Roman" w:hAnsi="Times New Roman" w:cs="Times New Roman" w:hint="eastAsia"/>
          <w:bCs/>
          <w:sz w:val="24"/>
        </w:rPr>
        <w:t>Huadai</w:t>
      </w:r>
      <w:proofErr w:type="spellEnd"/>
      <w:r w:rsidRPr="000960C2">
        <w:rPr>
          <w:rFonts w:ascii="Times New Roman" w:hAnsi="Times New Roman" w:cs="Times New Roman" w:hint="eastAsia"/>
          <w:bCs/>
          <w:sz w:val="24"/>
        </w:rPr>
        <w:t xml:space="preserve">, 2016a; Sandino, Li and </w:t>
      </w:r>
      <w:proofErr w:type="spellStart"/>
      <w:r w:rsidRPr="000960C2">
        <w:rPr>
          <w:rFonts w:ascii="Times New Roman" w:hAnsi="Times New Roman" w:cs="Times New Roman" w:hint="eastAsia"/>
          <w:bCs/>
          <w:sz w:val="24"/>
        </w:rPr>
        <w:t>Huadai</w:t>
      </w:r>
      <w:proofErr w:type="spellEnd"/>
      <w:r w:rsidRPr="000960C2">
        <w:rPr>
          <w:rFonts w:ascii="Times New Roman" w:hAnsi="Times New Roman" w:cs="Times New Roman" w:hint="eastAsia"/>
          <w:bCs/>
          <w:sz w:val="24"/>
        </w:rPr>
        <w:t xml:space="preserve">, 2016b). This helped CLG </w:t>
      </w:r>
      <w:r w:rsidR="00B53D84">
        <w:rPr>
          <w:rFonts w:ascii="Times New Roman" w:hAnsi="Times New Roman" w:cs="Times New Roman" w:hint="eastAsia"/>
          <w:bCs/>
          <w:sz w:val="24"/>
        </w:rPr>
        <w:t>enter</w:t>
      </w:r>
      <w:r w:rsidRPr="000960C2">
        <w:rPr>
          <w:rFonts w:ascii="Times New Roman" w:hAnsi="Times New Roman" w:cs="Times New Roman" w:hint="eastAsia"/>
          <w:bCs/>
          <w:sz w:val="24"/>
        </w:rPr>
        <w:t xml:space="preserve"> new regions and </w:t>
      </w:r>
      <w:r w:rsidR="00B53D84">
        <w:rPr>
          <w:rFonts w:ascii="Times New Roman" w:hAnsi="Times New Roman" w:cs="Times New Roman" w:hint="eastAsia"/>
          <w:bCs/>
          <w:sz w:val="24"/>
        </w:rPr>
        <w:t xml:space="preserve">replicate </w:t>
      </w:r>
      <w:r w:rsidRPr="000960C2">
        <w:rPr>
          <w:rFonts w:ascii="Times New Roman" w:hAnsi="Times New Roman" w:cs="Times New Roman" w:hint="eastAsia"/>
          <w:bCs/>
          <w:sz w:val="24"/>
        </w:rPr>
        <w:t xml:space="preserve">its hotel model </w:t>
      </w:r>
      <w:r w:rsidR="00B53D84">
        <w:rPr>
          <w:rFonts w:ascii="Times New Roman" w:hAnsi="Times New Roman" w:cs="Times New Roman" w:hint="eastAsia"/>
          <w:bCs/>
          <w:sz w:val="24"/>
        </w:rPr>
        <w:t>on</w:t>
      </w:r>
      <w:r w:rsidRPr="000960C2">
        <w:rPr>
          <w:rFonts w:ascii="Times New Roman" w:hAnsi="Times New Roman" w:cs="Times New Roman" w:hint="eastAsia"/>
          <w:bCs/>
          <w:sz w:val="24"/>
        </w:rPr>
        <w:t xml:space="preserve"> a larger scale.</w:t>
      </w:r>
    </w:p>
    <w:p w14:paraId="43C6A44A" w14:textId="4940E447" w:rsidR="000960C2" w:rsidRPr="000960C2" w:rsidRDefault="000960C2" w:rsidP="000960C2">
      <w:pPr>
        <w:spacing w:line="360" w:lineRule="auto"/>
        <w:jc w:val="both"/>
        <w:rPr>
          <w:rFonts w:ascii="Times New Roman" w:hAnsi="Times New Roman" w:cs="Times New Roman" w:hint="eastAsia"/>
          <w:bCs/>
          <w:sz w:val="24"/>
        </w:rPr>
      </w:pPr>
      <w:r w:rsidRPr="000960C2">
        <w:rPr>
          <w:rFonts w:ascii="Times New Roman" w:hAnsi="Times New Roman" w:cs="Times New Roman" w:hint="eastAsia"/>
          <w:bCs/>
          <w:sz w:val="24"/>
        </w:rPr>
        <w:t>Effective operations and standardisation of services: CLG</w:t>
      </w:r>
      <w:r w:rsidR="00B53D84">
        <w:rPr>
          <w:rFonts w:ascii="Times New Roman" w:hAnsi="Times New Roman" w:cs="Times New Roman"/>
          <w:bCs/>
          <w:sz w:val="24"/>
        </w:rPr>
        <w:t>’</w:t>
      </w:r>
      <w:r w:rsidRPr="000960C2">
        <w:rPr>
          <w:rFonts w:ascii="Times New Roman" w:hAnsi="Times New Roman" w:cs="Times New Roman" w:hint="eastAsia"/>
          <w:bCs/>
          <w:sz w:val="24"/>
        </w:rPr>
        <w:t>s effective operations helped to control costs and maintain consistent services across the hotels</w:t>
      </w:r>
      <w:r w:rsidR="00B53D84">
        <w:rPr>
          <w:rFonts w:ascii="Times New Roman" w:hAnsi="Times New Roman" w:cs="Times New Roman"/>
          <w:bCs/>
          <w:sz w:val="24"/>
        </w:rPr>
        <w:t>’</w:t>
      </w:r>
      <w:r w:rsidRPr="000960C2">
        <w:rPr>
          <w:rFonts w:ascii="Times New Roman" w:hAnsi="Times New Roman" w:cs="Times New Roman" w:hint="eastAsia"/>
          <w:bCs/>
          <w:sz w:val="24"/>
        </w:rPr>
        <w:t xml:space="preserve"> various formats. The reduction in the staff-to-room ratio from 0.32 to 0.17 indicated the increased labour efficiency and it also helped ease rising cost pressures (Sandino, Li and </w:t>
      </w:r>
      <w:proofErr w:type="spellStart"/>
      <w:r w:rsidRPr="000960C2">
        <w:rPr>
          <w:rFonts w:ascii="Times New Roman" w:hAnsi="Times New Roman" w:cs="Times New Roman" w:hint="eastAsia"/>
          <w:bCs/>
          <w:sz w:val="24"/>
        </w:rPr>
        <w:t>Huadai</w:t>
      </w:r>
      <w:proofErr w:type="spellEnd"/>
      <w:r w:rsidRPr="000960C2">
        <w:rPr>
          <w:rFonts w:ascii="Times New Roman" w:hAnsi="Times New Roman" w:cs="Times New Roman" w:hint="eastAsia"/>
          <w:bCs/>
          <w:sz w:val="24"/>
        </w:rPr>
        <w:t xml:space="preserve">, 2016a; Sandino, Li and </w:t>
      </w:r>
      <w:proofErr w:type="spellStart"/>
      <w:r w:rsidRPr="000960C2">
        <w:rPr>
          <w:rFonts w:ascii="Times New Roman" w:hAnsi="Times New Roman" w:cs="Times New Roman" w:hint="eastAsia"/>
          <w:bCs/>
          <w:sz w:val="24"/>
        </w:rPr>
        <w:t>Huadai</w:t>
      </w:r>
      <w:proofErr w:type="spellEnd"/>
      <w:r w:rsidRPr="000960C2">
        <w:rPr>
          <w:rFonts w:ascii="Times New Roman" w:hAnsi="Times New Roman" w:cs="Times New Roman" w:hint="eastAsia"/>
          <w:bCs/>
          <w:sz w:val="24"/>
        </w:rPr>
        <w:t>, 2016b). Combined with the standardised procedures, this shortened the break-even period of new hotels and facilitated expansion without compromising profitability.</w:t>
      </w:r>
    </w:p>
    <w:p w14:paraId="36997AFB" w14:textId="785CFBB1" w:rsidR="000960C2" w:rsidRPr="000960C2" w:rsidRDefault="000960C2" w:rsidP="000960C2">
      <w:pPr>
        <w:spacing w:line="360" w:lineRule="auto"/>
        <w:jc w:val="both"/>
        <w:rPr>
          <w:rFonts w:ascii="Times New Roman" w:hAnsi="Times New Roman" w:cs="Times New Roman" w:hint="eastAsia"/>
          <w:bCs/>
          <w:sz w:val="24"/>
        </w:rPr>
      </w:pPr>
      <w:r w:rsidRPr="000960C2">
        <w:rPr>
          <w:rFonts w:ascii="Times New Roman" w:hAnsi="Times New Roman" w:cs="Times New Roman" w:hint="eastAsia"/>
          <w:bCs/>
          <w:sz w:val="24"/>
        </w:rPr>
        <w:t>Digital and IT-enabled operational infrastructure: CLG</w:t>
      </w:r>
      <w:r w:rsidR="00B53D84">
        <w:rPr>
          <w:rFonts w:ascii="Times New Roman" w:hAnsi="Times New Roman" w:cs="Times New Roman"/>
          <w:bCs/>
          <w:sz w:val="24"/>
        </w:rPr>
        <w:t>’</w:t>
      </w:r>
      <w:r w:rsidRPr="000960C2">
        <w:rPr>
          <w:rFonts w:ascii="Times New Roman" w:hAnsi="Times New Roman" w:cs="Times New Roman" w:hint="eastAsia"/>
          <w:bCs/>
          <w:sz w:val="24"/>
        </w:rPr>
        <w:t xml:space="preserve">s central reservation, property-management and CRM systems enabled larger-scale network control to be more feasible (Sandino, Li and </w:t>
      </w:r>
      <w:proofErr w:type="spellStart"/>
      <w:r w:rsidRPr="000960C2">
        <w:rPr>
          <w:rFonts w:ascii="Times New Roman" w:hAnsi="Times New Roman" w:cs="Times New Roman" w:hint="eastAsia"/>
          <w:bCs/>
          <w:sz w:val="24"/>
        </w:rPr>
        <w:t>Huadai</w:t>
      </w:r>
      <w:proofErr w:type="spellEnd"/>
      <w:r w:rsidRPr="000960C2">
        <w:rPr>
          <w:rFonts w:ascii="Times New Roman" w:hAnsi="Times New Roman" w:cs="Times New Roman" w:hint="eastAsia"/>
          <w:bCs/>
          <w:sz w:val="24"/>
        </w:rPr>
        <w:t>, 2016a). These systems improved booking efficiency, customer data management, operational monitoring and process standardisation. As CLG moved from economy hotels to the mid/high-end segments, digital infrastructure reduced management complexity and made its business model easier to replicate.</w:t>
      </w:r>
    </w:p>
    <w:p w14:paraId="3A97A0DB" w14:textId="40AD3340" w:rsidR="000960C2" w:rsidRPr="000960C2" w:rsidRDefault="000960C2" w:rsidP="000960C2">
      <w:pPr>
        <w:spacing w:line="360" w:lineRule="auto"/>
        <w:jc w:val="both"/>
        <w:rPr>
          <w:rFonts w:ascii="Times New Roman" w:hAnsi="Times New Roman" w:cs="Times New Roman"/>
          <w:bCs/>
          <w:sz w:val="24"/>
        </w:rPr>
      </w:pPr>
      <w:r w:rsidRPr="000960C2">
        <w:rPr>
          <w:rFonts w:ascii="Times New Roman" w:hAnsi="Times New Roman" w:cs="Times New Roman" w:hint="eastAsia"/>
          <w:bCs/>
          <w:sz w:val="24"/>
        </w:rPr>
        <w:t>Brand equity and member loyalty: CLG</w:t>
      </w:r>
      <w:r w:rsidR="00B53D84">
        <w:rPr>
          <w:rFonts w:ascii="Times New Roman" w:hAnsi="Times New Roman" w:cs="Times New Roman"/>
          <w:bCs/>
          <w:sz w:val="24"/>
        </w:rPr>
        <w:t>’</w:t>
      </w:r>
      <w:r w:rsidRPr="000960C2">
        <w:rPr>
          <w:rFonts w:ascii="Times New Roman" w:hAnsi="Times New Roman" w:cs="Times New Roman" w:hint="eastAsia"/>
          <w:bCs/>
          <w:sz w:val="24"/>
        </w:rPr>
        <w:t xml:space="preserve">s strong brand and membership base created stable demand for existing and newly opened hotels. Its loyalty programme had more than 31 million members, accounting for about 85% of room nights in 2014 (Sandino, Li and </w:t>
      </w:r>
      <w:proofErr w:type="spellStart"/>
      <w:r w:rsidRPr="000960C2">
        <w:rPr>
          <w:rFonts w:ascii="Times New Roman" w:hAnsi="Times New Roman" w:cs="Times New Roman" w:hint="eastAsia"/>
          <w:bCs/>
          <w:sz w:val="24"/>
        </w:rPr>
        <w:t>Huadai</w:t>
      </w:r>
      <w:proofErr w:type="spellEnd"/>
      <w:r w:rsidRPr="000960C2">
        <w:rPr>
          <w:rFonts w:ascii="Times New Roman" w:hAnsi="Times New Roman" w:cs="Times New Roman" w:hint="eastAsia"/>
          <w:bCs/>
          <w:sz w:val="24"/>
        </w:rPr>
        <w:t>, 2016a). This lowered the requirement for heavy local marketing, provided greater stability in occupancy rates and decreased the risk for rapid network expansion.</w:t>
      </w:r>
    </w:p>
    <w:p w14:paraId="0EE173E1" w14:textId="7B1A0B5E" w:rsidR="009C6180" w:rsidRPr="000960C2" w:rsidRDefault="00000000" w:rsidP="000960C2">
      <w:pPr>
        <w:spacing w:line="360" w:lineRule="auto"/>
        <w:jc w:val="both"/>
        <w:rPr>
          <w:rFonts w:ascii="Times New Roman" w:hAnsi="Times New Roman" w:cs="Times New Roman"/>
          <w:bCs/>
          <w:sz w:val="24"/>
        </w:rPr>
      </w:pPr>
      <w:r w:rsidRPr="000960C2">
        <w:rPr>
          <w:rFonts w:ascii="Times New Roman" w:hAnsi="Times New Roman" w:cs="Times New Roman"/>
          <w:bCs/>
          <w:sz w:val="24"/>
        </w:rPr>
        <w:lastRenderedPageBreak/>
        <w:t>Overall, these CSFs worked together to make CLG</w:t>
      </w:r>
      <w:r w:rsidR="00B53D84">
        <w:rPr>
          <w:rFonts w:ascii="Times New Roman" w:hAnsi="Times New Roman" w:cs="Times New Roman"/>
          <w:bCs/>
          <w:sz w:val="24"/>
        </w:rPr>
        <w:t>’</w:t>
      </w:r>
      <w:r w:rsidRPr="000960C2">
        <w:rPr>
          <w:rFonts w:ascii="Times New Roman" w:hAnsi="Times New Roman" w:cs="Times New Roman"/>
          <w:bCs/>
          <w:sz w:val="24"/>
        </w:rPr>
        <w:t>s expansion scalable and controllable. Multi-brand coverage created market reach; operational efficiency protected profitability; service standardisation maintained customer trust; IT systems enabled centralised control; and member loyalty generated repeat demand. These factors also provide the basis for evaluating whether CLG</w:t>
      </w:r>
      <w:r w:rsidR="00B53D84">
        <w:rPr>
          <w:rFonts w:ascii="Times New Roman" w:hAnsi="Times New Roman" w:cs="Times New Roman"/>
          <w:bCs/>
          <w:sz w:val="24"/>
        </w:rPr>
        <w:t>’</w:t>
      </w:r>
      <w:r w:rsidRPr="000960C2">
        <w:rPr>
          <w:rFonts w:ascii="Times New Roman" w:hAnsi="Times New Roman" w:cs="Times New Roman"/>
          <w:bCs/>
          <w:sz w:val="24"/>
        </w:rPr>
        <w:t>s original BSC measured the real drivers of its strategy in Question 2.</w:t>
      </w:r>
    </w:p>
    <w:p w14:paraId="7A27319D" w14:textId="77777777" w:rsidR="009C6180" w:rsidRPr="000960C2" w:rsidRDefault="009C6180">
      <w:pPr>
        <w:spacing w:line="240" w:lineRule="auto"/>
        <w:jc w:val="both"/>
        <w:rPr>
          <w:rFonts w:ascii="Times New Roman" w:hAnsi="Times New Roman" w:cs="Times New Roman"/>
          <w:bCs/>
          <w:sz w:val="24"/>
        </w:rPr>
      </w:pPr>
    </w:p>
    <w:p w14:paraId="4CA73AB0" w14:textId="5A0C4470" w:rsidR="009C6180" w:rsidRPr="000960C2" w:rsidRDefault="00000000">
      <w:pPr>
        <w:spacing w:line="240" w:lineRule="auto"/>
        <w:jc w:val="both"/>
        <w:rPr>
          <w:rFonts w:ascii="Times New Roman" w:hAnsi="Times New Roman" w:cs="Times New Roman"/>
          <w:b/>
          <w:sz w:val="28"/>
          <w:szCs w:val="28"/>
        </w:rPr>
      </w:pPr>
      <w:r w:rsidRPr="000960C2">
        <w:rPr>
          <w:rFonts w:ascii="Times New Roman" w:hAnsi="Times New Roman" w:cs="Times New Roman"/>
          <w:b/>
          <w:sz w:val="28"/>
          <w:szCs w:val="28"/>
        </w:rPr>
        <w:t>Question 2</w:t>
      </w:r>
      <w:r w:rsidRPr="000960C2">
        <w:rPr>
          <w:rFonts w:ascii="Times New Roman" w:hAnsi="Times New Roman" w:cs="Times New Roman" w:hint="eastAsia"/>
          <w:b/>
          <w:sz w:val="28"/>
          <w:szCs w:val="28"/>
        </w:rPr>
        <w:t>.</w:t>
      </w:r>
      <w:r w:rsidRPr="000960C2">
        <w:rPr>
          <w:rFonts w:ascii="Times New Roman" w:hAnsi="Times New Roman" w:cs="Times New Roman"/>
          <w:b/>
          <w:sz w:val="28"/>
          <w:szCs w:val="28"/>
        </w:rPr>
        <w:t xml:space="preserve"> Evaluating CLG</w:t>
      </w:r>
      <w:r w:rsidR="00B53D84">
        <w:rPr>
          <w:rFonts w:ascii="Times New Roman" w:hAnsi="Times New Roman" w:cs="Times New Roman"/>
          <w:b/>
          <w:sz w:val="28"/>
          <w:szCs w:val="28"/>
        </w:rPr>
        <w:t>’</w:t>
      </w:r>
      <w:r w:rsidRPr="000960C2">
        <w:rPr>
          <w:rFonts w:ascii="Times New Roman" w:hAnsi="Times New Roman" w:cs="Times New Roman"/>
          <w:b/>
          <w:sz w:val="28"/>
          <w:szCs w:val="28"/>
        </w:rPr>
        <w:t xml:space="preserve">s </w:t>
      </w:r>
      <w:r w:rsidR="00861FB1" w:rsidRPr="00861FB1">
        <w:rPr>
          <w:rFonts w:ascii="Times New Roman" w:hAnsi="Times New Roman" w:cs="Times New Roman"/>
          <w:b/>
          <w:sz w:val="28"/>
          <w:szCs w:val="28"/>
        </w:rPr>
        <w:t>Balanced Scorecard</w:t>
      </w:r>
      <w:r w:rsidRPr="000960C2">
        <w:rPr>
          <w:rFonts w:ascii="Times New Roman" w:hAnsi="Times New Roman" w:cs="Times New Roman"/>
          <w:b/>
          <w:sz w:val="28"/>
          <w:szCs w:val="28"/>
        </w:rPr>
        <w:t xml:space="preserve"> Design</w:t>
      </w:r>
    </w:p>
    <w:p w14:paraId="46834615" w14:textId="3832007E" w:rsidR="009C6180" w:rsidRPr="000960C2" w:rsidRDefault="00000000">
      <w:pPr>
        <w:spacing w:line="360" w:lineRule="auto"/>
        <w:jc w:val="both"/>
        <w:rPr>
          <w:rFonts w:ascii="Times New Roman" w:hAnsi="Times New Roman" w:cs="Times New Roman"/>
          <w:b/>
          <w:sz w:val="24"/>
        </w:rPr>
      </w:pPr>
      <w:r w:rsidRPr="000960C2">
        <w:rPr>
          <w:rFonts w:ascii="Times New Roman" w:hAnsi="Times New Roman" w:cs="Times New Roman"/>
          <w:b/>
          <w:sz w:val="24"/>
        </w:rPr>
        <w:t xml:space="preserve">Purposes of the </w:t>
      </w:r>
      <w:r w:rsidR="000960C2">
        <w:rPr>
          <w:rFonts w:ascii="Times New Roman" w:hAnsi="Times New Roman" w:cs="Times New Roman" w:hint="eastAsia"/>
          <w:b/>
          <w:sz w:val="24"/>
        </w:rPr>
        <w:t>BSC</w:t>
      </w:r>
    </w:p>
    <w:p w14:paraId="35246CCB" w14:textId="573032C1" w:rsidR="009C6180" w:rsidRPr="000960C2" w:rsidRDefault="00000000">
      <w:pPr>
        <w:spacing w:line="360" w:lineRule="auto"/>
        <w:jc w:val="both"/>
        <w:rPr>
          <w:rFonts w:ascii="Times New Roman" w:hAnsi="Times New Roman" w:cs="Times New Roman"/>
          <w:sz w:val="24"/>
        </w:rPr>
      </w:pPr>
      <w:r w:rsidRPr="000960C2">
        <w:rPr>
          <w:rFonts w:ascii="Times New Roman" w:hAnsi="Times New Roman" w:cs="Times New Roman" w:hint="eastAsia"/>
          <w:sz w:val="24"/>
        </w:rPr>
        <w:t xml:space="preserve">The </w:t>
      </w:r>
      <w:r w:rsidRPr="000960C2">
        <w:rPr>
          <w:rFonts w:ascii="Times New Roman" w:hAnsi="Times New Roman" w:cs="Times New Roman"/>
          <w:sz w:val="24"/>
        </w:rPr>
        <w:t xml:space="preserve">BSC, serving as a performance management system, plays a significant role in corporate strategy implementation. The concept is first introduced by Kaplan and Norton (1992), who combines traditional financial measures with non-financial measures to form a structured framework to evaluate business performance. Kaplan and Norton (1996) further develop this system into four perspectives, which are financial, customer, internal business process and learning and growth respectively. Thus, a cause-and-effect chain exists, where learning and growth at the bottom level supports the improvement of internal business process, resulting in a better customer outcome and a corresponding favourable financial performance. Through this process, the </w:t>
      </w:r>
      <w:r w:rsidR="000960C2">
        <w:rPr>
          <w:rFonts w:ascii="Times New Roman" w:hAnsi="Times New Roman" w:cs="Times New Roman" w:hint="eastAsia"/>
          <w:sz w:val="24"/>
        </w:rPr>
        <w:t>BSC</w:t>
      </w:r>
      <w:r w:rsidRPr="000960C2">
        <w:rPr>
          <w:rFonts w:ascii="Times New Roman" w:hAnsi="Times New Roman" w:cs="Times New Roman"/>
          <w:sz w:val="24"/>
        </w:rPr>
        <w:t xml:space="preserve"> applies performance metrics to transfer abstract corporate strategy and mission into detailed and measurable objectives and targets. This serves the purpose of guiding managers and employees to monitor and conduct daily operational activities, contributing to broader strategic goals.</w:t>
      </w:r>
    </w:p>
    <w:p w14:paraId="516E876E" w14:textId="58DC1231" w:rsidR="009C6180" w:rsidRPr="000960C2" w:rsidRDefault="00000000">
      <w:pPr>
        <w:spacing w:line="360" w:lineRule="auto"/>
        <w:jc w:val="both"/>
        <w:rPr>
          <w:rFonts w:ascii="Times New Roman" w:hAnsi="Times New Roman" w:cs="Times New Roman"/>
          <w:b/>
          <w:sz w:val="24"/>
        </w:rPr>
      </w:pPr>
      <w:r w:rsidRPr="000960C2">
        <w:rPr>
          <w:rFonts w:ascii="Times New Roman" w:hAnsi="Times New Roman" w:cs="Times New Roman"/>
          <w:b/>
          <w:sz w:val="24"/>
        </w:rPr>
        <w:t>Measures and Strategic Alignment of CLG</w:t>
      </w:r>
      <w:r w:rsidR="00B53D84">
        <w:rPr>
          <w:rFonts w:ascii="Times New Roman" w:hAnsi="Times New Roman" w:cs="Times New Roman"/>
          <w:b/>
          <w:sz w:val="24"/>
        </w:rPr>
        <w:t>’</w:t>
      </w:r>
      <w:r w:rsidRPr="000960C2">
        <w:rPr>
          <w:rFonts w:ascii="Times New Roman" w:hAnsi="Times New Roman" w:cs="Times New Roman"/>
          <w:b/>
          <w:sz w:val="24"/>
        </w:rPr>
        <w:t>s Original BSC</w:t>
      </w:r>
    </w:p>
    <w:p w14:paraId="184E5F14" w14:textId="21111A80" w:rsidR="009C6180" w:rsidRPr="000960C2" w:rsidRDefault="00000000">
      <w:pPr>
        <w:spacing w:line="360" w:lineRule="auto"/>
        <w:jc w:val="both"/>
        <w:rPr>
          <w:rFonts w:ascii="Times New Roman" w:hAnsi="Times New Roman" w:cs="Times New Roman"/>
          <w:sz w:val="24"/>
        </w:rPr>
      </w:pPr>
      <w:r w:rsidRPr="000960C2">
        <w:rPr>
          <w:rFonts w:ascii="Times New Roman" w:hAnsi="Times New Roman" w:cs="Times New Roman"/>
          <w:sz w:val="24"/>
        </w:rPr>
        <w:t>Therefore, this section will mainly evaluate CLG</w:t>
      </w:r>
      <w:r w:rsidR="00B53D84">
        <w:rPr>
          <w:rFonts w:ascii="Times New Roman" w:hAnsi="Times New Roman" w:cs="Times New Roman"/>
          <w:sz w:val="24"/>
        </w:rPr>
        <w:t>’</w:t>
      </w:r>
      <w:r w:rsidRPr="000960C2">
        <w:rPr>
          <w:rFonts w:ascii="Times New Roman" w:hAnsi="Times New Roman" w:cs="Times New Roman"/>
          <w:sz w:val="24"/>
        </w:rPr>
        <w:t>S original BSC, excluding the changes in grouping hotel managers into regional operating units, profit sharing and BSC weighting.</w:t>
      </w:r>
    </w:p>
    <w:p w14:paraId="11A24D1F" w14:textId="2F421EAE" w:rsidR="009C6180" w:rsidRPr="000960C2" w:rsidRDefault="00000000">
      <w:pPr>
        <w:spacing w:line="360" w:lineRule="auto"/>
        <w:jc w:val="both"/>
        <w:rPr>
          <w:rFonts w:ascii="Times New Roman" w:hAnsi="Times New Roman" w:cs="Times New Roman"/>
          <w:sz w:val="24"/>
        </w:rPr>
      </w:pPr>
      <w:r w:rsidRPr="000960C2">
        <w:rPr>
          <w:rFonts w:ascii="Times New Roman" w:hAnsi="Times New Roman" w:cs="Times New Roman"/>
          <w:sz w:val="24"/>
        </w:rPr>
        <w:t xml:space="preserve">A relatively structured and well-organised </w:t>
      </w:r>
      <w:r w:rsidR="000960C2">
        <w:rPr>
          <w:rFonts w:ascii="Times New Roman" w:hAnsi="Times New Roman" w:cs="Times New Roman" w:hint="eastAsia"/>
          <w:sz w:val="24"/>
        </w:rPr>
        <w:t>BSC</w:t>
      </w:r>
      <w:r w:rsidRPr="000960C2">
        <w:rPr>
          <w:rFonts w:ascii="Times New Roman" w:hAnsi="Times New Roman" w:cs="Times New Roman"/>
          <w:sz w:val="24"/>
        </w:rPr>
        <w:t xml:space="preserve"> is designed by the management team of CLG, with both financial and non-financial measures involved. That can be the first strength of the BSC design, which considers the metrics from two aspects and avoid a purely profit-oriented tendency. According to the metrics disclosed by CLG, financial measures include Revenue and </w:t>
      </w:r>
      <w:r w:rsidRPr="000960C2">
        <w:rPr>
          <w:rFonts w:ascii="Times New Roman" w:hAnsi="Times New Roman" w:cs="Times New Roman"/>
          <w:sz w:val="24"/>
        </w:rPr>
        <w:lastRenderedPageBreak/>
        <w:t>GOP (gross operating profit) while non-financial measures involve customer satisfaction, basic management and employee management</w:t>
      </w:r>
      <w:r w:rsidRPr="000960C2">
        <w:rPr>
          <w:rFonts w:ascii="Times New Roman" w:hAnsi="Times New Roman" w:cs="Times New Roman" w:hint="eastAsia"/>
          <w:sz w:val="24"/>
        </w:rPr>
        <w:t xml:space="preserve"> </w:t>
      </w:r>
      <w:r w:rsidRPr="000960C2">
        <w:rPr>
          <w:rFonts w:ascii="Times New Roman" w:hAnsi="Times New Roman" w:cs="Times New Roman"/>
          <w:sz w:val="24"/>
        </w:rPr>
        <w:t xml:space="preserve">(Sandino, Li and </w:t>
      </w:r>
      <w:proofErr w:type="spellStart"/>
      <w:r w:rsidRPr="000960C2">
        <w:rPr>
          <w:rFonts w:ascii="Times New Roman" w:hAnsi="Times New Roman" w:cs="Times New Roman"/>
          <w:sz w:val="24"/>
        </w:rPr>
        <w:t>Huadai</w:t>
      </w:r>
      <w:proofErr w:type="spellEnd"/>
      <w:r w:rsidRPr="000960C2">
        <w:rPr>
          <w:rFonts w:ascii="Times New Roman" w:hAnsi="Times New Roman" w:cs="Times New Roman"/>
          <w:sz w:val="24"/>
        </w:rPr>
        <w:t>, 2016a). Revenue and GOP are two lagging indicators, reflecting the financial outcomes of the hotels</w:t>
      </w:r>
      <w:r w:rsidR="00B53D84">
        <w:rPr>
          <w:rFonts w:ascii="Times New Roman" w:hAnsi="Times New Roman" w:cs="Times New Roman"/>
          <w:sz w:val="24"/>
        </w:rPr>
        <w:t>’</w:t>
      </w:r>
      <w:r w:rsidRPr="000960C2">
        <w:rPr>
          <w:rFonts w:ascii="Times New Roman" w:hAnsi="Times New Roman" w:cs="Times New Roman"/>
          <w:sz w:val="24"/>
        </w:rPr>
        <w:t xml:space="preserve"> past operating performance. On the other hand, customer satisfaction from the customer perspective, basic management from the internal process perspective and employee management perspective can work as leading indicators to reflect the reasons for possible financial performance fluctuations and enable the management team to respond at an early stage.</w:t>
      </w:r>
    </w:p>
    <w:p w14:paraId="1A756359" w14:textId="0C92E9D9" w:rsidR="009C6180" w:rsidRPr="000960C2" w:rsidRDefault="00000000">
      <w:pPr>
        <w:spacing w:line="360" w:lineRule="auto"/>
        <w:jc w:val="both"/>
        <w:rPr>
          <w:rFonts w:ascii="Times New Roman" w:hAnsi="Times New Roman" w:cs="Times New Roman"/>
          <w:sz w:val="24"/>
        </w:rPr>
      </w:pPr>
      <w:r w:rsidRPr="000960C2">
        <w:rPr>
          <w:rFonts w:ascii="Times New Roman" w:hAnsi="Times New Roman" w:cs="Times New Roman"/>
          <w:sz w:val="24"/>
        </w:rPr>
        <w:t>However, the effective use of BSC goes beyond setting up financial and non-financial measures only. Further evaluation on the alignment between these metrics and CLG</w:t>
      </w:r>
      <w:r w:rsidR="00B53D84">
        <w:rPr>
          <w:rFonts w:ascii="Times New Roman" w:hAnsi="Times New Roman" w:cs="Times New Roman"/>
          <w:sz w:val="24"/>
        </w:rPr>
        <w:t>’</w:t>
      </w:r>
      <w:r w:rsidRPr="000960C2">
        <w:rPr>
          <w:rFonts w:ascii="Times New Roman" w:hAnsi="Times New Roman" w:cs="Times New Roman"/>
          <w:sz w:val="24"/>
        </w:rPr>
        <w:t>s strategy and critical success factors identified in Question 1 above should also be conducted.</w:t>
      </w:r>
    </w:p>
    <w:p w14:paraId="247112F1" w14:textId="5B794549" w:rsidR="009C6180" w:rsidRPr="000960C2" w:rsidRDefault="00000000">
      <w:pPr>
        <w:spacing w:line="360" w:lineRule="auto"/>
        <w:jc w:val="both"/>
        <w:rPr>
          <w:rFonts w:ascii="Times New Roman" w:hAnsi="Times New Roman" w:cs="Times New Roman"/>
          <w:sz w:val="24"/>
        </w:rPr>
      </w:pPr>
      <w:r w:rsidRPr="000960C2">
        <w:rPr>
          <w:rFonts w:ascii="Times New Roman" w:hAnsi="Times New Roman" w:cs="Times New Roman"/>
          <w:sz w:val="24"/>
        </w:rPr>
        <w:t>In terms of the strategy of rapid scale expansion, CLG sets different measure proportions for leased-and-operated hotels and franchised-and-managed hotels, effectively building the management system in line with the different hotel operation modes. However, the critical success factor, the multi-brand network coverage, is hard to measure with the original BSC because Revenue and GOP only focus on the performance of each existing hotel and there are no effective non-financial measures evaluating the managers</w:t>
      </w:r>
      <w:r w:rsidR="00B53D84">
        <w:rPr>
          <w:rFonts w:ascii="Times New Roman" w:hAnsi="Times New Roman" w:cs="Times New Roman"/>
          <w:sz w:val="24"/>
        </w:rPr>
        <w:t>’</w:t>
      </w:r>
      <w:r w:rsidRPr="000960C2">
        <w:rPr>
          <w:rFonts w:ascii="Times New Roman" w:hAnsi="Times New Roman" w:cs="Times New Roman"/>
          <w:sz w:val="24"/>
        </w:rPr>
        <w:t xml:space="preserve"> contribution to wider expansion like identifying new hotel opportunities.</w:t>
      </w:r>
    </w:p>
    <w:p w14:paraId="20F07794" w14:textId="52F106EB" w:rsidR="009C6180" w:rsidRPr="000960C2" w:rsidRDefault="00000000">
      <w:pPr>
        <w:spacing w:line="360" w:lineRule="auto"/>
        <w:jc w:val="both"/>
        <w:rPr>
          <w:rFonts w:ascii="Times New Roman" w:hAnsi="Times New Roman" w:cs="Times New Roman"/>
          <w:sz w:val="24"/>
        </w:rPr>
      </w:pPr>
      <w:r w:rsidRPr="000960C2">
        <w:rPr>
          <w:rFonts w:ascii="Times New Roman" w:hAnsi="Times New Roman" w:cs="Times New Roman"/>
          <w:sz w:val="24"/>
        </w:rPr>
        <w:t>From the internal process level, the basic management monitors the operating standards and internal control, guaranteeing the compliance, efficiency and quality of service across its whole hotel network. With the use of GOP metric, it can support the company</w:t>
      </w:r>
      <w:r w:rsidR="00B53D84">
        <w:rPr>
          <w:rFonts w:ascii="Times New Roman" w:hAnsi="Times New Roman" w:cs="Times New Roman"/>
          <w:sz w:val="24"/>
        </w:rPr>
        <w:t>’</w:t>
      </w:r>
      <w:r w:rsidRPr="000960C2">
        <w:rPr>
          <w:rFonts w:ascii="Times New Roman" w:hAnsi="Times New Roman" w:cs="Times New Roman"/>
          <w:sz w:val="24"/>
        </w:rPr>
        <w:t xml:space="preserve">s operational efficiency and cost-control strategy. Besides, with the customer satisfaction metric, it matches the requirement of service standardization and quality consistency. Still, Sandino, Li, and </w:t>
      </w:r>
      <w:proofErr w:type="spellStart"/>
      <w:r w:rsidRPr="000960C2">
        <w:rPr>
          <w:rFonts w:ascii="Times New Roman" w:hAnsi="Times New Roman" w:cs="Times New Roman"/>
          <w:sz w:val="24"/>
        </w:rPr>
        <w:t>Huadai</w:t>
      </w:r>
      <w:proofErr w:type="spellEnd"/>
      <w:r w:rsidRPr="000960C2">
        <w:rPr>
          <w:rFonts w:ascii="Times New Roman" w:hAnsi="Times New Roman" w:cs="Times New Roman"/>
          <w:sz w:val="24"/>
        </w:rPr>
        <w:t xml:space="preserve"> (2016a) notes that the match is incomplete since customer satisfaction can be manipulated by gaining positive feedback through free room upgrades. This movement clearly does not lead to a real improvement in service.</w:t>
      </w:r>
    </w:p>
    <w:p w14:paraId="44281BF1" w14:textId="77777777" w:rsidR="009C6180" w:rsidRPr="000960C2" w:rsidRDefault="00000000">
      <w:pPr>
        <w:spacing w:line="360" w:lineRule="auto"/>
        <w:jc w:val="both"/>
        <w:rPr>
          <w:rFonts w:ascii="Times New Roman" w:hAnsi="Times New Roman" w:cs="Times New Roman"/>
          <w:sz w:val="24"/>
        </w:rPr>
      </w:pPr>
      <w:r w:rsidRPr="000960C2">
        <w:rPr>
          <w:rFonts w:ascii="Times New Roman" w:hAnsi="Times New Roman" w:cs="Times New Roman"/>
          <w:sz w:val="24"/>
        </w:rPr>
        <w:t xml:space="preserve">Similarly, a weak alignment between the BSC design and member loyalty &amp; retention strategy is also spotted. The non-financial metrics from the customer perspective is relatively pale with the absence of figures to detect customer retention or customer loyalty. Customer satisfaction </w:t>
      </w:r>
      <w:r w:rsidRPr="000960C2">
        <w:rPr>
          <w:rFonts w:ascii="Times New Roman" w:hAnsi="Times New Roman" w:cs="Times New Roman"/>
          <w:sz w:val="24"/>
        </w:rPr>
        <w:lastRenderedPageBreak/>
        <w:t>figure fails to ensure the conversion rate of customers turning into loyal CLG members, which shows a mismatch with the CSF of high returned customers business pattern.</w:t>
      </w:r>
    </w:p>
    <w:p w14:paraId="51C4C8B6" w14:textId="0E14AFBB" w:rsidR="009C6180" w:rsidRPr="000960C2" w:rsidRDefault="00000000">
      <w:pPr>
        <w:spacing w:line="360" w:lineRule="auto"/>
        <w:jc w:val="both"/>
        <w:rPr>
          <w:rFonts w:ascii="Times New Roman" w:hAnsi="Times New Roman" w:cs="Times New Roman"/>
          <w:sz w:val="24"/>
        </w:rPr>
      </w:pPr>
      <w:r w:rsidRPr="000960C2">
        <w:rPr>
          <w:rFonts w:ascii="Times New Roman" w:hAnsi="Times New Roman" w:cs="Times New Roman"/>
          <w:sz w:val="24"/>
        </w:rPr>
        <w:t>Besides, CLG</w:t>
      </w:r>
      <w:r w:rsidR="00B53D84">
        <w:rPr>
          <w:rFonts w:ascii="Times New Roman" w:hAnsi="Times New Roman" w:cs="Times New Roman"/>
          <w:sz w:val="24"/>
        </w:rPr>
        <w:t>’</w:t>
      </w:r>
      <w:r w:rsidRPr="000960C2">
        <w:rPr>
          <w:rFonts w:ascii="Times New Roman" w:hAnsi="Times New Roman" w:cs="Times New Roman"/>
          <w:sz w:val="24"/>
        </w:rPr>
        <w:t>s strategy of digital &amp; IT-driven operation and entrepreneurial culture &amp; ownership-driven incentive seems to be lack of direct measurements. The original BSC is lack of learning and growth level metrics identifying technology-related improvements while CLG greatly count on its IT system serving for the whole hotel network. Moreover, the BSC only encourages managers to be responsible for their own hotels</w:t>
      </w:r>
      <w:r w:rsidR="00B53D84">
        <w:rPr>
          <w:rFonts w:ascii="Times New Roman" w:hAnsi="Times New Roman" w:cs="Times New Roman"/>
          <w:sz w:val="24"/>
        </w:rPr>
        <w:t>’</w:t>
      </w:r>
      <w:r w:rsidRPr="000960C2">
        <w:rPr>
          <w:rFonts w:ascii="Times New Roman" w:hAnsi="Times New Roman" w:cs="Times New Roman"/>
          <w:sz w:val="24"/>
        </w:rPr>
        <w:t xml:space="preserve"> performance, cutting the tunnel of entrepreneurial behaviours including regional market opportunity identification and cross-unit collaboration from being rewarded.</w:t>
      </w:r>
    </w:p>
    <w:p w14:paraId="0554D7FF" w14:textId="6B7A4B09" w:rsidR="009C6180" w:rsidRPr="000960C2" w:rsidRDefault="00000000">
      <w:pPr>
        <w:spacing w:line="360" w:lineRule="auto"/>
        <w:jc w:val="both"/>
        <w:rPr>
          <w:rFonts w:ascii="Times New Roman" w:hAnsi="Times New Roman" w:cs="Times New Roman"/>
          <w:sz w:val="24"/>
        </w:rPr>
      </w:pPr>
      <w:r w:rsidRPr="000960C2">
        <w:rPr>
          <w:rFonts w:ascii="Times New Roman" w:hAnsi="Times New Roman" w:cs="Times New Roman"/>
          <w:sz w:val="24"/>
        </w:rPr>
        <w:t>To conclude, CLG</w:t>
      </w:r>
      <w:r w:rsidR="00B53D84">
        <w:rPr>
          <w:rFonts w:ascii="Times New Roman" w:hAnsi="Times New Roman" w:cs="Times New Roman"/>
          <w:sz w:val="24"/>
        </w:rPr>
        <w:t>’</w:t>
      </w:r>
      <w:r w:rsidRPr="000960C2">
        <w:rPr>
          <w:rFonts w:ascii="Times New Roman" w:hAnsi="Times New Roman" w:cs="Times New Roman"/>
          <w:sz w:val="24"/>
        </w:rPr>
        <w:t>s original BSC is only partially aligned with its strategy and CSFs, especially because it lacks measures to assess the capability of maintaining customer loyalty, digital capability and managerial ownership. This weak alignment, together with the growing proportion of hotel-level financial results weighting and the problematic design of some non-financial measures, further explains why the system leads to metric chasing.</w:t>
      </w:r>
    </w:p>
    <w:p w14:paraId="22EEF801" w14:textId="77777777" w:rsidR="009C6180" w:rsidRPr="000960C2" w:rsidRDefault="00000000">
      <w:pPr>
        <w:spacing w:line="360" w:lineRule="auto"/>
        <w:jc w:val="both"/>
        <w:rPr>
          <w:rFonts w:ascii="Times New Roman" w:hAnsi="Times New Roman" w:cs="Times New Roman"/>
          <w:b/>
          <w:sz w:val="24"/>
        </w:rPr>
      </w:pPr>
      <w:r w:rsidRPr="000960C2">
        <w:rPr>
          <w:rFonts w:ascii="Times New Roman" w:hAnsi="Times New Roman" w:cs="Times New Roman"/>
          <w:b/>
          <w:sz w:val="24"/>
        </w:rPr>
        <w:t>Metric Chasing</w:t>
      </w:r>
    </w:p>
    <w:p w14:paraId="44ACF1D7" w14:textId="2E9C51FC" w:rsidR="009C6180" w:rsidRPr="000960C2" w:rsidRDefault="00000000">
      <w:pPr>
        <w:spacing w:line="360" w:lineRule="auto"/>
        <w:jc w:val="both"/>
        <w:rPr>
          <w:rFonts w:ascii="Times New Roman" w:hAnsi="Times New Roman" w:cs="Times New Roman"/>
          <w:sz w:val="24"/>
        </w:rPr>
      </w:pPr>
      <w:r w:rsidRPr="000960C2">
        <w:rPr>
          <w:rFonts w:ascii="Times New Roman" w:hAnsi="Times New Roman" w:cs="Times New Roman"/>
          <w:sz w:val="24"/>
        </w:rPr>
        <w:t>The original BSC highly links managers</w:t>
      </w:r>
      <w:r w:rsidR="00B53D84">
        <w:rPr>
          <w:rFonts w:ascii="Times New Roman" w:hAnsi="Times New Roman" w:cs="Times New Roman"/>
          <w:sz w:val="24"/>
        </w:rPr>
        <w:t>’</w:t>
      </w:r>
      <w:r w:rsidRPr="000960C2">
        <w:rPr>
          <w:rFonts w:ascii="Times New Roman" w:hAnsi="Times New Roman" w:cs="Times New Roman"/>
          <w:sz w:val="24"/>
        </w:rPr>
        <w:t xml:space="preserve"> bonuses to the scores and fails to reward behaviours that benefit the company if they are out of the scorecard. Thus, managers tend to manipulate existing indicators like the customer satisfaction mentioned above and the employee turnover ratio to receive higher scores, but no exact operational improvement is made. According to Sandino, Li, and </w:t>
      </w:r>
      <w:proofErr w:type="spellStart"/>
      <w:r w:rsidRPr="000960C2">
        <w:rPr>
          <w:rFonts w:ascii="Times New Roman" w:hAnsi="Times New Roman" w:cs="Times New Roman"/>
          <w:sz w:val="24"/>
        </w:rPr>
        <w:t>Huadai</w:t>
      </w:r>
      <w:proofErr w:type="spellEnd"/>
      <w:r w:rsidRPr="000960C2">
        <w:rPr>
          <w:rFonts w:ascii="Times New Roman" w:hAnsi="Times New Roman" w:cs="Times New Roman"/>
          <w:sz w:val="24"/>
        </w:rPr>
        <w:t xml:space="preserve"> (2016a), managers can place employees into another position 3 months before they actually leave the hotel to reduce the turnover rate. Such weakness can discourage employees from contributing to the service improvement, market expansion and effective management and requires an incentive system to be discussed in Question 3.</w:t>
      </w:r>
    </w:p>
    <w:p w14:paraId="39C696C7" w14:textId="77777777" w:rsidR="009C6180" w:rsidRPr="000960C2" w:rsidRDefault="009C6180">
      <w:pPr>
        <w:spacing w:line="240" w:lineRule="auto"/>
        <w:jc w:val="both"/>
        <w:rPr>
          <w:rFonts w:ascii="Times New Roman" w:hAnsi="Times New Roman" w:cs="Times New Roman"/>
          <w:sz w:val="24"/>
        </w:rPr>
      </w:pPr>
    </w:p>
    <w:p w14:paraId="129329AF" w14:textId="77777777" w:rsidR="009C6180" w:rsidRPr="000960C2" w:rsidRDefault="00000000">
      <w:pPr>
        <w:spacing w:line="360" w:lineRule="auto"/>
        <w:jc w:val="both"/>
        <w:rPr>
          <w:rFonts w:ascii="Times New Roman" w:hAnsi="Times New Roman" w:cs="Times New Roman"/>
          <w:b/>
          <w:sz w:val="28"/>
          <w:szCs w:val="28"/>
        </w:rPr>
      </w:pPr>
      <w:r w:rsidRPr="000960C2">
        <w:rPr>
          <w:rFonts w:ascii="Times New Roman" w:hAnsi="Times New Roman" w:cs="Times New Roman"/>
          <w:b/>
          <w:sz w:val="28"/>
          <w:szCs w:val="28"/>
        </w:rPr>
        <w:t>Question 3</w:t>
      </w:r>
      <w:r w:rsidRPr="000960C2">
        <w:rPr>
          <w:rFonts w:ascii="Times New Roman" w:hAnsi="Times New Roman" w:cs="Times New Roman" w:hint="eastAsia"/>
          <w:b/>
          <w:sz w:val="28"/>
          <w:szCs w:val="28"/>
        </w:rPr>
        <w:t>.</w:t>
      </w:r>
      <w:r w:rsidRPr="000960C2">
        <w:rPr>
          <w:rFonts w:ascii="Times New Roman" w:hAnsi="Times New Roman" w:cs="Times New Roman"/>
          <w:b/>
          <w:sz w:val="28"/>
          <w:szCs w:val="28"/>
        </w:rPr>
        <w:t xml:space="preserve"> Incentives, Ownership, and Manager Behaviour</w:t>
      </w:r>
    </w:p>
    <w:p w14:paraId="6F8B6C83" w14:textId="77777777" w:rsidR="009D1F59" w:rsidRDefault="00000000">
      <w:pPr>
        <w:spacing w:line="360" w:lineRule="auto"/>
        <w:jc w:val="both"/>
        <w:rPr>
          <w:rFonts w:ascii="Times New Roman" w:hAnsi="Times New Roman" w:cs="Times New Roman"/>
          <w:sz w:val="24"/>
        </w:rPr>
      </w:pPr>
      <w:r w:rsidRPr="000960C2">
        <w:rPr>
          <w:rFonts w:ascii="Times New Roman" w:hAnsi="Times New Roman" w:cs="Times New Roman"/>
          <w:sz w:val="24"/>
        </w:rPr>
        <w:t>Following the evaluation of CLG</w:t>
      </w:r>
      <w:r w:rsidR="00B53D84">
        <w:rPr>
          <w:rFonts w:ascii="Times New Roman" w:hAnsi="Times New Roman" w:cs="Times New Roman"/>
          <w:sz w:val="24"/>
        </w:rPr>
        <w:t>’</w:t>
      </w:r>
      <w:r w:rsidRPr="000960C2">
        <w:rPr>
          <w:rFonts w:ascii="Times New Roman" w:hAnsi="Times New Roman" w:cs="Times New Roman"/>
          <w:sz w:val="24"/>
        </w:rPr>
        <w:t>s original BSC design and its behavioural limitations, Case B shifts the focus from measurement design to incentive reform. CLG</w:t>
      </w:r>
      <w:r w:rsidR="00B53D84">
        <w:rPr>
          <w:rFonts w:ascii="Times New Roman" w:hAnsi="Times New Roman" w:cs="Times New Roman"/>
          <w:sz w:val="24"/>
        </w:rPr>
        <w:t>’</w:t>
      </w:r>
      <w:r w:rsidRPr="000960C2">
        <w:rPr>
          <w:rFonts w:ascii="Times New Roman" w:hAnsi="Times New Roman" w:cs="Times New Roman"/>
          <w:sz w:val="24"/>
        </w:rPr>
        <w:t xml:space="preserve">s redesign was not </w:t>
      </w:r>
      <w:r w:rsidRPr="000960C2">
        <w:rPr>
          <w:rFonts w:ascii="Times New Roman" w:hAnsi="Times New Roman" w:cs="Times New Roman"/>
          <w:sz w:val="24"/>
        </w:rPr>
        <w:lastRenderedPageBreak/>
        <w:t xml:space="preserve">simply a bonus adjustment, but an attempt to make its control system fit rapid expansion. Higher profit-sharing, revised BSC weighting, bottom-up budgeting and operating units pushed managers beyond target compliance toward ownership, cooperation and strategic execution. </w:t>
      </w:r>
      <w:r w:rsidR="009D1F59" w:rsidRPr="009D1F59">
        <w:rPr>
          <w:rFonts w:ascii="Times New Roman" w:hAnsi="Times New Roman" w:cs="Times New Roman"/>
          <w:sz w:val="24"/>
        </w:rPr>
        <w:t>The key issue is whether these reforms improved managers’ ownership, collaboration and long-term strategic focus without creating excessive short-term financial pressure.</w:t>
      </w:r>
    </w:p>
    <w:p w14:paraId="1533403A" w14:textId="7B4DB7A7" w:rsidR="009C6180" w:rsidRPr="000960C2" w:rsidRDefault="00000000">
      <w:pPr>
        <w:spacing w:line="360" w:lineRule="auto"/>
        <w:jc w:val="both"/>
        <w:rPr>
          <w:rFonts w:ascii="Times New Roman" w:hAnsi="Times New Roman" w:cs="Times New Roman"/>
          <w:b/>
          <w:sz w:val="24"/>
        </w:rPr>
      </w:pPr>
      <w:r w:rsidRPr="000960C2">
        <w:rPr>
          <w:rFonts w:ascii="Times New Roman" w:hAnsi="Times New Roman" w:cs="Times New Roman"/>
          <w:b/>
          <w:sz w:val="24"/>
        </w:rPr>
        <w:t>Ownership</w:t>
      </w:r>
    </w:p>
    <w:p w14:paraId="75B7891C" w14:textId="04B3E753" w:rsidR="00625417" w:rsidRDefault="00000000">
      <w:pPr>
        <w:spacing w:line="360" w:lineRule="auto"/>
        <w:jc w:val="both"/>
        <w:rPr>
          <w:rFonts w:ascii="Times New Roman" w:hAnsi="Times New Roman" w:cs="Times New Roman"/>
          <w:sz w:val="24"/>
        </w:rPr>
      </w:pPr>
      <w:r w:rsidRPr="000960C2">
        <w:rPr>
          <w:rFonts w:ascii="Times New Roman" w:hAnsi="Times New Roman" w:cs="Times New Roman"/>
          <w:sz w:val="24"/>
        </w:rPr>
        <w:t>CLG</w:t>
      </w:r>
      <w:r w:rsidR="00B53D84">
        <w:rPr>
          <w:rFonts w:ascii="Times New Roman" w:hAnsi="Times New Roman" w:cs="Times New Roman"/>
          <w:sz w:val="24"/>
        </w:rPr>
        <w:t>’</w:t>
      </w:r>
      <w:r w:rsidRPr="000960C2">
        <w:rPr>
          <w:rFonts w:ascii="Times New Roman" w:hAnsi="Times New Roman" w:cs="Times New Roman"/>
          <w:sz w:val="24"/>
        </w:rPr>
        <w:t>s reforms are likely to increase managers</w:t>
      </w:r>
      <w:r w:rsidR="00B53D84">
        <w:rPr>
          <w:rFonts w:ascii="Times New Roman" w:hAnsi="Times New Roman" w:cs="Times New Roman"/>
          <w:sz w:val="24"/>
        </w:rPr>
        <w:t>’</w:t>
      </w:r>
      <w:r w:rsidRPr="000960C2">
        <w:rPr>
          <w:rFonts w:ascii="Times New Roman" w:hAnsi="Times New Roman" w:cs="Times New Roman"/>
          <w:sz w:val="24"/>
        </w:rPr>
        <w:t xml:space="preserve"> sense of ownership by strengthening economic accountability for hotel-level performance. Higher profit-sharing rates and increased financial weighting in the BSC made managers</w:t>
      </w:r>
      <w:r w:rsidR="00B53D84">
        <w:rPr>
          <w:rFonts w:ascii="Times New Roman" w:hAnsi="Times New Roman" w:cs="Times New Roman"/>
          <w:sz w:val="24"/>
        </w:rPr>
        <w:t>’</w:t>
      </w:r>
      <w:r w:rsidRPr="000960C2">
        <w:rPr>
          <w:rFonts w:ascii="Times New Roman" w:hAnsi="Times New Roman" w:cs="Times New Roman"/>
          <w:sz w:val="24"/>
        </w:rPr>
        <w:t xml:space="preserve"> rewards more sensitive to revenue and profit outcomes (Sandino, Li and </w:t>
      </w:r>
      <w:proofErr w:type="spellStart"/>
      <w:r w:rsidRPr="000960C2">
        <w:rPr>
          <w:rFonts w:ascii="Times New Roman" w:hAnsi="Times New Roman" w:cs="Times New Roman"/>
          <w:sz w:val="24"/>
        </w:rPr>
        <w:t>Huadai</w:t>
      </w:r>
      <w:proofErr w:type="spellEnd"/>
      <w:r w:rsidRPr="000960C2">
        <w:rPr>
          <w:rFonts w:ascii="Times New Roman" w:hAnsi="Times New Roman" w:cs="Times New Roman"/>
          <w:sz w:val="24"/>
        </w:rPr>
        <w:t xml:space="preserve">, 2016b). </w:t>
      </w:r>
      <w:r w:rsidR="00625417" w:rsidRPr="00625417">
        <w:rPr>
          <w:rFonts w:ascii="Times New Roman" w:hAnsi="Times New Roman" w:cs="Times New Roman"/>
          <w:sz w:val="24"/>
        </w:rPr>
        <w:t>This is consistent with agency theory as the use of performance-based incentives can make the manager</w:t>
      </w:r>
      <w:r w:rsidR="00B53D84">
        <w:rPr>
          <w:rFonts w:ascii="Times New Roman" w:hAnsi="Times New Roman" w:cs="Times New Roman"/>
          <w:sz w:val="24"/>
        </w:rPr>
        <w:t>’</w:t>
      </w:r>
      <w:r w:rsidR="00625417" w:rsidRPr="00625417">
        <w:rPr>
          <w:rFonts w:ascii="Times New Roman" w:hAnsi="Times New Roman" w:cs="Times New Roman"/>
          <w:sz w:val="24"/>
        </w:rPr>
        <w:t xml:space="preserve">s interests and those of the organisation more aligned (Jensen and Meckling, 1976). It also </w:t>
      </w:r>
      <w:r w:rsidR="008E1C1A">
        <w:rPr>
          <w:rFonts w:ascii="Times New Roman" w:hAnsi="Times New Roman" w:cs="Times New Roman" w:hint="eastAsia"/>
          <w:sz w:val="24"/>
        </w:rPr>
        <w:t>reflect</w:t>
      </w:r>
      <w:r w:rsidR="00625417" w:rsidRPr="00625417">
        <w:rPr>
          <w:rFonts w:ascii="Times New Roman" w:hAnsi="Times New Roman" w:cs="Times New Roman"/>
          <w:sz w:val="24"/>
        </w:rPr>
        <w:t>s expectancy theory, as managers</w:t>
      </w:r>
      <w:r w:rsidR="00B53D84">
        <w:rPr>
          <w:rFonts w:ascii="Times New Roman" w:hAnsi="Times New Roman" w:cs="Times New Roman"/>
          <w:sz w:val="24"/>
        </w:rPr>
        <w:t>’</w:t>
      </w:r>
      <w:r w:rsidR="00625417" w:rsidRPr="00625417">
        <w:rPr>
          <w:rFonts w:ascii="Times New Roman" w:hAnsi="Times New Roman" w:cs="Times New Roman"/>
          <w:sz w:val="24"/>
        </w:rPr>
        <w:t xml:space="preserve"> motivation may increase when there is a strong link between effort, performance, and reward (Vroom, 1964). </w:t>
      </w:r>
      <w:r w:rsidR="009D1F59" w:rsidRPr="009D1F59">
        <w:rPr>
          <w:rFonts w:ascii="Times New Roman" w:hAnsi="Times New Roman" w:cs="Times New Roman"/>
          <w:sz w:val="24"/>
        </w:rPr>
        <w:t>As a result, managers had stronger incentives to consider the financial consequences of daily operating decisions.</w:t>
      </w:r>
      <w:r w:rsidR="00625417" w:rsidRPr="00625417">
        <w:rPr>
          <w:rFonts w:ascii="Times New Roman" w:hAnsi="Times New Roman" w:cs="Times New Roman"/>
          <w:sz w:val="24"/>
        </w:rPr>
        <w:t xml:space="preserve"> The main benefit is increased target commitment, but if the weighting of non-financial measures is reduced, managers may pay less attention to customer satisfaction, employee development and service quality.</w:t>
      </w:r>
    </w:p>
    <w:p w14:paraId="0EF53FD8" w14:textId="77777777" w:rsidR="00AF6D77" w:rsidRDefault="00625417">
      <w:pPr>
        <w:spacing w:line="360" w:lineRule="auto"/>
        <w:jc w:val="both"/>
        <w:rPr>
          <w:rFonts w:ascii="Times New Roman" w:hAnsi="Times New Roman" w:cs="Times New Roman"/>
          <w:sz w:val="24"/>
        </w:rPr>
      </w:pPr>
      <w:r w:rsidRPr="00625417">
        <w:rPr>
          <w:rFonts w:ascii="Times New Roman" w:hAnsi="Times New Roman" w:cs="Times New Roman"/>
          <w:sz w:val="24"/>
        </w:rPr>
        <w:t xml:space="preserve">CLG also increased ownership through planning participation. Bottom-up budgeting involved front-line managers submitting business plans, giving them more influence over setting targets and requesting resources for their hotels (Sandino, Li and </w:t>
      </w:r>
      <w:proofErr w:type="spellStart"/>
      <w:r w:rsidRPr="00625417">
        <w:rPr>
          <w:rFonts w:ascii="Times New Roman" w:hAnsi="Times New Roman" w:cs="Times New Roman"/>
          <w:sz w:val="24"/>
        </w:rPr>
        <w:t>Huadai</w:t>
      </w:r>
      <w:proofErr w:type="spellEnd"/>
      <w:r w:rsidRPr="00625417">
        <w:rPr>
          <w:rFonts w:ascii="Times New Roman" w:hAnsi="Times New Roman" w:cs="Times New Roman"/>
          <w:sz w:val="24"/>
        </w:rPr>
        <w:t>, 2016b).</w:t>
      </w:r>
      <w:r w:rsidR="00000000" w:rsidRPr="000960C2">
        <w:rPr>
          <w:rFonts w:ascii="Times New Roman" w:hAnsi="Times New Roman" w:cs="Times New Roman"/>
          <w:sz w:val="24"/>
        </w:rPr>
        <w:t xml:space="preserve"> This is consistent with participative budgeting and organisational justice logic: managerial voice in goal-setting can improve commitment when the process is perceived as fair and meaningful (Libby, 1999). In CLG</w:t>
      </w:r>
      <w:r w:rsidR="00B53D84">
        <w:rPr>
          <w:rFonts w:ascii="Times New Roman" w:hAnsi="Times New Roman" w:cs="Times New Roman"/>
          <w:sz w:val="24"/>
        </w:rPr>
        <w:t>’</w:t>
      </w:r>
      <w:r w:rsidR="00000000" w:rsidRPr="000960C2">
        <w:rPr>
          <w:rFonts w:ascii="Times New Roman" w:hAnsi="Times New Roman" w:cs="Times New Roman"/>
          <w:sz w:val="24"/>
        </w:rPr>
        <w:t xml:space="preserve">s case, managers are more likely to accept targets they helped create. </w:t>
      </w:r>
      <w:r w:rsidR="00AF6D77" w:rsidRPr="00AF6D77">
        <w:rPr>
          <w:rFonts w:ascii="Times New Roman" w:hAnsi="Times New Roman" w:cs="Times New Roman"/>
          <w:sz w:val="24"/>
        </w:rPr>
        <w:t>Although this may increase workload and create some risk of budgetary slack, it supports broader ownership when senior management reviews the plans and uses local knowledge constructively.</w:t>
      </w:r>
    </w:p>
    <w:p w14:paraId="35415D0B" w14:textId="336042F3" w:rsidR="009C6180" w:rsidRPr="000960C2" w:rsidRDefault="00000000">
      <w:pPr>
        <w:spacing w:line="360" w:lineRule="auto"/>
        <w:jc w:val="both"/>
        <w:rPr>
          <w:rFonts w:ascii="Times New Roman" w:hAnsi="Times New Roman" w:cs="Times New Roman"/>
          <w:b/>
          <w:sz w:val="24"/>
        </w:rPr>
      </w:pPr>
      <w:r w:rsidRPr="000960C2">
        <w:rPr>
          <w:rFonts w:ascii="Times New Roman" w:hAnsi="Times New Roman" w:cs="Times New Roman"/>
          <w:b/>
          <w:sz w:val="24"/>
        </w:rPr>
        <w:t>Collaboration</w:t>
      </w:r>
    </w:p>
    <w:p w14:paraId="279B44A4" w14:textId="2BB430C4" w:rsidR="009C6180" w:rsidRPr="000960C2" w:rsidRDefault="00000000">
      <w:pPr>
        <w:spacing w:line="360" w:lineRule="auto"/>
        <w:jc w:val="both"/>
        <w:rPr>
          <w:rFonts w:ascii="Times New Roman" w:hAnsi="Times New Roman" w:cs="Times New Roman"/>
          <w:sz w:val="24"/>
        </w:rPr>
      </w:pPr>
      <w:r w:rsidRPr="000960C2">
        <w:rPr>
          <w:rFonts w:ascii="Times New Roman" w:hAnsi="Times New Roman" w:cs="Times New Roman"/>
          <w:sz w:val="24"/>
        </w:rPr>
        <w:t>CLG</w:t>
      </w:r>
      <w:r w:rsidR="00B53D84">
        <w:rPr>
          <w:rFonts w:ascii="Times New Roman" w:hAnsi="Times New Roman" w:cs="Times New Roman"/>
          <w:sz w:val="24"/>
        </w:rPr>
        <w:t>’</w:t>
      </w:r>
      <w:r w:rsidRPr="000960C2">
        <w:rPr>
          <w:rFonts w:ascii="Times New Roman" w:hAnsi="Times New Roman" w:cs="Times New Roman"/>
          <w:sz w:val="24"/>
        </w:rPr>
        <w:t>s reforms also improved collaboration</w:t>
      </w:r>
      <w:r w:rsidR="00A70AC4" w:rsidRPr="00A70AC4">
        <w:rPr>
          <w:rFonts w:hint="eastAsia"/>
        </w:rPr>
        <w:t xml:space="preserve"> </w:t>
      </w:r>
      <w:r w:rsidR="00A70AC4" w:rsidRPr="00A70AC4">
        <w:rPr>
          <w:rFonts w:ascii="Times New Roman" w:hAnsi="Times New Roman" w:cs="Times New Roman"/>
          <w:sz w:val="24"/>
        </w:rPr>
        <w:t>by changing managers’ focus from isolated hotel performance to regional performance</w:t>
      </w:r>
      <w:r w:rsidRPr="000960C2">
        <w:rPr>
          <w:rFonts w:ascii="Times New Roman" w:hAnsi="Times New Roman" w:cs="Times New Roman"/>
          <w:sz w:val="24"/>
        </w:rPr>
        <w:t xml:space="preserve">. Regional profit-sharing encouraged managers to </w:t>
      </w:r>
      <w:r w:rsidRPr="000960C2">
        <w:rPr>
          <w:rFonts w:ascii="Times New Roman" w:hAnsi="Times New Roman" w:cs="Times New Roman"/>
          <w:sz w:val="24"/>
        </w:rPr>
        <w:lastRenderedPageBreak/>
        <w:t>consider both existing hotels</w:t>
      </w:r>
      <w:r w:rsidR="00B53D84">
        <w:rPr>
          <w:rFonts w:ascii="Times New Roman" w:hAnsi="Times New Roman" w:cs="Times New Roman"/>
          <w:sz w:val="24"/>
        </w:rPr>
        <w:t>’</w:t>
      </w:r>
      <w:r w:rsidRPr="000960C2">
        <w:rPr>
          <w:rFonts w:ascii="Times New Roman" w:hAnsi="Times New Roman" w:cs="Times New Roman"/>
          <w:sz w:val="24"/>
        </w:rPr>
        <w:t xml:space="preserve"> BSC targets and wider territorial profitability. Adding new hotel openings to regional managers</w:t>
      </w:r>
      <w:r w:rsidR="00B53D84">
        <w:rPr>
          <w:rFonts w:ascii="Times New Roman" w:hAnsi="Times New Roman" w:cs="Times New Roman"/>
          <w:sz w:val="24"/>
        </w:rPr>
        <w:t>’</w:t>
      </w:r>
      <w:r w:rsidRPr="000960C2">
        <w:rPr>
          <w:rFonts w:ascii="Times New Roman" w:hAnsi="Times New Roman" w:cs="Times New Roman"/>
          <w:sz w:val="24"/>
        </w:rPr>
        <w:t xml:space="preserve"> BSC made expansion a shared objective rather than a threat to individual hotels (Sandino, Li and </w:t>
      </w:r>
      <w:proofErr w:type="spellStart"/>
      <w:r w:rsidRPr="000960C2">
        <w:rPr>
          <w:rFonts w:ascii="Times New Roman" w:hAnsi="Times New Roman" w:cs="Times New Roman"/>
          <w:sz w:val="24"/>
        </w:rPr>
        <w:t>Huadai</w:t>
      </w:r>
      <w:proofErr w:type="spellEnd"/>
      <w:r w:rsidRPr="000960C2">
        <w:rPr>
          <w:rFonts w:ascii="Times New Roman" w:hAnsi="Times New Roman" w:cs="Times New Roman"/>
          <w:sz w:val="24"/>
        </w:rPr>
        <w:t>, 2016b). This reflects goal congruence, as management control systems should align individual behaviour with organisational objectives (Kennedy and Widener, 2019). Lowering existing hotels</w:t>
      </w:r>
      <w:r w:rsidR="00B53D84">
        <w:rPr>
          <w:rFonts w:ascii="Times New Roman" w:hAnsi="Times New Roman" w:cs="Times New Roman"/>
          <w:sz w:val="24"/>
        </w:rPr>
        <w:t>’</w:t>
      </w:r>
      <w:r w:rsidRPr="000960C2">
        <w:rPr>
          <w:rFonts w:ascii="Times New Roman" w:hAnsi="Times New Roman" w:cs="Times New Roman"/>
          <w:sz w:val="24"/>
        </w:rPr>
        <w:t xml:space="preserve"> financial targets when a nearby new hotel opened also follows the controllability principle, since managers should not be evaluated on outcomes beyond their control (Burkert, Fischer and Schäffer, 2011). These changes reduced resistance to expansion, although tensions may remain if regional managers overemphasise new openings while hotel managers worry about cannibalisation and resource competition.</w:t>
      </w:r>
    </w:p>
    <w:p w14:paraId="3E43A58B" w14:textId="34D367C8" w:rsidR="00625417" w:rsidRDefault="00000000">
      <w:pPr>
        <w:spacing w:line="360" w:lineRule="auto"/>
        <w:jc w:val="both"/>
        <w:rPr>
          <w:rFonts w:ascii="Times New Roman" w:hAnsi="Times New Roman" w:cs="Times New Roman"/>
          <w:sz w:val="24"/>
        </w:rPr>
      </w:pPr>
      <w:r w:rsidRPr="000960C2">
        <w:rPr>
          <w:rFonts w:ascii="Times New Roman" w:hAnsi="Times New Roman" w:cs="Times New Roman"/>
          <w:sz w:val="24"/>
        </w:rPr>
        <w:t xml:space="preserve">The operating-unit experiment further supported hotel-level collaboration. </w:t>
      </w:r>
      <w:r w:rsidR="00625417" w:rsidRPr="00625417">
        <w:rPr>
          <w:rFonts w:ascii="Times New Roman" w:hAnsi="Times New Roman" w:cs="Times New Roman"/>
          <w:sz w:val="24"/>
        </w:rPr>
        <w:t xml:space="preserve">CLG used operating units of three or four hotels to encourage task division and knowledge sharing, helping less experienced managers learn from others (Sandino, Li and </w:t>
      </w:r>
      <w:proofErr w:type="spellStart"/>
      <w:r w:rsidR="00625417" w:rsidRPr="00625417">
        <w:rPr>
          <w:rFonts w:ascii="Times New Roman" w:hAnsi="Times New Roman" w:cs="Times New Roman"/>
          <w:sz w:val="24"/>
        </w:rPr>
        <w:t>Huadai</w:t>
      </w:r>
      <w:proofErr w:type="spellEnd"/>
      <w:r w:rsidR="00625417" w:rsidRPr="00625417">
        <w:rPr>
          <w:rFonts w:ascii="Times New Roman" w:hAnsi="Times New Roman" w:cs="Times New Roman"/>
          <w:sz w:val="24"/>
        </w:rPr>
        <w:t xml:space="preserve">, 2016b). </w:t>
      </w:r>
      <w:r w:rsidR="00A70AC4" w:rsidRPr="00A70AC4">
        <w:rPr>
          <w:rFonts w:ascii="Times New Roman" w:hAnsi="Times New Roman" w:cs="Times New Roman"/>
          <w:sz w:val="24"/>
        </w:rPr>
        <w:t>By assigning managers to functions such as sales or quality control, CLG could promote cooperation and help units achieve more balanced BSC outcomes (Howard, Turban and Hurley, 2002).</w:t>
      </w:r>
      <w:r w:rsidR="00625417" w:rsidRPr="00625417">
        <w:rPr>
          <w:rFonts w:ascii="Times New Roman" w:hAnsi="Times New Roman" w:cs="Times New Roman"/>
          <w:sz w:val="24"/>
        </w:rPr>
        <w:t xml:space="preserve"> </w:t>
      </w:r>
      <w:r w:rsidR="00A70AC4" w:rsidRPr="00A70AC4">
        <w:rPr>
          <w:rFonts w:ascii="Times New Roman" w:hAnsi="Times New Roman" w:cs="Times New Roman"/>
          <w:sz w:val="24"/>
        </w:rPr>
        <w:t>However, CLG’s decision not to adopt a full group incentive plan was also reasonable</w:t>
      </w:r>
      <w:r w:rsidR="00A70AC4">
        <w:rPr>
          <w:rFonts w:ascii="Times New Roman" w:hAnsi="Times New Roman" w:cs="Times New Roman" w:hint="eastAsia"/>
          <w:sz w:val="24"/>
        </w:rPr>
        <w:t>,</w:t>
      </w:r>
      <w:r w:rsidR="00625417" w:rsidRPr="00625417">
        <w:rPr>
          <w:rFonts w:ascii="Times New Roman" w:hAnsi="Times New Roman" w:cs="Times New Roman"/>
          <w:sz w:val="24"/>
        </w:rPr>
        <w:t xml:space="preserve"> as group incentives may support common goals but can create free-rider problems and bonus risks beyond individual managers</w:t>
      </w:r>
      <w:r w:rsidR="00B53D84">
        <w:rPr>
          <w:rFonts w:ascii="Times New Roman" w:hAnsi="Times New Roman" w:cs="Times New Roman"/>
          <w:sz w:val="24"/>
        </w:rPr>
        <w:t>’</w:t>
      </w:r>
      <w:r w:rsidR="00625417" w:rsidRPr="00625417">
        <w:rPr>
          <w:rFonts w:ascii="Times New Roman" w:hAnsi="Times New Roman" w:cs="Times New Roman"/>
          <w:sz w:val="24"/>
        </w:rPr>
        <w:t xml:space="preserve"> control. Thus, CLG improved collaboration through structure and shared purpose, without fully shifting compensation risk to the group.</w:t>
      </w:r>
    </w:p>
    <w:p w14:paraId="79C99104" w14:textId="11E2A0E8" w:rsidR="009C6180" w:rsidRPr="000960C2" w:rsidRDefault="00000000">
      <w:pPr>
        <w:spacing w:line="360" w:lineRule="auto"/>
        <w:jc w:val="both"/>
        <w:rPr>
          <w:rFonts w:ascii="Times New Roman" w:hAnsi="Times New Roman" w:cs="Times New Roman"/>
          <w:b/>
          <w:bCs/>
          <w:sz w:val="24"/>
        </w:rPr>
      </w:pPr>
      <w:r w:rsidRPr="000960C2">
        <w:rPr>
          <w:rFonts w:ascii="Times New Roman" w:hAnsi="Times New Roman" w:cs="Times New Roman"/>
          <w:b/>
          <w:bCs/>
          <w:sz w:val="24"/>
        </w:rPr>
        <w:t>Long-term Strategic Growth</w:t>
      </w:r>
    </w:p>
    <w:p w14:paraId="6B52D76E" w14:textId="4534D49C" w:rsidR="00625417" w:rsidRDefault="00625417">
      <w:pPr>
        <w:spacing w:line="360" w:lineRule="auto"/>
        <w:jc w:val="both"/>
        <w:rPr>
          <w:rFonts w:ascii="Times New Roman" w:hAnsi="Times New Roman" w:cs="Times New Roman"/>
          <w:sz w:val="24"/>
        </w:rPr>
      </w:pPr>
      <w:r w:rsidRPr="00625417">
        <w:rPr>
          <w:rFonts w:ascii="Times New Roman" w:hAnsi="Times New Roman" w:cs="Times New Roman"/>
          <w:sz w:val="24"/>
        </w:rPr>
        <w:t>CLG</w:t>
      </w:r>
      <w:r w:rsidR="00B53D84">
        <w:rPr>
          <w:rFonts w:ascii="Times New Roman" w:hAnsi="Times New Roman" w:cs="Times New Roman"/>
          <w:sz w:val="24"/>
        </w:rPr>
        <w:t>’</w:t>
      </w:r>
      <w:r w:rsidRPr="00625417">
        <w:rPr>
          <w:rFonts w:ascii="Times New Roman" w:hAnsi="Times New Roman" w:cs="Times New Roman"/>
          <w:sz w:val="24"/>
        </w:rPr>
        <w:t xml:space="preserve">s reforms support long-term strategic growth by connecting incentives with expansion, profitability and strategic execution. With higher profit-sharing rates and a higher financial weight in the BSC, managers were </w:t>
      </w:r>
      <w:r w:rsidR="00BA0015">
        <w:rPr>
          <w:rFonts w:ascii="Times New Roman" w:hAnsi="Times New Roman" w:cs="Times New Roman" w:hint="eastAsia"/>
          <w:sz w:val="24"/>
        </w:rPr>
        <w:t>encouraged</w:t>
      </w:r>
      <w:r w:rsidRPr="00625417">
        <w:rPr>
          <w:rFonts w:ascii="Times New Roman" w:hAnsi="Times New Roman" w:cs="Times New Roman"/>
          <w:sz w:val="24"/>
        </w:rPr>
        <w:t xml:space="preserve"> to pay more attention to revenue and profit. Also, adding new hotel openings to regional managers</w:t>
      </w:r>
      <w:r w:rsidR="00B53D84">
        <w:rPr>
          <w:rFonts w:ascii="Times New Roman" w:hAnsi="Times New Roman" w:cs="Times New Roman"/>
          <w:sz w:val="24"/>
        </w:rPr>
        <w:t>’</w:t>
      </w:r>
      <w:r w:rsidRPr="00625417">
        <w:rPr>
          <w:rFonts w:ascii="Times New Roman" w:hAnsi="Times New Roman" w:cs="Times New Roman"/>
          <w:sz w:val="24"/>
        </w:rPr>
        <w:t xml:space="preserve"> BSCs made the incentive system more connected with CLG</w:t>
      </w:r>
      <w:r w:rsidR="00B53D84">
        <w:rPr>
          <w:rFonts w:ascii="Times New Roman" w:hAnsi="Times New Roman" w:cs="Times New Roman"/>
          <w:sz w:val="24"/>
        </w:rPr>
        <w:t>’</w:t>
      </w:r>
      <w:r w:rsidRPr="00625417">
        <w:rPr>
          <w:rFonts w:ascii="Times New Roman" w:hAnsi="Times New Roman" w:cs="Times New Roman"/>
          <w:sz w:val="24"/>
        </w:rPr>
        <w:t xml:space="preserve">s rapid expansion strategy (Sandino, Li and </w:t>
      </w:r>
      <w:proofErr w:type="spellStart"/>
      <w:r w:rsidRPr="00625417">
        <w:rPr>
          <w:rFonts w:ascii="Times New Roman" w:hAnsi="Times New Roman" w:cs="Times New Roman"/>
          <w:sz w:val="24"/>
        </w:rPr>
        <w:t>Huadai</w:t>
      </w:r>
      <w:proofErr w:type="spellEnd"/>
      <w:r w:rsidRPr="00625417">
        <w:rPr>
          <w:rFonts w:ascii="Times New Roman" w:hAnsi="Times New Roman" w:cs="Times New Roman"/>
          <w:sz w:val="24"/>
        </w:rPr>
        <w:t xml:space="preserve">, 2016b). </w:t>
      </w:r>
      <w:r w:rsidR="00AF6D77" w:rsidRPr="00AF6D77">
        <w:rPr>
          <w:rFonts w:ascii="Times New Roman" w:hAnsi="Times New Roman" w:cs="Times New Roman"/>
          <w:sz w:val="24"/>
        </w:rPr>
        <w:t>This reflects the BSC logic of translating strategic priorities into measurable operating goals (Kaplan and Norton, 1992). The reforms therefore fitted CLG’s growth model by making expansion, profitability and local execution part of managers’ evaluation.</w:t>
      </w:r>
      <w:r w:rsidRPr="00625417">
        <w:rPr>
          <w:rFonts w:ascii="Times New Roman" w:hAnsi="Times New Roman" w:cs="Times New Roman"/>
          <w:sz w:val="24"/>
        </w:rPr>
        <w:t xml:space="preserve"> However, there is still a risk: excessive focus on financial results or new hotel numbers may create “growth for growth</w:t>
      </w:r>
      <w:r w:rsidR="00B53D84">
        <w:rPr>
          <w:rFonts w:ascii="Times New Roman" w:hAnsi="Times New Roman" w:cs="Times New Roman"/>
          <w:sz w:val="24"/>
        </w:rPr>
        <w:t>’</w:t>
      </w:r>
      <w:r w:rsidRPr="00625417">
        <w:rPr>
          <w:rFonts w:ascii="Times New Roman" w:hAnsi="Times New Roman" w:cs="Times New Roman"/>
          <w:sz w:val="24"/>
        </w:rPr>
        <w:t xml:space="preserve">s sake” pressure, which could weaken service consistency, customer satisfaction and brand </w:t>
      </w:r>
      <w:r w:rsidRPr="00625417">
        <w:rPr>
          <w:rFonts w:ascii="Times New Roman" w:hAnsi="Times New Roman" w:cs="Times New Roman"/>
          <w:sz w:val="24"/>
        </w:rPr>
        <w:lastRenderedPageBreak/>
        <w:t>quality.</w:t>
      </w:r>
    </w:p>
    <w:p w14:paraId="4CE9370F" w14:textId="77777777" w:rsidR="00DF4241" w:rsidRDefault="00625417">
      <w:pPr>
        <w:spacing w:line="360" w:lineRule="auto"/>
        <w:jc w:val="both"/>
        <w:rPr>
          <w:rFonts w:ascii="Times New Roman" w:hAnsi="Times New Roman" w:cs="Times New Roman"/>
          <w:sz w:val="24"/>
        </w:rPr>
      </w:pPr>
      <w:r w:rsidRPr="00625417">
        <w:rPr>
          <w:rFonts w:ascii="Times New Roman" w:hAnsi="Times New Roman" w:cs="Times New Roman"/>
          <w:sz w:val="24"/>
        </w:rPr>
        <w:t xml:space="preserve">The reforms also supported long-term growth through local adaptation and capability building. Bottom-up budgeting gave hotel managers more room to prepare business plans based on local market conditions, and operating units helped them share experience and build more balanced capabilities (Sandino, Li and </w:t>
      </w:r>
      <w:proofErr w:type="spellStart"/>
      <w:r w:rsidRPr="00625417">
        <w:rPr>
          <w:rFonts w:ascii="Times New Roman" w:hAnsi="Times New Roman" w:cs="Times New Roman"/>
          <w:sz w:val="24"/>
        </w:rPr>
        <w:t>Huadai</w:t>
      </w:r>
      <w:proofErr w:type="spellEnd"/>
      <w:r w:rsidRPr="00625417">
        <w:rPr>
          <w:rFonts w:ascii="Times New Roman" w:hAnsi="Times New Roman" w:cs="Times New Roman"/>
          <w:sz w:val="24"/>
        </w:rPr>
        <w:t xml:space="preserve">, 2016b). </w:t>
      </w:r>
      <w:r w:rsidR="00DF4241" w:rsidRPr="00DF4241">
        <w:rPr>
          <w:rFonts w:ascii="Times New Roman" w:hAnsi="Times New Roman" w:cs="Times New Roman"/>
          <w:sz w:val="24"/>
        </w:rPr>
        <w:t>CLG’s tailored BSCs for different brands and life-cycle stages are also consistent with contingency theory, as management control systems should fit the organisational context rather than rely on one uniform design (Otley, 1980). This flexibility helped CLG adapt targets and managerial practices across a rapidly expanding hotel network. However, differentiated targets also require strong process discipline; otherwise, the system may become complex and less comparable across brands.</w:t>
      </w:r>
    </w:p>
    <w:p w14:paraId="12B0E85D" w14:textId="5A7EC8C6" w:rsidR="009C6180" w:rsidRPr="000960C2" w:rsidRDefault="00000000">
      <w:pPr>
        <w:spacing w:line="360" w:lineRule="auto"/>
        <w:jc w:val="both"/>
        <w:rPr>
          <w:rFonts w:ascii="Times New Roman" w:hAnsi="Times New Roman" w:cs="Times New Roman"/>
          <w:sz w:val="24"/>
        </w:rPr>
      </w:pPr>
      <w:r w:rsidRPr="000960C2">
        <w:rPr>
          <w:rFonts w:ascii="Times New Roman" w:hAnsi="Times New Roman" w:cs="Times New Roman"/>
          <w:sz w:val="24"/>
        </w:rPr>
        <w:t>Overall, CLG</w:t>
      </w:r>
      <w:r w:rsidR="00B53D84">
        <w:rPr>
          <w:rFonts w:ascii="Times New Roman" w:hAnsi="Times New Roman" w:cs="Times New Roman"/>
          <w:sz w:val="24"/>
        </w:rPr>
        <w:t>’</w:t>
      </w:r>
      <w:r w:rsidRPr="000960C2">
        <w:rPr>
          <w:rFonts w:ascii="Times New Roman" w:hAnsi="Times New Roman" w:cs="Times New Roman"/>
          <w:sz w:val="24"/>
        </w:rPr>
        <w:t>s reforms made the incentive system more strategically aligned by strengthening financial accountability, managerial participation and cross-hotel cooperation. These changes supported rapid expansion, but the system remained incomplete. Since financial measures are mainly lagging indicators, a stronger financial focus could still encourage short-term behaviour, while service quality, customer loyalty, employee capability and brand consistency were less strongly incentivised. Therefore, the reform</w:t>
      </w:r>
      <w:r w:rsidR="00A70AC4">
        <w:rPr>
          <w:rFonts w:ascii="Times New Roman" w:hAnsi="Times New Roman" w:cs="Times New Roman" w:hint="eastAsia"/>
          <w:sz w:val="24"/>
        </w:rPr>
        <w:t>s</w:t>
      </w:r>
      <w:r w:rsidRPr="000960C2">
        <w:rPr>
          <w:rFonts w:ascii="Times New Roman" w:hAnsi="Times New Roman" w:cs="Times New Roman"/>
          <w:sz w:val="24"/>
        </w:rPr>
        <w:t xml:space="preserve"> improved managerial ownership and collaboration, but it did not fully solve the measurement problem identified in Question 2. This creates the need for an improved </w:t>
      </w:r>
      <w:r w:rsidR="000960C2">
        <w:rPr>
          <w:rFonts w:ascii="Times New Roman" w:hAnsi="Times New Roman" w:cs="Times New Roman" w:hint="eastAsia"/>
          <w:sz w:val="24"/>
        </w:rPr>
        <w:t>BSC</w:t>
      </w:r>
      <w:r w:rsidRPr="000960C2">
        <w:rPr>
          <w:rFonts w:ascii="Times New Roman" w:hAnsi="Times New Roman" w:cs="Times New Roman"/>
          <w:sz w:val="24"/>
        </w:rPr>
        <w:t xml:space="preserve"> in Question 4, which should preserve financial discipline while giving greater weight to the non-financial drivers of CLG</w:t>
      </w:r>
      <w:r w:rsidR="00B53D84">
        <w:rPr>
          <w:rFonts w:ascii="Times New Roman" w:hAnsi="Times New Roman" w:cs="Times New Roman"/>
          <w:sz w:val="24"/>
        </w:rPr>
        <w:t>’</w:t>
      </w:r>
      <w:r w:rsidRPr="000960C2">
        <w:rPr>
          <w:rFonts w:ascii="Times New Roman" w:hAnsi="Times New Roman" w:cs="Times New Roman"/>
          <w:sz w:val="24"/>
        </w:rPr>
        <w:t>s sustainable growth.</w:t>
      </w:r>
    </w:p>
    <w:p w14:paraId="27CEFC7F" w14:textId="77777777" w:rsidR="009C6180" w:rsidRPr="000960C2" w:rsidRDefault="009C6180">
      <w:pPr>
        <w:spacing w:line="240" w:lineRule="auto"/>
        <w:jc w:val="both"/>
        <w:rPr>
          <w:rFonts w:ascii="Times New Roman" w:hAnsi="Times New Roman" w:cs="Times New Roman"/>
          <w:b/>
          <w:bCs/>
          <w:sz w:val="24"/>
        </w:rPr>
      </w:pPr>
    </w:p>
    <w:p w14:paraId="4AB95D44" w14:textId="471CFCEF" w:rsidR="009C6180" w:rsidRPr="000960C2" w:rsidRDefault="00000000">
      <w:pPr>
        <w:spacing w:line="360" w:lineRule="auto"/>
        <w:jc w:val="both"/>
        <w:rPr>
          <w:rFonts w:ascii="Times New Roman" w:hAnsi="Times New Roman" w:cs="Times New Roman" w:hint="eastAsia"/>
          <w:b/>
          <w:bCs/>
          <w:sz w:val="28"/>
          <w:szCs w:val="28"/>
        </w:rPr>
      </w:pPr>
      <w:r w:rsidRPr="000960C2">
        <w:rPr>
          <w:rFonts w:ascii="Times New Roman" w:hAnsi="Times New Roman" w:cs="Times New Roman"/>
          <w:b/>
          <w:bCs/>
          <w:sz w:val="28"/>
          <w:szCs w:val="28"/>
        </w:rPr>
        <w:t>Q</w:t>
      </w:r>
      <w:r w:rsidRPr="000960C2">
        <w:rPr>
          <w:rFonts w:ascii="Times New Roman" w:hAnsi="Times New Roman" w:cs="Times New Roman" w:hint="eastAsia"/>
          <w:b/>
          <w:bCs/>
          <w:sz w:val="28"/>
          <w:szCs w:val="28"/>
        </w:rPr>
        <w:t xml:space="preserve">uestion </w:t>
      </w:r>
      <w:r w:rsidRPr="000960C2">
        <w:rPr>
          <w:rFonts w:ascii="Times New Roman" w:hAnsi="Times New Roman" w:cs="Times New Roman"/>
          <w:b/>
          <w:bCs/>
          <w:sz w:val="28"/>
          <w:szCs w:val="28"/>
        </w:rPr>
        <w:t xml:space="preserve">4. Designing an Improved </w:t>
      </w:r>
      <w:r w:rsidR="00861FB1" w:rsidRPr="00861FB1">
        <w:rPr>
          <w:rFonts w:ascii="Times New Roman" w:hAnsi="Times New Roman" w:cs="Times New Roman"/>
          <w:b/>
          <w:bCs/>
          <w:sz w:val="28"/>
          <w:szCs w:val="28"/>
        </w:rPr>
        <w:t>Balanced Scorecard</w:t>
      </w:r>
    </w:p>
    <w:p w14:paraId="443BDE55" w14:textId="15DEE147" w:rsidR="009C6180" w:rsidRPr="000960C2" w:rsidRDefault="00000000">
      <w:pPr>
        <w:spacing w:line="360" w:lineRule="auto"/>
        <w:jc w:val="both"/>
        <w:rPr>
          <w:rFonts w:ascii="Times New Roman" w:hAnsi="Times New Roman" w:cs="Times New Roman"/>
          <w:sz w:val="24"/>
        </w:rPr>
      </w:pPr>
      <w:r w:rsidRPr="000960C2">
        <w:rPr>
          <w:rFonts w:ascii="Times New Roman" w:hAnsi="Times New Roman" w:cs="Times New Roman"/>
          <w:sz w:val="24"/>
        </w:rPr>
        <w:t>Following the evaluation in Q3, CLG</w:t>
      </w:r>
      <w:r w:rsidR="00B53D84">
        <w:rPr>
          <w:rFonts w:ascii="Times New Roman" w:hAnsi="Times New Roman" w:cs="Times New Roman"/>
          <w:sz w:val="24"/>
        </w:rPr>
        <w:t>’</w:t>
      </w:r>
      <w:r w:rsidRPr="000960C2">
        <w:rPr>
          <w:rFonts w:ascii="Times New Roman" w:hAnsi="Times New Roman" w:cs="Times New Roman"/>
          <w:sz w:val="24"/>
        </w:rPr>
        <w:t xml:space="preserve">s incentive reform can improve ownership and collaboration, but it may still overemphasise financial results and expansion speed. Since CLG expanded rapidly to 1,995 hotels by 2014, the improved BSC should translate its growth strategy into balanced measures covering profitability, customer loyalty, service standardisation, digital capability and employee development (Sandino, Li and </w:t>
      </w:r>
      <w:proofErr w:type="spellStart"/>
      <w:r w:rsidRPr="000960C2">
        <w:rPr>
          <w:rFonts w:ascii="Times New Roman" w:hAnsi="Times New Roman" w:cs="Times New Roman"/>
          <w:sz w:val="24"/>
        </w:rPr>
        <w:t>Huadai</w:t>
      </w:r>
      <w:proofErr w:type="spellEnd"/>
      <w:r w:rsidRPr="000960C2">
        <w:rPr>
          <w:rFonts w:ascii="Times New Roman" w:hAnsi="Times New Roman" w:cs="Times New Roman"/>
          <w:sz w:val="24"/>
        </w:rPr>
        <w:t>, 2016a). This follows the BSC logic that financial and non-financial measures should be linked to strategy rather than used as isolated targets (Kaplan and Norton, 1992).</w:t>
      </w:r>
    </w:p>
    <w:p w14:paraId="47CD3A8B" w14:textId="77777777" w:rsidR="009C6180" w:rsidRPr="000960C2" w:rsidRDefault="00000000">
      <w:pPr>
        <w:spacing w:line="240" w:lineRule="auto"/>
        <w:jc w:val="both"/>
        <w:rPr>
          <w:rFonts w:ascii="Times New Roman" w:hAnsi="Times New Roman" w:cs="Times New Roman"/>
          <w:b/>
          <w:bCs/>
          <w:sz w:val="24"/>
        </w:rPr>
      </w:pPr>
      <w:r w:rsidRPr="000960C2">
        <w:rPr>
          <w:rFonts w:ascii="Times New Roman" w:hAnsi="Times New Roman" w:cs="Times New Roman"/>
          <w:b/>
          <w:bCs/>
          <w:sz w:val="24"/>
        </w:rPr>
        <w:lastRenderedPageBreak/>
        <w:t>Strategy map and causal links</w:t>
      </w:r>
    </w:p>
    <w:p w14:paraId="274BD445" w14:textId="77777777" w:rsidR="009C6180" w:rsidRPr="000960C2" w:rsidRDefault="00000000">
      <w:pPr>
        <w:keepNext/>
        <w:spacing w:line="240" w:lineRule="auto"/>
        <w:jc w:val="center"/>
        <w:rPr>
          <w:rFonts w:hint="eastAsia"/>
        </w:rPr>
      </w:pPr>
      <w:r w:rsidRPr="000960C2">
        <w:rPr>
          <w:rFonts w:ascii="Times New Roman" w:hAnsi="Times New Roman" w:cs="Times New Roman"/>
          <w:b/>
          <w:bCs/>
          <w:sz w:val="24"/>
        </w:rPr>
        <w:drawing>
          <wp:inline distT="0" distB="0" distL="0" distR="0" wp14:anchorId="51E3C415" wp14:editId="169BE532">
            <wp:extent cx="3747943" cy="2943225"/>
            <wp:effectExtent l="0" t="0" r="5080" b="0"/>
            <wp:docPr id="493142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42734"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747943" cy="2943225"/>
                    </a:xfrm>
                    <a:prstGeom prst="rect">
                      <a:avLst/>
                    </a:prstGeom>
                    <a:noFill/>
                    <a:ln>
                      <a:noFill/>
                    </a:ln>
                  </pic:spPr>
                </pic:pic>
              </a:graphicData>
            </a:graphic>
          </wp:inline>
        </w:drawing>
      </w:r>
    </w:p>
    <w:p w14:paraId="231B1284" w14:textId="673DA0BC" w:rsidR="009C6180" w:rsidRPr="003240B1" w:rsidRDefault="00000000" w:rsidP="003240B1">
      <w:pPr>
        <w:pStyle w:val="a3"/>
        <w:keepNext/>
        <w:jc w:val="center"/>
        <w:rPr>
          <w:rFonts w:ascii="Times New Roman" w:hAnsi="Times New Roman" w:cs="Times New Roman"/>
          <w:b/>
          <w:bCs/>
          <w:i w:val="0"/>
          <w:color w:val="000000" w:themeColor="text1"/>
          <w:sz w:val="24"/>
          <w:szCs w:val="22"/>
        </w:rPr>
      </w:pPr>
      <w:r w:rsidRPr="003240B1">
        <w:rPr>
          <w:rFonts w:ascii="Times New Roman" w:hAnsi="Times New Roman" w:cs="Times New Roman"/>
          <w:b/>
          <w:bCs/>
          <w:i w:val="0"/>
          <w:color w:val="000000" w:themeColor="text1"/>
          <w:sz w:val="24"/>
          <w:szCs w:val="22"/>
        </w:rPr>
        <w:t xml:space="preserve">Figure </w:t>
      </w:r>
      <w:r w:rsidRPr="003240B1">
        <w:rPr>
          <w:rFonts w:ascii="Times New Roman" w:hAnsi="Times New Roman" w:cs="Times New Roman"/>
          <w:b/>
          <w:bCs/>
          <w:i w:val="0"/>
          <w:color w:val="000000" w:themeColor="text1"/>
          <w:sz w:val="24"/>
          <w:szCs w:val="22"/>
        </w:rPr>
        <w:fldChar w:fldCharType="begin"/>
      </w:r>
      <w:r w:rsidRPr="003240B1">
        <w:rPr>
          <w:rFonts w:ascii="Times New Roman" w:hAnsi="Times New Roman" w:cs="Times New Roman"/>
          <w:b/>
          <w:bCs/>
          <w:i w:val="0"/>
          <w:color w:val="000000" w:themeColor="text1"/>
          <w:sz w:val="24"/>
          <w:szCs w:val="22"/>
        </w:rPr>
        <w:instrText xml:space="preserve"> SEQ Figure \* ARABIC </w:instrText>
      </w:r>
      <w:r w:rsidRPr="003240B1">
        <w:rPr>
          <w:rFonts w:ascii="Times New Roman" w:hAnsi="Times New Roman" w:cs="Times New Roman"/>
          <w:b/>
          <w:bCs/>
          <w:i w:val="0"/>
          <w:color w:val="000000" w:themeColor="text1"/>
          <w:sz w:val="24"/>
          <w:szCs w:val="22"/>
        </w:rPr>
        <w:fldChar w:fldCharType="separate"/>
      </w:r>
      <w:r w:rsidRPr="003240B1">
        <w:rPr>
          <w:rFonts w:ascii="Times New Roman" w:hAnsi="Times New Roman" w:cs="Times New Roman"/>
          <w:b/>
          <w:bCs/>
          <w:i w:val="0"/>
          <w:color w:val="000000" w:themeColor="text1"/>
          <w:sz w:val="24"/>
          <w:szCs w:val="22"/>
        </w:rPr>
        <w:t>1</w:t>
      </w:r>
      <w:r w:rsidRPr="003240B1">
        <w:rPr>
          <w:rFonts w:ascii="Times New Roman" w:hAnsi="Times New Roman" w:cs="Times New Roman"/>
          <w:b/>
          <w:bCs/>
          <w:i w:val="0"/>
          <w:color w:val="000000" w:themeColor="text1"/>
          <w:sz w:val="24"/>
          <w:szCs w:val="22"/>
        </w:rPr>
        <w:fldChar w:fldCharType="end"/>
      </w:r>
      <w:r w:rsidRPr="003240B1">
        <w:rPr>
          <w:rFonts w:ascii="Times New Roman" w:hAnsi="Times New Roman" w:cs="Times New Roman"/>
          <w:b/>
          <w:bCs/>
          <w:i w:val="0"/>
          <w:color w:val="000000" w:themeColor="text1"/>
          <w:sz w:val="24"/>
          <w:szCs w:val="22"/>
        </w:rPr>
        <w:t>.</w:t>
      </w:r>
      <w:r w:rsidR="00B53D84">
        <w:rPr>
          <w:rFonts w:ascii="Times New Roman" w:hAnsi="Times New Roman" w:cs="Times New Roman" w:hint="eastAsia"/>
          <w:b/>
          <w:bCs/>
          <w:i w:val="0"/>
          <w:color w:val="000000" w:themeColor="text1"/>
          <w:sz w:val="24"/>
          <w:szCs w:val="22"/>
        </w:rPr>
        <w:t xml:space="preserve"> </w:t>
      </w:r>
      <w:r w:rsidRPr="003240B1">
        <w:rPr>
          <w:rFonts w:ascii="Times New Roman" w:hAnsi="Times New Roman" w:cs="Times New Roman"/>
          <w:b/>
          <w:bCs/>
          <w:i w:val="0"/>
          <w:color w:val="000000" w:themeColor="text1"/>
          <w:sz w:val="24"/>
          <w:szCs w:val="22"/>
        </w:rPr>
        <w:t>Strategy Map for CLG Hotel Managers</w:t>
      </w:r>
    </w:p>
    <w:p w14:paraId="60A21550" w14:textId="77777777" w:rsidR="009C6180" w:rsidRPr="000960C2" w:rsidRDefault="00000000">
      <w:pPr>
        <w:spacing w:line="360" w:lineRule="auto"/>
        <w:jc w:val="both"/>
        <w:rPr>
          <w:rFonts w:ascii="Times New Roman" w:hAnsi="Times New Roman" w:cs="Times New Roman"/>
          <w:sz w:val="24"/>
        </w:rPr>
      </w:pPr>
      <w:r w:rsidRPr="000960C2">
        <w:rPr>
          <w:rFonts w:ascii="Times New Roman" w:hAnsi="Times New Roman" w:cs="Times New Roman"/>
          <w:sz w:val="24"/>
        </w:rPr>
        <w:t>Figure 1 illustrates the causal logic of the improved BSC for CLG hotel managers. The map starts from learning and growth, focusing on manager ownership and staff capability. These factors then support better service consistency and data use in internal processes. Improved internal processes are expected to increase guest satisfaction and loyalty, which then support revenue growth, cost control and profitability. This reflects the role of the BSC as a strategic management system, because it links daily operational actions with longer-term strategic and financial outcomes (Kaplan and Norton, 2007).</w:t>
      </w:r>
    </w:p>
    <w:p w14:paraId="45188337" w14:textId="77777777" w:rsidR="009C6180" w:rsidRPr="000960C2" w:rsidRDefault="00000000">
      <w:pPr>
        <w:spacing w:line="360" w:lineRule="auto"/>
        <w:jc w:val="both"/>
        <w:rPr>
          <w:rFonts w:ascii="Times New Roman" w:hAnsi="Times New Roman" w:cs="Times New Roman"/>
          <w:sz w:val="24"/>
        </w:rPr>
      </w:pPr>
      <w:r w:rsidRPr="000960C2">
        <w:rPr>
          <w:rFonts w:ascii="Times New Roman" w:hAnsi="Times New Roman" w:cs="Times New Roman"/>
          <w:sz w:val="24"/>
        </w:rPr>
        <w:t>Table 2 presents the proposed improved BSC for CLG hotel managers, including strategic objectives and measures across the four perspectives.</w:t>
      </w:r>
    </w:p>
    <w:p w14:paraId="586EB70F" w14:textId="58597D4F" w:rsidR="009C6180" w:rsidRPr="003240B1" w:rsidRDefault="00000000">
      <w:pPr>
        <w:pStyle w:val="a3"/>
        <w:keepNext/>
        <w:jc w:val="center"/>
        <w:rPr>
          <w:rFonts w:ascii="Times New Roman" w:hAnsi="Times New Roman" w:cs="Times New Roman" w:hint="eastAsia"/>
          <w:b/>
          <w:bCs/>
          <w:i w:val="0"/>
          <w:color w:val="000000" w:themeColor="text1"/>
          <w:sz w:val="24"/>
          <w:szCs w:val="22"/>
        </w:rPr>
      </w:pPr>
      <w:r w:rsidRPr="003240B1">
        <w:rPr>
          <w:rFonts w:ascii="Times New Roman" w:hAnsi="Times New Roman" w:cs="Times New Roman"/>
          <w:b/>
          <w:bCs/>
          <w:i w:val="0"/>
          <w:color w:val="000000" w:themeColor="text1"/>
          <w:sz w:val="24"/>
          <w:szCs w:val="22"/>
        </w:rPr>
        <w:t xml:space="preserve">Table </w:t>
      </w:r>
      <w:r w:rsidRPr="003240B1">
        <w:rPr>
          <w:rFonts w:ascii="Times New Roman" w:hAnsi="Times New Roman" w:cs="Times New Roman"/>
          <w:b/>
          <w:bCs/>
          <w:i w:val="0"/>
          <w:color w:val="000000" w:themeColor="text1"/>
          <w:sz w:val="24"/>
          <w:szCs w:val="22"/>
        </w:rPr>
        <w:fldChar w:fldCharType="begin"/>
      </w:r>
      <w:r w:rsidRPr="003240B1">
        <w:rPr>
          <w:rFonts w:ascii="Times New Roman" w:hAnsi="Times New Roman" w:cs="Times New Roman"/>
          <w:b/>
          <w:bCs/>
          <w:i w:val="0"/>
          <w:color w:val="000000" w:themeColor="text1"/>
          <w:sz w:val="24"/>
          <w:szCs w:val="22"/>
        </w:rPr>
        <w:instrText xml:space="preserve"> SEQ Table \* ARABIC </w:instrText>
      </w:r>
      <w:r w:rsidRPr="003240B1">
        <w:rPr>
          <w:rFonts w:ascii="Times New Roman" w:hAnsi="Times New Roman" w:cs="Times New Roman"/>
          <w:b/>
          <w:bCs/>
          <w:i w:val="0"/>
          <w:color w:val="000000" w:themeColor="text1"/>
          <w:sz w:val="24"/>
          <w:szCs w:val="22"/>
        </w:rPr>
        <w:fldChar w:fldCharType="separate"/>
      </w:r>
      <w:r w:rsidRPr="003240B1">
        <w:rPr>
          <w:rFonts w:ascii="Times New Roman" w:hAnsi="Times New Roman" w:cs="Times New Roman"/>
          <w:b/>
          <w:bCs/>
          <w:i w:val="0"/>
          <w:color w:val="000000" w:themeColor="text1"/>
          <w:sz w:val="24"/>
          <w:szCs w:val="22"/>
        </w:rPr>
        <w:t>2</w:t>
      </w:r>
      <w:r w:rsidRPr="003240B1">
        <w:rPr>
          <w:rFonts w:ascii="Times New Roman" w:hAnsi="Times New Roman" w:cs="Times New Roman"/>
          <w:b/>
          <w:bCs/>
          <w:i w:val="0"/>
          <w:color w:val="000000" w:themeColor="text1"/>
          <w:sz w:val="24"/>
          <w:szCs w:val="22"/>
        </w:rPr>
        <w:fldChar w:fldCharType="end"/>
      </w:r>
      <w:r w:rsidRPr="003240B1">
        <w:rPr>
          <w:rFonts w:ascii="Times New Roman" w:hAnsi="Times New Roman" w:cs="Times New Roman"/>
          <w:b/>
          <w:bCs/>
          <w:i w:val="0"/>
          <w:color w:val="000000" w:themeColor="text1"/>
          <w:sz w:val="24"/>
          <w:szCs w:val="22"/>
        </w:rPr>
        <w:t xml:space="preserve">. Proposed improved </w:t>
      </w:r>
      <w:r w:rsidR="000960C2" w:rsidRPr="003240B1">
        <w:rPr>
          <w:rFonts w:ascii="Times New Roman" w:hAnsi="Times New Roman" w:cs="Times New Roman" w:hint="eastAsia"/>
          <w:b/>
          <w:bCs/>
          <w:i w:val="0"/>
          <w:color w:val="000000" w:themeColor="text1"/>
          <w:sz w:val="24"/>
          <w:szCs w:val="22"/>
        </w:rPr>
        <w:t>BSC</w:t>
      </w:r>
    </w:p>
    <w:tbl>
      <w:tblPr>
        <w:tblStyle w:val="ad"/>
        <w:tblW w:w="4999" w:type="pct"/>
        <w:jc w:val="center"/>
        <w:tblLook w:val="04A0" w:firstRow="1" w:lastRow="0" w:firstColumn="1" w:lastColumn="0" w:noHBand="0" w:noVBand="1"/>
      </w:tblPr>
      <w:tblGrid>
        <w:gridCol w:w="1708"/>
        <w:gridCol w:w="3131"/>
        <w:gridCol w:w="4175"/>
      </w:tblGrid>
      <w:tr w:rsidR="009C6180" w:rsidRPr="000960C2" w14:paraId="276410BC" w14:textId="77777777">
        <w:trPr>
          <w:cantSplit/>
          <w:trHeight w:val="263"/>
          <w:jc w:val="center"/>
        </w:trPr>
        <w:tc>
          <w:tcPr>
            <w:tcW w:w="947" w:type="pct"/>
            <w:shd w:val="clear" w:color="auto" w:fill="DEEAF6" w:themeFill="accent5" w:themeFillTint="33"/>
            <w:vAlign w:val="center"/>
          </w:tcPr>
          <w:p w14:paraId="2A71B1BD" w14:textId="77777777" w:rsidR="009C6180" w:rsidRPr="000960C2" w:rsidRDefault="00000000">
            <w:pPr>
              <w:spacing w:after="0" w:line="240" w:lineRule="auto"/>
              <w:jc w:val="center"/>
              <w:rPr>
                <w:rFonts w:ascii="Times New Roman" w:hAnsi="Times New Roman" w:cs="Times New Roman"/>
                <w:b/>
                <w:bCs/>
                <w:sz w:val="24"/>
              </w:rPr>
            </w:pPr>
            <w:r w:rsidRPr="000960C2">
              <w:rPr>
                <w:rFonts w:ascii="Times New Roman" w:hAnsi="Times New Roman" w:cs="Times New Roman"/>
                <w:b/>
                <w:bCs/>
                <w:sz w:val="24"/>
              </w:rPr>
              <w:t>Perspective</w:t>
            </w:r>
          </w:p>
        </w:tc>
        <w:tc>
          <w:tcPr>
            <w:tcW w:w="1737" w:type="pct"/>
            <w:shd w:val="clear" w:color="auto" w:fill="DEEAF6" w:themeFill="accent5" w:themeFillTint="33"/>
            <w:vAlign w:val="center"/>
          </w:tcPr>
          <w:p w14:paraId="66BC59BA" w14:textId="77777777" w:rsidR="009C6180" w:rsidRPr="000960C2" w:rsidRDefault="00000000">
            <w:pPr>
              <w:spacing w:after="0" w:line="240" w:lineRule="auto"/>
              <w:jc w:val="center"/>
              <w:rPr>
                <w:rFonts w:ascii="Times New Roman" w:hAnsi="Times New Roman" w:cs="Times New Roman"/>
                <w:b/>
                <w:bCs/>
                <w:sz w:val="24"/>
              </w:rPr>
            </w:pPr>
            <w:r w:rsidRPr="000960C2">
              <w:rPr>
                <w:rFonts w:ascii="Times New Roman" w:hAnsi="Times New Roman" w:cs="Times New Roman"/>
                <w:b/>
                <w:bCs/>
                <w:sz w:val="24"/>
              </w:rPr>
              <w:t>Strategic objective</w:t>
            </w:r>
          </w:p>
        </w:tc>
        <w:tc>
          <w:tcPr>
            <w:tcW w:w="2316" w:type="pct"/>
            <w:shd w:val="clear" w:color="auto" w:fill="DEEAF6" w:themeFill="accent5" w:themeFillTint="33"/>
            <w:vAlign w:val="center"/>
          </w:tcPr>
          <w:p w14:paraId="62CB2C01" w14:textId="77777777" w:rsidR="009C6180" w:rsidRPr="000960C2" w:rsidRDefault="00000000">
            <w:pPr>
              <w:spacing w:after="0" w:line="240" w:lineRule="auto"/>
              <w:jc w:val="center"/>
              <w:rPr>
                <w:rFonts w:ascii="Times New Roman" w:hAnsi="Times New Roman" w:cs="Times New Roman"/>
                <w:b/>
                <w:bCs/>
                <w:sz w:val="24"/>
              </w:rPr>
            </w:pPr>
            <w:r w:rsidRPr="000960C2">
              <w:rPr>
                <w:rFonts w:ascii="Times New Roman" w:hAnsi="Times New Roman" w:cs="Times New Roman"/>
                <w:b/>
                <w:bCs/>
                <w:sz w:val="24"/>
              </w:rPr>
              <w:t>Proposed measures</w:t>
            </w:r>
          </w:p>
        </w:tc>
      </w:tr>
      <w:tr w:rsidR="009C6180" w:rsidRPr="000960C2" w14:paraId="1C14A442" w14:textId="77777777">
        <w:trPr>
          <w:cantSplit/>
          <w:trHeight w:val="387"/>
          <w:jc w:val="center"/>
        </w:trPr>
        <w:tc>
          <w:tcPr>
            <w:tcW w:w="947" w:type="pct"/>
            <w:vMerge w:val="restart"/>
            <w:vAlign w:val="center"/>
          </w:tcPr>
          <w:p w14:paraId="44E2C521"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Financial</w:t>
            </w:r>
          </w:p>
        </w:tc>
        <w:tc>
          <w:tcPr>
            <w:tcW w:w="1737" w:type="pct"/>
            <w:vMerge w:val="restart"/>
            <w:vAlign w:val="center"/>
          </w:tcPr>
          <w:p w14:paraId="4AB14BBE"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Improve profitability and revenue growth through expansion</w:t>
            </w:r>
          </w:p>
        </w:tc>
        <w:tc>
          <w:tcPr>
            <w:tcW w:w="2316" w:type="pct"/>
            <w:vAlign w:val="center"/>
          </w:tcPr>
          <w:p w14:paraId="0EB3A02D"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RevPAR growth</w:t>
            </w:r>
          </w:p>
        </w:tc>
      </w:tr>
      <w:tr w:rsidR="009C6180" w:rsidRPr="000960C2" w14:paraId="1E3A35E2" w14:textId="77777777">
        <w:trPr>
          <w:cantSplit/>
          <w:trHeight w:val="387"/>
          <w:jc w:val="center"/>
        </w:trPr>
        <w:tc>
          <w:tcPr>
            <w:tcW w:w="0" w:type="auto"/>
            <w:vMerge/>
            <w:vAlign w:val="center"/>
          </w:tcPr>
          <w:p w14:paraId="5EEE3D82" w14:textId="77777777" w:rsidR="009C6180" w:rsidRPr="000960C2" w:rsidRDefault="009C6180">
            <w:pPr>
              <w:spacing w:after="0" w:line="240" w:lineRule="auto"/>
              <w:jc w:val="center"/>
              <w:rPr>
                <w:rFonts w:ascii="Times New Roman" w:hAnsi="Times New Roman" w:cs="Times New Roman"/>
                <w:sz w:val="24"/>
              </w:rPr>
            </w:pPr>
          </w:p>
        </w:tc>
        <w:tc>
          <w:tcPr>
            <w:tcW w:w="0" w:type="auto"/>
            <w:vMerge/>
            <w:vAlign w:val="center"/>
          </w:tcPr>
          <w:p w14:paraId="74BA93A4" w14:textId="77777777" w:rsidR="009C6180" w:rsidRPr="000960C2" w:rsidRDefault="009C6180">
            <w:pPr>
              <w:spacing w:after="0" w:line="240" w:lineRule="auto"/>
              <w:jc w:val="center"/>
              <w:rPr>
                <w:rFonts w:ascii="Times New Roman" w:hAnsi="Times New Roman" w:cs="Times New Roman"/>
                <w:sz w:val="24"/>
              </w:rPr>
            </w:pPr>
          </w:p>
        </w:tc>
        <w:tc>
          <w:tcPr>
            <w:tcW w:w="2316" w:type="pct"/>
            <w:vAlign w:val="center"/>
          </w:tcPr>
          <w:p w14:paraId="34BEFE9A"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GOP margin</w:t>
            </w:r>
          </w:p>
        </w:tc>
      </w:tr>
      <w:tr w:rsidR="009C6180" w:rsidRPr="000960C2" w14:paraId="27E60321" w14:textId="77777777">
        <w:trPr>
          <w:cantSplit/>
          <w:trHeight w:val="387"/>
          <w:jc w:val="center"/>
        </w:trPr>
        <w:tc>
          <w:tcPr>
            <w:tcW w:w="0" w:type="auto"/>
            <w:vMerge/>
            <w:vAlign w:val="center"/>
          </w:tcPr>
          <w:p w14:paraId="3A31F412" w14:textId="77777777" w:rsidR="009C6180" w:rsidRPr="000960C2" w:rsidRDefault="009C6180">
            <w:pPr>
              <w:spacing w:after="0" w:line="240" w:lineRule="auto"/>
              <w:jc w:val="center"/>
              <w:rPr>
                <w:rFonts w:ascii="Times New Roman" w:hAnsi="Times New Roman" w:cs="Times New Roman"/>
                <w:sz w:val="24"/>
              </w:rPr>
            </w:pPr>
          </w:p>
        </w:tc>
        <w:tc>
          <w:tcPr>
            <w:tcW w:w="0" w:type="auto"/>
            <w:vMerge/>
            <w:vAlign w:val="center"/>
          </w:tcPr>
          <w:p w14:paraId="296D2FA1" w14:textId="77777777" w:rsidR="009C6180" w:rsidRPr="000960C2" w:rsidRDefault="009C6180">
            <w:pPr>
              <w:spacing w:after="0" w:line="240" w:lineRule="auto"/>
              <w:jc w:val="center"/>
              <w:rPr>
                <w:rFonts w:ascii="Times New Roman" w:hAnsi="Times New Roman" w:cs="Times New Roman"/>
                <w:sz w:val="24"/>
              </w:rPr>
            </w:pPr>
          </w:p>
        </w:tc>
        <w:tc>
          <w:tcPr>
            <w:tcW w:w="2316" w:type="pct"/>
            <w:vAlign w:val="center"/>
          </w:tcPr>
          <w:p w14:paraId="5CC90C34"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revenue from newly opened hotels</w:t>
            </w:r>
          </w:p>
        </w:tc>
      </w:tr>
      <w:tr w:rsidR="009C6180" w:rsidRPr="000960C2" w14:paraId="0E61102D" w14:textId="77777777">
        <w:trPr>
          <w:cantSplit/>
          <w:trHeight w:val="387"/>
          <w:jc w:val="center"/>
        </w:trPr>
        <w:tc>
          <w:tcPr>
            <w:tcW w:w="0" w:type="auto"/>
            <w:vMerge/>
            <w:vAlign w:val="center"/>
          </w:tcPr>
          <w:p w14:paraId="3E12D378" w14:textId="77777777" w:rsidR="009C6180" w:rsidRPr="000960C2" w:rsidRDefault="009C6180">
            <w:pPr>
              <w:spacing w:after="0" w:line="240" w:lineRule="auto"/>
              <w:jc w:val="center"/>
              <w:rPr>
                <w:rFonts w:ascii="Times New Roman" w:hAnsi="Times New Roman" w:cs="Times New Roman"/>
                <w:sz w:val="24"/>
              </w:rPr>
            </w:pPr>
          </w:p>
        </w:tc>
        <w:tc>
          <w:tcPr>
            <w:tcW w:w="0" w:type="auto"/>
            <w:vMerge/>
            <w:vAlign w:val="center"/>
          </w:tcPr>
          <w:p w14:paraId="73476B32" w14:textId="77777777" w:rsidR="009C6180" w:rsidRPr="000960C2" w:rsidRDefault="009C6180">
            <w:pPr>
              <w:spacing w:after="0" w:line="240" w:lineRule="auto"/>
              <w:jc w:val="center"/>
              <w:rPr>
                <w:rFonts w:ascii="Times New Roman" w:hAnsi="Times New Roman" w:cs="Times New Roman"/>
                <w:sz w:val="24"/>
              </w:rPr>
            </w:pPr>
          </w:p>
        </w:tc>
        <w:tc>
          <w:tcPr>
            <w:tcW w:w="2316" w:type="pct"/>
            <w:vAlign w:val="center"/>
          </w:tcPr>
          <w:p w14:paraId="15E85DBE"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cost per occupied room</w:t>
            </w:r>
          </w:p>
        </w:tc>
      </w:tr>
      <w:tr w:rsidR="009C6180" w:rsidRPr="000960C2" w14:paraId="07EEBB90" w14:textId="77777777">
        <w:trPr>
          <w:cantSplit/>
          <w:trHeight w:val="309"/>
          <w:jc w:val="center"/>
        </w:trPr>
        <w:tc>
          <w:tcPr>
            <w:tcW w:w="947" w:type="pct"/>
            <w:vMerge w:val="restart"/>
            <w:vAlign w:val="center"/>
          </w:tcPr>
          <w:p w14:paraId="3CB65322"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Customer</w:t>
            </w:r>
          </w:p>
        </w:tc>
        <w:tc>
          <w:tcPr>
            <w:tcW w:w="1737" w:type="pct"/>
            <w:vMerge w:val="restart"/>
            <w:vAlign w:val="center"/>
          </w:tcPr>
          <w:p w14:paraId="39A00F73"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Strengthen guest satisfaction and customer retention</w:t>
            </w:r>
          </w:p>
        </w:tc>
        <w:tc>
          <w:tcPr>
            <w:tcW w:w="2316" w:type="pct"/>
            <w:vAlign w:val="center"/>
          </w:tcPr>
          <w:p w14:paraId="4C7D8F49"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customer satisfaction score</w:t>
            </w:r>
          </w:p>
        </w:tc>
      </w:tr>
      <w:tr w:rsidR="009C6180" w:rsidRPr="000960C2" w14:paraId="02DB99D3" w14:textId="77777777">
        <w:trPr>
          <w:cantSplit/>
          <w:trHeight w:val="309"/>
          <w:jc w:val="center"/>
        </w:trPr>
        <w:tc>
          <w:tcPr>
            <w:tcW w:w="0" w:type="auto"/>
            <w:vMerge/>
            <w:vAlign w:val="center"/>
          </w:tcPr>
          <w:p w14:paraId="6C9E4732" w14:textId="77777777" w:rsidR="009C6180" w:rsidRPr="000960C2" w:rsidRDefault="009C6180">
            <w:pPr>
              <w:spacing w:after="0" w:line="240" w:lineRule="auto"/>
              <w:jc w:val="center"/>
              <w:rPr>
                <w:rFonts w:ascii="Times New Roman" w:hAnsi="Times New Roman" w:cs="Times New Roman"/>
                <w:sz w:val="24"/>
              </w:rPr>
            </w:pPr>
          </w:p>
        </w:tc>
        <w:tc>
          <w:tcPr>
            <w:tcW w:w="0" w:type="auto"/>
            <w:vMerge/>
            <w:vAlign w:val="center"/>
          </w:tcPr>
          <w:p w14:paraId="0F1E38BC" w14:textId="77777777" w:rsidR="009C6180" w:rsidRPr="000960C2" w:rsidRDefault="009C6180">
            <w:pPr>
              <w:spacing w:after="0" w:line="240" w:lineRule="auto"/>
              <w:jc w:val="center"/>
              <w:rPr>
                <w:rFonts w:ascii="Times New Roman" w:hAnsi="Times New Roman" w:cs="Times New Roman"/>
                <w:sz w:val="24"/>
              </w:rPr>
            </w:pPr>
          </w:p>
        </w:tc>
        <w:tc>
          <w:tcPr>
            <w:tcW w:w="2316" w:type="pct"/>
            <w:vAlign w:val="center"/>
          </w:tcPr>
          <w:p w14:paraId="1573499C"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repeat customer rate</w:t>
            </w:r>
          </w:p>
        </w:tc>
      </w:tr>
      <w:tr w:rsidR="009C6180" w:rsidRPr="000960C2" w14:paraId="5714AB57" w14:textId="77777777">
        <w:trPr>
          <w:cantSplit/>
          <w:trHeight w:val="309"/>
          <w:jc w:val="center"/>
        </w:trPr>
        <w:tc>
          <w:tcPr>
            <w:tcW w:w="0" w:type="auto"/>
            <w:vMerge/>
            <w:vAlign w:val="center"/>
          </w:tcPr>
          <w:p w14:paraId="3DA8F750" w14:textId="77777777" w:rsidR="009C6180" w:rsidRPr="000960C2" w:rsidRDefault="009C6180">
            <w:pPr>
              <w:spacing w:after="0" w:line="240" w:lineRule="auto"/>
              <w:jc w:val="center"/>
              <w:rPr>
                <w:rFonts w:ascii="Times New Roman" w:hAnsi="Times New Roman" w:cs="Times New Roman"/>
                <w:sz w:val="24"/>
              </w:rPr>
            </w:pPr>
          </w:p>
        </w:tc>
        <w:tc>
          <w:tcPr>
            <w:tcW w:w="0" w:type="auto"/>
            <w:vMerge/>
            <w:vAlign w:val="center"/>
          </w:tcPr>
          <w:p w14:paraId="162492BB" w14:textId="77777777" w:rsidR="009C6180" w:rsidRPr="000960C2" w:rsidRDefault="009C6180">
            <w:pPr>
              <w:spacing w:after="0" w:line="240" w:lineRule="auto"/>
              <w:jc w:val="center"/>
              <w:rPr>
                <w:rFonts w:ascii="Times New Roman" w:hAnsi="Times New Roman" w:cs="Times New Roman"/>
                <w:sz w:val="24"/>
              </w:rPr>
            </w:pPr>
          </w:p>
        </w:tc>
        <w:tc>
          <w:tcPr>
            <w:tcW w:w="2316" w:type="pct"/>
            <w:vAlign w:val="center"/>
          </w:tcPr>
          <w:p w14:paraId="141DD22C"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customer retention rate</w:t>
            </w:r>
          </w:p>
        </w:tc>
      </w:tr>
      <w:tr w:rsidR="009C6180" w:rsidRPr="000960C2" w14:paraId="097A75C9" w14:textId="77777777">
        <w:trPr>
          <w:cantSplit/>
          <w:trHeight w:val="309"/>
          <w:jc w:val="center"/>
        </w:trPr>
        <w:tc>
          <w:tcPr>
            <w:tcW w:w="0" w:type="auto"/>
            <w:vMerge/>
            <w:vAlign w:val="center"/>
          </w:tcPr>
          <w:p w14:paraId="4EFDFBC6" w14:textId="77777777" w:rsidR="009C6180" w:rsidRPr="000960C2" w:rsidRDefault="009C6180">
            <w:pPr>
              <w:spacing w:after="0" w:line="240" w:lineRule="auto"/>
              <w:jc w:val="center"/>
              <w:rPr>
                <w:rFonts w:ascii="Times New Roman" w:hAnsi="Times New Roman" w:cs="Times New Roman"/>
                <w:sz w:val="24"/>
              </w:rPr>
            </w:pPr>
          </w:p>
        </w:tc>
        <w:tc>
          <w:tcPr>
            <w:tcW w:w="0" w:type="auto"/>
            <w:vMerge/>
            <w:vAlign w:val="center"/>
          </w:tcPr>
          <w:p w14:paraId="00B0CC9A" w14:textId="77777777" w:rsidR="009C6180" w:rsidRPr="000960C2" w:rsidRDefault="009C6180">
            <w:pPr>
              <w:spacing w:after="0" w:line="240" w:lineRule="auto"/>
              <w:jc w:val="center"/>
              <w:rPr>
                <w:rFonts w:ascii="Times New Roman" w:hAnsi="Times New Roman" w:cs="Times New Roman"/>
                <w:sz w:val="24"/>
              </w:rPr>
            </w:pPr>
          </w:p>
        </w:tc>
        <w:tc>
          <w:tcPr>
            <w:tcW w:w="2316" w:type="pct"/>
            <w:vAlign w:val="center"/>
          </w:tcPr>
          <w:p w14:paraId="19A5D21E"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complaint resolution rate</w:t>
            </w:r>
          </w:p>
        </w:tc>
      </w:tr>
      <w:tr w:rsidR="009C6180" w:rsidRPr="000960C2" w14:paraId="5457F7CF" w14:textId="77777777">
        <w:trPr>
          <w:cantSplit/>
          <w:trHeight w:val="335"/>
          <w:jc w:val="center"/>
        </w:trPr>
        <w:tc>
          <w:tcPr>
            <w:tcW w:w="947" w:type="pct"/>
            <w:vMerge w:val="restart"/>
            <w:vAlign w:val="center"/>
          </w:tcPr>
          <w:p w14:paraId="3A05576E"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Internal processes</w:t>
            </w:r>
          </w:p>
        </w:tc>
        <w:tc>
          <w:tcPr>
            <w:tcW w:w="1737" w:type="pct"/>
            <w:vMerge w:val="restart"/>
            <w:vAlign w:val="center"/>
          </w:tcPr>
          <w:p w14:paraId="79F7EA04"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Improve operational efficiency, service consistency and expansion execution</w:t>
            </w:r>
          </w:p>
        </w:tc>
        <w:tc>
          <w:tcPr>
            <w:tcW w:w="2316" w:type="pct"/>
            <w:vAlign w:val="center"/>
          </w:tcPr>
          <w:p w14:paraId="36D995E3"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room turnaround time</w:t>
            </w:r>
          </w:p>
        </w:tc>
      </w:tr>
      <w:tr w:rsidR="009C6180" w:rsidRPr="000960C2" w14:paraId="2DCFFE7B" w14:textId="77777777">
        <w:trPr>
          <w:cantSplit/>
          <w:trHeight w:val="335"/>
          <w:jc w:val="center"/>
        </w:trPr>
        <w:tc>
          <w:tcPr>
            <w:tcW w:w="0" w:type="auto"/>
            <w:vMerge/>
            <w:vAlign w:val="center"/>
          </w:tcPr>
          <w:p w14:paraId="4DCAB1F1" w14:textId="77777777" w:rsidR="009C6180" w:rsidRPr="000960C2" w:rsidRDefault="009C6180">
            <w:pPr>
              <w:spacing w:after="0" w:line="240" w:lineRule="auto"/>
              <w:jc w:val="center"/>
              <w:rPr>
                <w:rFonts w:ascii="Times New Roman" w:hAnsi="Times New Roman" w:cs="Times New Roman"/>
                <w:sz w:val="24"/>
              </w:rPr>
            </w:pPr>
          </w:p>
        </w:tc>
        <w:tc>
          <w:tcPr>
            <w:tcW w:w="0" w:type="auto"/>
            <w:vMerge/>
            <w:vAlign w:val="center"/>
          </w:tcPr>
          <w:p w14:paraId="74193A0C" w14:textId="77777777" w:rsidR="009C6180" w:rsidRPr="000960C2" w:rsidRDefault="009C6180">
            <w:pPr>
              <w:spacing w:after="0" w:line="240" w:lineRule="auto"/>
              <w:jc w:val="center"/>
              <w:rPr>
                <w:rFonts w:ascii="Times New Roman" w:hAnsi="Times New Roman" w:cs="Times New Roman"/>
                <w:sz w:val="24"/>
              </w:rPr>
            </w:pPr>
          </w:p>
        </w:tc>
        <w:tc>
          <w:tcPr>
            <w:tcW w:w="2316" w:type="pct"/>
            <w:vAlign w:val="center"/>
          </w:tcPr>
          <w:p w14:paraId="06D4D3DA"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customer waiting time</w:t>
            </w:r>
          </w:p>
        </w:tc>
      </w:tr>
      <w:tr w:rsidR="009C6180" w:rsidRPr="000960C2" w14:paraId="68A060B2" w14:textId="77777777">
        <w:trPr>
          <w:cantSplit/>
          <w:trHeight w:val="335"/>
          <w:jc w:val="center"/>
        </w:trPr>
        <w:tc>
          <w:tcPr>
            <w:tcW w:w="0" w:type="auto"/>
            <w:vMerge/>
            <w:vAlign w:val="center"/>
          </w:tcPr>
          <w:p w14:paraId="1F627593" w14:textId="77777777" w:rsidR="009C6180" w:rsidRPr="000960C2" w:rsidRDefault="009C6180">
            <w:pPr>
              <w:spacing w:after="0" w:line="240" w:lineRule="auto"/>
              <w:jc w:val="center"/>
              <w:rPr>
                <w:rFonts w:ascii="Times New Roman" w:hAnsi="Times New Roman" w:cs="Times New Roman"/>
                <w:sz w:val="24"/>
              </w:rPr>
            </w:pPr>
          </w:p>
        </w:tc>
        <w:tc>
          <w:tcPr>
            <w:tcW w:w="0" w:type="auto"/>
            <w:vMerge/>
            <w:vAlign w:val="center"/>
          </w:tcPr>
          <w:p w14:paraId="1F45476B" w14:textId="77777777" w:rsidR="009C6180" w:rsidRPr="000960C2" w:rsidRDefault="009C6180">
            <w:pPr>
              <w:spacing w:after="0" w:line="240" w:lineRule="auto"/>
              <w:jc w:val="center"/>
              <w:rPr>
                <w:rFonts w:ascii="Times New Roman" w:hAnsi="Times New Roman" w:cs="Times New Roman"/>
                <w:sz w:val="24"/>
              </w:rPr>
            </w:pPr>
          </w:p>
        </w:tc>
        <w:tc>
          <w:tcPr>
            <w:tcW w:w="2316" w:type="pct"/>
            <w:vAlign w:val="center"/>
          </w:tcPr>
          <w:p w14:paraId="3FD1A47F"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brand standard audit score</w:t>
            </w:r>
          </w:p>
        </w:tc>
      </w:tr>
      <w:tr w:rsidR="009C6180" w:rsidRPr="000960C2" w14:paraId="6CA028DF" w14:textId="77777777">
        <w:trPr>
          <w:cantSplit/>
          <w:trHeight w:val="335"/>
          <w:jc w:val="center"/>
        </w:trPr>
        <w:tc>
          <w:tcPr>
            <w:tcW w:w="0" w:type="auto"/>
            <w:vMerge/>
            <w:vAlign w:val="center"/>
          </w:tcPr>
          <w:p w14:paraId="6BAA6E38" w14:textId="77777777" w:rsidR="009C6180" w:rsidRPr="000960C2" w:rsidRDefault="009C6180">
            <w:pPr>
              <w:spacing w:after="0" w:line="240" w:lineRule="auto"/>
              <w:jc w:val="center"/>
              <w:rPr>
                <w:rFonts w:ascii="Times New Roman" w:hAnsi="Times New Roman" w:cs="Times New Roman"/>
                <w:sz w:val="24"/>
              </w:rPr>
            </w:pPr>
          </w:p>
        </w:tc>
        <w:tc>
          <w:tcPr>
            <w:tcW w:w="0" w:type="auto"/>
            <w:vMerge/>
            <w:vAlign w:val="center"/>
          </w:tcPr>
          <w:p w14:paraId="04534738" w14:textId="77777777" w:rsidR="009C6180" w:rsidRPr="000960C2" w:rsidRDefault="009C6180">
            <w:pPr>
              <w:spacing w:after="0" w:line="240" w:lineRule="auto"/>
              <w:jc w:val="center"/>
              <w:rPr>
                <w:rFonts w:ascii="Times New Roman" w:hAnsi="Times New Roman" w:cs="Times New Roman"/>
                <w:sz w:val="24"/>
              </w:rPr>
            </w:pPr>
          </w:p>
        </w:tc>
        <w:tc>
          <w:tcPr>
            <w:tcW w:w="2316" w:type="pct"/>
            <w:vAlign w:val="center"/>
          </w:tcPr>
          <w:p w14:paraId="09DFDFFA"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new hotel opening progress</w:t>
            </w:r>
          </w:p>
        </w:tc>
      </w:tr>
      <w:tr w:rsidR="009C6180" w:rsidRPr="000960C2" w14:paraId="1807A4DE" w14:textId="77777777">
        <w:trPr>
          <w:cantSplit/>
          <w:trHeight w:val="312"/>
          <w:jc w:val="center"/>
        </w:trPr>
        <w:tc>
          <w:tcPr>
            <w:tcW w:w="947" w:type="pct"/>
            <w:vMerge w:val="restart"/>
            <w:vAlign w:val="center"/>
          </w:tcPr>
          <w:p w14:paraId="574CF5E9"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Learning and growth</w:t>
            </w:r>
          </w:p>
        </w:tc>
        <w:tc>
          <w:tcPr>
            <w:tcW w:w="1737" w:type="pct"/>
            <w:vMerge w:val="restart"/>
            <w:vAlign w:val="center"/>
          </w:tcPr>
          <w:p w14:paraId="3E82D212"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Build employee capability, digital capability and managerial ownership</w:t>
            </w:r>
          </w:p>
        </w:tc>
        <w:tc>
          <w:tcPr>
            <w:tcW w:w="2316" w:type="pct"/>
            <w:vAlign w:val="center"/>
          </w:tcPr>
          <w:p w14:paraId="3BC1E1FE"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training completion rate</w:t>
            </w:r>
          </w:p>
        </w:tc>
      </w:tr>
      <w:tr w:rsidR="009C6180" w:rsidRPr="000960C2" w14:paraId="361A0B2D" w14:textId="77777777">
        <w:trPr>
          <w:cantSplit/>
          <w:trHeight w:val="312"/>
          <w:jc w:val="center"/>
        </w:trPr>
        <w:tc>
          <w:tcPr>
            <w:tcW w:w="0" w:type="auto"/>
            <w:vMerge/>
            <w:vAlign w:val="center"/>
          </w:tcPr>
          <w:p w14:paraId="784C9915" w14:textId="77777777" w:rsidR="009C6180" w:rsidRPr="000960C2" w:rsidRDefault="009C6180">
            <w:pPr>
              <w:spacing w:after="0" w:line="240" w:lineRule="auto"/>
              <w:jc w:val="center"/>
              <w:rPr>
                <w:rFonts w:ascii="Times New Roman" w:hAnsi="Times New Roman" w:cs="Times New Roman"/>
                <w:sz w:val="24"/>
              </w:rPr>
            </w:pPr>
          </w:p>
        </w:tc>
        <w:tc>
          <w:tcPr>
            <w:tcW w:w="0" w:type="auto"/>
            <w:vMerge/>
            <w:vAlign w:val="center"/>
          </w:tcPr>
          <w:p w14:paraId="2D99C2ED" w14:textId="77777777" w:rsidR="009C6180" w:rsidRPr="000960C2" w:rsidRDefault="009C6180">
            <w:pPr>
              <w:spacing w:after="0" w:line="240" w:lineRule="auto"/>
              <w:jc w:val="center"/>
              <w:rPr>
                <w:rFonts w:ascii="Times New Roman" w:hAnsi="Times New Roman" w:cs="Times New Roman"/>
                <w:sz w:val="24"/>
              </w:rPr>
            </w:pPr>
          </w:p>
        </w:tc>
        <w:tc>
          <w:tcPr>
            <w:tcW w:w="2316" w:type="pct"/>
            <w:vAlign w:val="center"/>
          </w:tcPr>
          <w:p w14:paraId="7ED7C128"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employee turnover rate</w:t>
            </w:r>
          </w:p>
        </w:tc>
      </w:tr>
      <w:tr w:rsidR="009C6180" w:rsidRPr="000960C2" w14:paraId="100C4B0B" w14:textId="77777777">
        <w:trPr>
          <w:cantSplit/>
          <w:trHeight w:val="312"/>
          <w:jc w:val="center"/>
        </w:trPr>
        <w:tc>
          <w:tcPr>
            <w:tcW w:w="0" w:type="auto"/>
            <w:vMerge/>
            <w:vAlign w:val="center"/>
          </w:tcPr>
          <w:p w14:paraId="202B89B4" w14:textId="77777777" w:rsidR="009C6180" w:rsidRPr="000960C2" w:rsidRDefault="009C6180">
            <w:pPr>
              <w:spacing w:after="0" w:line="240" w:lineRule="auto"/>
              <w:jc w:val="center"/>
              <w:rPr>
                <w:rFonts w:ascii="Times New Roman" w:hAnsi="Times New Roman" w:cs="Times New Roman"/>
                <w:sz w:val="24"/>
              </w:rPr>
            </w:pPr>
          </w:p>
        </w:tc>
        <w:tc>
          <w:tcPr>
            <w:tcW w:w="0" w:type="auto"/>
            <w:vMerge/>
            <w:vAlign w:val="center"/>
          </w:tcPr>
          <w:p w14:paraId="414E7563" w14:textId="77777777" w:rsidR="009C6180" w:rsidRPr="000960C2" w:rsidRDefault="009C6180">
            <w:pPr>
              <w:spacing w:after="0" w:line="240" w:lineRule="auto"/>
              <w:jc w:val="center"/>
              <w:rPr>
                <w:rFonts w:ascii="Times New Roman" w:hAnsi="Times New Roman" w:cs="Times New Roman"/>
                <w:sz w:val="24"/>
              </w:rPr>
            </w:pPr>
          </w:p>
        </w:tc>
        <w:tc>
          <w:tcPr>
            <w:tcW w:w="2316" w:type="pct"/>
            <w:vAlign w:val="center"/>
          </w:tcPr>
          <w:p w14:paraId="79FA3D3D"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employee satisfaction score</w:t>
            </w:r>
          </w:p>
        </w:tc>
      </w:tr>
      <w:tr w:rsidR="009C6180" w:rsidRPr="000960C2" w14:paraId="7225CE2F" w14:textId="77777777">
        <w:trPr>
          <w:cantSplit/>
          <w:trHeight w:val="312"/>
          <w:jc w:val="center"/>
        </w:trPr>
        <w:tc>
          <w:tcPr>
            <w:tcW w:w="0" w:type="auto"/>
            <w:vMerge/>
            <w:vAlign w:val="center"/>
          </w:tcPr>
          <w:p w14:paraId="42A79E77" w14:textId="77777777" w:rsidR="009C6180" w:rsidRPr="000960C2" w:rsidRDefault="009C6180">
            <w:pPr>
              <w:spacing w:after="0" w:line="240" w:lineRule="auto"/>
              <w:jc w:val="center"/>
              <w:rPr>
                <w:rFonts w:ascii="Times New Roman" w:hAnsi="Times New Roman" w:cs="Times New Roman"/>
                <w:sz w:val="24"/>
              </w:rPr>
            </w:pPr>
          </w:p>
        </w:tc>
        <w:tc>
          <w:tcPr>
            <w:tcW w:w="0" w:type="auto"/>
            <w:vMerge/>
            <w:vAlign w:val="center"/>
          </w:tcPr>
          <w:p w14:paraId="33772149" w14:textId="77777777" w:rsidR="009C6180" w:rsidRPr="000960C2" w:rsidRDefault="009C6180">
            <w:pPr>
              <w:spacing w:after="0" w:line="240" w:lineRule="auto"/>
              <w:jc w:val="center"/>
              <w:rPr>
                <w:rFonts w:ascii="Times New Roman" w:hAnsi="Times New Roman" w:cs="Times New Roman"/>
                <w:sz w:val="24"/>
              </w:rPr>
            </w:pPr>
          </w:p>
        </w:tc>
        <w:tc>
          <w:tcPr>
            <w:tcW w:w="2316" w:type="pct"/>
            <w:vAlign w:val="center"/>
          </w:tcPr>
          <w:p w14:paraId="7C44B021"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IT system accuracy/reliability</w:t>
            </w:r>
          </w:p>
        </w:tc>
      </w:tr>
    </w:tbl>
    <w:p w14:paraId="2F63C601" w14:textId="018BC1C0" w:rsidR="009C6180" w:rsidRPr="000960C2" w:rsidRDefault="00000000">
      <w:pPr>
        <w:spacing w:line="360" w:lineRule="auto"/>
        <w:jc w:val="both"/>
        <w:rPr>
          <w:rFonts w:ascii="Times New Roman" w:hAnsi="Times New Roman" w:cs="Times New Roman"/>
          <w:sz w:val="24"/>
        </w:rPr>
      </w:pPr>
      <w:r w:rsidRPr="000960C2">
        <w:rPr>
          <w:rFonts w:ascii="Times New Roman" w:hAnsi="Times New Roman" w:cs="Times New Roman"/>
          <w:sz w:val="24"/>
        </w:rPr>
        <w:t>As shown in Table 2, the selected measures support CLG</w:t>
      </w:r>
      <w:r w:rsidR="00B53D84">
        <w:rPr>
          <w:rFonts w:ascii="Times New Roman" w:hAnsi="Times New Roman" w:cs="Times New Roman"/>
          <w:sz w:val="24"/>
        </w:rPr>
        <w:t>’</w:t>
      </w:r>
      <w:r w:rsidRPr="000960C2">
        <w:rPr>
          <w:rFonts w:ascii="Times New Roman" w:hAnsi="Times New Roman" w:cs="Times New Roman"/>
          <w:sz w:val="24"/>
        </w:rPr>
        <w:t>s strategy and follow a cause-and-effect logic.</w:t>
      </w:r>
      <w:r w:rsidRPr="000960C2">
        <w:rPr>
          <w:rFonts w:ascii="Times New Roman" w:hAnsi="Times New Roman" w:cs="Times New Roman" w:hint="eastAsia"/>
          <w:sz w:val="24"/>
        </w:rPr>
        <w:t xml:space="preserve"> Learning and growth measures, including training completion, employee turnover, employee satisfaction and IT system reliability, strengthen staff capability, managerial ownership and data-driven operations. These capabilities support internal process measures such as room turnaround time, customer waiting time, brand standard audit score and new hotel opening progress, which improve service efficiency, standardisation and expansion execution. Better internal processes then improve customer measures, including customer satisfaction, repeat customer rate, customer retention rate and complaint resolution rate. These customer outcomes are important because customer defections can directly affect profitability (Reichheld and Sasser, 1990). Finally, financial measures such as RevPAR growth, GOP margin, revenue from newly opened hotels and cost per occupied room track whether CLG achieves revenue efficiency, profitability, expansion quality and cost control during growth.</w:t>
      </w:r>
    </w:p>
    <w:p w14:paraId="21AFE19E" w14:textId="03822A30" w:rsidR="009C6180" w:rsidRPr="000960C2" w:rsidRDefault="00000000">
      <w:pPr>
        <w:spacing w:line="360" w:lineRule="auto"/>
        <w:jc w:val="both"/>
        <w:rPr>
          <w:rFonts w:ascii="Times New Roman" w:hAnsi="Times New Roman" w:cs="Times New Roman"/>
          <w:sz w:val="24"/>
        </w:rPr>
      </w:pPr>
      <w:r w:rsidRPr="000960C2">
        <w:rPr>
          <w:rFonts w:ascii="Times New Roman" w:hAnsi="Times New Roman" w:cs="Times New Roman" w:hint="eastAsia"/>
          <w:sz w:val="24"/>
        </w:rPr>
        <w:t>This design also reduces metric chasing. If managers are evaluated only on profit, revenue or hotel opening targets, they may sacrifice service quality, employee development or long-term brand consistency. By combining financial, customer, internal process and learning measures, the improved BSC encourages managers to focus on the operational drivers behind financial results and links their daily actions more clearly with CLG</w:t>
      </w:r>
      <w:r w:rsidR="00B53D84">
        <w:rPr>
          <w:rFonts w:ascii="Times New Roman" w:hAnsi="Times New Roman" w:cs="Times New Roman"/>
          <w:sz w:val="24"/>
        </w:rPr>
        <w:t>’</w:t>
      </w:r>
      <w:r w:rsidRPr="000960C2">
        <w:rPr>
          <w:rFonts w:ascii="Times New Roman" w:hAnsi="Times New Roman" w:cs="Times New Roman" w:hint="eastAsia"/>
          <w:sz w:val="24"/>
        </w:rPr>
        <w:t>s rapid growth strategy.</w:t>
      </w:r>
    </w:p>
    <w:p w14:paraId="736F2849" w14:textId="77777777" w:rsidR="009C6180" w:rsidRPr="000960C2" w:rsidRDefault="00000000">
      <w:pPr>
        <w:spacing w:line="360" w:lineRule="auto"/>
        <w:jc w:val="both"/>
        <w:rPr>
          <w:rFonts w:ascii="Times New Roman" w:hAnsi="Times New Roman" w:cs="Times New Roman"/>
          <w:sz w:val="24"/>
        </w:rPr>
      </w:pPr>
      <w:r w:rsidRPr="000960C2">
        <w:rPr>
          <w:rFonts w:ascii="Times New Roman" w:hAnsi="Times New Roman" w:cs="Times New Roman"/>
          <w:sz w:val="24"/>
        </w:rPr>
        <w:t>Table 3 proposes different incentive weightings for mature hotels and new or developing hotels.</w:t>
      </w:r>
    </w:p>
    <w:p w14:paraId="0A697A13" w14:textId="77777777" w:rsidR="009C6180" w:rsidRPr="003240B1" w:rsidRDefault="00000000">
      <w:pPr>
        <w:pStyle w:val="a3"/>
        <w:keepNext/>
        <w:jc w:val="center"/>
        <w:rPr>
          <w:rFonts w:ascii="Times New Roman" w:hAnsi="Times New Roman" w:cs="Times New Roman"/>
          <w:b/>
          <w:bCs/>
          <w:i w:val="0"/>
          <w:color w:val="000000" w:themeColor="text1"/>
          <w:sz w:val="24"/>
          <w:szCs w:val="22"/>
        </w:rPr>
      </w:pPr>
      <w:r w:rsidRPr="003240B1">
        <w:rPr>
          <w:rFonts w:ascii="Times New Roman" w:hAnsi="Times New Roman" w:cs="Times New Roman"/>
          <w:b/>
          <w:bCs/>
          <w:i w:val="0"/>
          <w:color w:val="000000" w:themeColor="text1"/>
          <w:sz w:val="24"/>
          <w:szCs w:val="22"/>
        </w:rPr>
        <w:t xml:space="preserve">Table </w:t>
      </w:r>
      <w:r w:rsidRPr="003240B1">
        <w:rPr>
          <w:rFonts w:ascii="Times New Roman" w:hAnsi="Times New Roman" w:cs="Times New Roman"/>
          <w:b/>
          <w:bCs/>
          <w:i w:val="0"/>
          <w:color w:val="000000" w:themeColor="text1"/>
          <w:sz w:val="24"/>
          <w:szCs w:val="22"/>
        </w:rPr>
        <w:fldChar w:fldCharType="begin"/>
      </w:r>
      <w:r w:rsidRPr="003240B1">
        <w:rPr>
          <w:rFonts w:ascii="Times New Roman" w:hAnsi="Times New Roman" w:cs="Times New Roman"/>
          <w:b/>
          <w:bCs/>
          <w:i w:val="0"/>
          <w:color w:val="000000" w:themeColor="text1"/>
          <w:sz w:val="24"/>
          <w:szCs w:val="22"/>
        </w:rPr>
        <w:instrText xml:space="preserve"> SEQ Table \* ARABIC </w:instrText>
      </w:r>
      <w:r w:rsidRPr="003240B1">
        <w:rPr>
          <w:rFonts w:ascii="Times New Roman" w:hAnsi="Times New Roman" w:cs="Times New Roman"/>
          <w:b/>
          <w:bCs/>
          <w:i w:val="0"/>
          <w:color w:val="000000" w:themeColor="text1"/>
          <w:sz w:val="24"/>
          <w:szCs w:val="22"/>
        </w:rPr>
        <w:fldChar w:fldCharType="separate"/>
      </w:r>
      <w:r w:rsidRPr="003240B1">
        <w:rPr>
          <w:rFonts w:ascii="Times New Roman" w:hAnsi="Times New Roman" w:cs="Times New Roman"/>
          <w:b/>
          <w:bCs/>
          <w:i w:val="0"/>
          <w:color w:val="000000" w:themeColor="text1"/>
          <w:sz w:val="24"/>
          <w:szCs w:val="22"/>
        </w:rPr>
        <w:t>3</w:t>
      </w:r>
      <w:r w:rsidRPr="003240B1">
        <w:rPr>
          <w:rFonts w:ascii="Times New Roman" w:hAnsi="Times New Roman" w:cs="Times New Roman"/>
          <w:b/>
          <w:bCs/>
          <w:i w:val="0"/>
          <w:color w:val="000000" w:themeColor="text1"/>
          <w:sz w:val="24"/>
          <w:szCs w:val="22"/>
        </w:rPr>
        <w:fldChar w:fldCharType="end"/>
      </w:r>
      <w:r w:rsidRPr="003240B1">
        <w:rPr>
          <w:rFonts w:ascii="Times New Roman" w:hAnsi="Times New Roman" w:cs="Times New Roman"/>
          <w:b/>
          <w:bCs/>
          <w:i w:val="0"/>
          <w:color w:val="000000" w:themeColor="text1"/>
          <w:sz w:val="24"/>
          <w:szCs w:val="22"/>
        </w:rPr>
        <w:t>. Suggested incentive weighting</w:t>
      </w:r>
    </w:p>
    <w:tbl>
      <w:tblPr>
        <w:tblStyle w:val="ad"/>
        <w:tblW w:w="0" w:type="auto"/>
        <w:jc w:val="center"/>
        <w:tblLook w:val="04A0" w:firstRow="1" w:lastRow="0" w:firstColumn="1" w:lastColumn="0" w:noHBand="0" w:noVBand="1"/>
      </w:tblPr>
      <w:tblGrid>
        <w:gridCol w:w="2791"/>
        <w:gridCol w:w="1259"/>
        <w:gridCol w:w="1237"/>
        <w:gridCol w:w="1544"/>
        <w:gridCol w:w="2185"/>
      </w:tblGrid>
      <w:tr w:rsidR="009C6180" w:rsidRPr="000960C2" w14:paraId="762EE7FF" w14:textId="77777777">
        <w:trPr>
          <w:cantSplit/>
          <w:jc w:val="center"/>
        </w:trPr>
        <w:tc>
          <w:tcPr>
            <w:tcW w:w="2791" w:type="dxa"/>
            <w:shd w:val="clear" w:color="auto" w:fill="DEEAF6" w:themeFill="accent5" w:themeFillTint="33"/>
            <w:vAlign w:val="center"/>
          </w:tcPr>
          <w:p w14:paraId="0B7CE0A1" w14:textId="77777777" w:rsidR="009C6180" w:rsidRPr="000960C2" w:rsidRDefault="00000000">
            <w:pPr>
              <w:spacing w:after="0" w:line="240" w:lineRule="auto"/>
              <w:jc w:val="center"/>
              <w:rPr>
                <w:rFonts w:ascii="Times New Roman" w:hAnsi="Times New Roman" w:cs="Times New Roman"/>
                <w:b/>
                <w:bCs/>
                <w:sz w:val="24"/>
              </w:rPr>
            </w:pPr>
            <w:r w:rsidRPr="000960C2">
              <w:rPr>
                <w:rFonts w:ascii="Times New Roman" w:hAnsi="Times New Roman" w:cs="Times New Roman"/>
                <w:b/>
                <w:bCs/>
                <w:sz w:val="24"/>
              </w:rPr>
              <w:t>Hotel development stage</w:t>
            </w:r>
          </w:p>
        </w:tc>
        <w:tc>
          <w:tcPr>
            <w:tcW w:w="1259" w:type="dxa"/>
            <w:shd w:val="clear" w:color="auto" w:fill="DEEAF6" w:themeFill="accent5" w:themeFillTint="33"/>
            <w:vAlign w:val="center"/>
          </w:tcPr>
          <w:p w14:paraId="50C23D08" w14:textId="77777777" w:rsidR="009C6180" w:rsidRPr="000960C2" w:rsidRDefault="00000000">
            <w:pPr>
              <w:spacing w:after="0" w:line="240" w:lineRule="auto"/>
              <w:jc w:val="center"/>
              <w:rPr>
                <w:rFonts w:ascii="Times New Roman" w:hAnsi="Times New Roman" w:cs="Times New Roman"/>
                <w:b/>
                <w:bCs/>
                <w:sz w:val="24"/>
              </w:rPr>
            </w:pPr>
            <w:r w:rsidRPr="000960C2">
              <w:rPr>
                <w:rFonts w:ascii="Times New Roman" w:hAnsi="Times New Roman" w:cs="Times New Roman"/>
                <w:b/>
                <w:bCs/>
                <w:sz w:val="24"/>
              </w:rPr>
              <w:t>Financial</w:t>
            </w:r>
          </w:p>
        </w:tc>
        <w:tc>
          <w:tcPr>
            <w:tcW w:w="1237" w:type="dxa"/>
            <w:shd w:val="clear" w:color="auto" w:fill="DEEAF6" w:themeFill="accent5" w:themeFillTint="33"/>
            <w:vAlign w:val="center"/>
          </w:tcPr>
          <w:p w14:paraId="46AC2CC1" w14:textId="77777777" w:rsidR="009C6180" w:rsidRPr="000960C2" w:rsidRDefault="00000000">
            <w:pPr>
              <w:spacing w:after="0" w:line="240" w:lineRule="auto"/>
              <w:jc w:val="center"/>
              <w:rPr>
                <w:rFonts w:ascii="Times New Roman" w:hAnsi="Times New Roman" w:cs="Times New Roman"/>
                <w:b/>
                <w:bCs/>
                <w:sz w:val="24"/>
              </w:rPr>
            </w:pPr>
            <w:r w:rsidRPr="000960C2">
              <w:rPr>
                <w:rFonts w:ascii="Times New Roman" w:hAnsi="Times New Roman" w:cs="Times New Roman"/>
                <w:b/>
                <w:bCs/>
                <w:sz w:val="24"/>
              </w:rPr>
              <w:t>Customer</w:t>
            </w:r>
          </w:p>
        </w:tc>
        <w:tc>
          <w:tcPr>
            <w:tcW w:w="1544" w:type="dxa"/>
            <w:shd w:val="clear" w:color="auto" w:fill="DEEAF6" w:themeFill="accent5" w:themeFillTint="33"/>
            <w:vAlign w:val="center"/>
          </w:tcPr>
          <w:p w14:paraId="563DC194" w14:textId="77777777" w:rsidR="009C6180" w:rsidRPr="000960C2" w:rsidRDefault="00000000">
            <w:pPr>
              <w:spacing w:after="0" w:line="240" w:lineRule="auto"/>
              <w:jc w:val="center"/>
              <w:rPr>
                <w:rFonts w:ascii="Times New Roman" w:hAnsi="Times New Roman" w:cs="Times New Roman"/>
                <w:b/>
                <w:bCs/>
                <w:sz w:val="24"/>
              </w:rPr>
            </w:pPr>
            <w:r w:rsidRPr="000960C2">
              <w:rPr>
                <w:rFonts w:ascii="Times New Roman" w:hAnsi="Times New Roman" w:cs="Times New Roman"/>
                <w:b/>
                <w:bCs/>
                <w:sz w:val="24"/>
              </w:rPr>
              <w:t>Internal process</w:t>
            </w:r>
          </w:p>
        </w:tc>
        <w:tc>
          <w:tcPr>
            <w:tcW w:w="2185" w:type="dxa"/>
            <w:shd w:val="clear" w:color="auto" w:fill="DEEAF6" w:themeFill="accent5" w:themeFillTint="33"/>
            <w:vAlign w:val="center"/>
          </w:tcPr>
          <w:p w14:paraId="1A381FF6" w14:textId="77777777" w:rsidR="009C6180" w:rsidRPr="000960C2" w:rsidRDefault="00000000">
            <w:pPr>
              <w:spacing w:after="0" w:line="240" w:lineRule="auto"/>
              <w:jc w:val="center"/>
              <w:rPr>
                <w:rFonts w:ascii="Times New Roman" w:hAnsi="Times New Roman" w:cs="Times New Roman"/>
                <w:b/>
                <w:bCs/>
                <w:sz w:val="24"/>
              </w:rPr>
            </w:pPr>
            <w:r w:rsidRPr="000960C2">
              <w:rPr>
                <w:rFonts w:ascii="Times New Roman" w:hAnsi="Times New Roman" w:cs="Times New Roman"/>
                <w:b/>
                <w:bCs/>
                <w:sz w:val="24"/>
              </w:rPr>
              <w:t>Learning and growth</w:t>
            </w:r>
          </w:p>
        </w:tc>
      </w:tr>
      <w:tr w:rsidR="009C6180" w:rsidRPr="000960C2" w14:paraId="35470246" w14:textId="77777777">
        <w:trPr>
          <w:cantSplit/>
          <w:jc w:val="center"/>
        </w:trPr>
        <w:tc>
          <w:tcPr>
            <w:tcW w:w="2791" w:type="dxa"/>
            <w:vAlign w:val="center"/>
          </w:tcPr>
          <w:p w14:paraId="0087145B"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Mature hotels</w:t>
            </w:r>
          </w:p>
        </w:tc>
        <w:tc>
          <w:tcPr>
            <w:tcW w:w="1259" w:type="dxa"/>
            <w:vAlign w:val="center"/>
          </w:tcPr>
          <w:p w14:paraId="59249E21"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50%</w:t>
            </w:r>
          </w:p>
        </w:tc>
        <w:tc>
          <w:tcPr>
            <w:tcW w:w="1237" w:type="dxa"/>
            <w:vAlign w:val="center"/>
          </w:tcPr>
          <w:p w14:paraId="6CD3453C"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20%</w:t>
            </w:r>
          </w:p>
        </w:tc>
        <w:tc>
          <w:tcPr>
            <w:tcW w:w="1544" w:type="dxa"/>
            <w:vAlign w:val="center"/>
          </w:tcPr>
          <w:p w14:paraId="0013EDA9"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20%</w:t>
            </w:r>
          </w:p>
        </w:tc>
        <w:tc>
          <w:tcPr>
            <w:tcW w:w="2185" w:type="dxa"/>
            <w:vAlign w:val="center"/>
          </w:tcPr>
          <w:p w14:paraId="17911E60"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10%</w:t>
            </w:r>
          </w:p>
        </w:tc>
      </w:tr>
      <w:tr w:rsidR="009C6180" w:rsidRPr="000960C2" w14:paraId="18E8701A" w14:textId="77777777">
        <w:trPr>
          <w:cantSplit/>
          <w:jc w:val="center"/>
        </w:trPr>
        <w:tc>
          <w:tcPr>
            <w:tcW w:w="2791" w:type="dxa"/>
            <w:vAlign w:val="center"/>
          </w:tcPr>
          <w:p w14:paraId="002EFDCF"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New or developing hotels</w:t>
            </w:r>
          </w:p>
        </w:tc>
        <w:tc>
          <w:tcPr>
            <w:tcW w:w="1259" w:type="dxa"/>
            <w:vAlign w:val="center"/>
          </w:tcPr>
          <w:p w14:paraId="25CBAF50"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35%</w:t>
            </w:r>
          </w:p>
        </w:tc>
        <w:tc>
          <w:tcPr>
            <w:tcW w:w="1237" w:type="dxa"/>
            <w:vAlign w:val="center"/>
          </w:tcPr>
          <w:p w14:paraId="121163FD"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25%</w:t>
            </w:r>
          </w:p>
        </w:tc>
        <w:tc>
          <w:tcPr>
            <w:tcW w:w="1544" w:type="dxa"/>
            <w:vAlign w:val="center"/>
          </w:tcPr>
          <w:p w14:paraId="40358D31"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25%</w:t>
            </w:r>
          </w:p>
        </w:tc>
        <w:tc>
          <w:tcPr>
            <w:tcW w:w="2185" w:type="dxa"/>
            <w:vAlign w:val="center"/>
          </w:tcPr>
          <w:p w14:paraId="6176780D"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15%</w:t>
            </w:r>
          </w:p>
        </w:tc>
      </w:tr>
    </w:tbl>
    <w:p w14:paraId="28216612" w14:textId="16346826" w:rsidR="009C6180" w:rsidRPr="000960C2" w:rsidRDefault="00000000">
      <w:pPr>
        <w:spacing w:line="360" w:lineRule="auto"/>
        <w:jc w:val="both"/>
        <w:rPr>
          <w:rFonts w:ascii="Times New Roman" w:hAnsi="Times New Roman" w:cs="Times New Roman"/>
          <w:sz w:val="24"/>
        </w:rPr>
      </w:pPr>
      <w:r w:rsidRPr="000960C2">
        <w:rPr>
          <w:rFonts w:ascii="Times New Roman" w:hAnsi="Times New Roman" w:cs="Times New Roman" w:hint="eastAsia"/>
          <w:sz w:val="24"/>
        </w:rPr>
        <w:lastRenderedPageBreak/>
        <w:t>The proposed weighting, given in Table 3, is a reflection of CLG</w:t>
      </w:r>
      <w:r w:rsidR="00B53D84">
        <w:rPr>
          <w:rFonts w:ascii="Times New Roman" w:hAnsi="Times New Roman" w:cs="Times New Roman"/>
          <w:sz w:val="24"/>
        </w:rPr>
        <w:t>’</w:t>
      </w:r>
      <w:r w:rsidRPr="000960C2">
        <w:rPr>
          <w:rFonts w:ascii="Times New Roman" w:hAnsi="Times New Roman" w:cs="Times New Roman" w:hint="eastAsia"/>
          <w:sz w:val="24"/>
        </w:rPr>
        <w:t>s growth strategy, old BSC problems and incentive redesign. A higher financial weighting is warranted for mature hotels, as managers can be held more directly responsible for profitability, RevPAR and cost control. The customer and internal process measures are not dropped, because dropping them may lead to short-term profit seeking. On the other hand, financial weighting should be lower for new or developing hotels since they need to establish demand, train their staff and standardise their operation. Thus, there is a greater emphasis on customer, internal process, and learning and growth measures.</w:t>
      </w:r>
    </w:p>
    <w:p w14:paraId="2455851A" w14:textId="77777777" w:rsidR="009C6180" w:rsidRPr="000960C2" w:rsidRDefault="00000000">
      <w:pPr>
        <w:spacing w:line="360" w:lineRule="auto"/>
        <w:jc w:val="both"/>
        <w:rPr>
          <w:rFonts w:ascii="Times New Roman" w:hAnsi="Times New Roman" w:cs="Times New Roman"/>
          <w:sz w:val="24"/>
        </w:rPr>
      </w:pPr>
      <w:r w:rsidRPr="000960C2">
        <w:rPr>
          <w:rFonts w:ascii="Times New Roman" w:hAnsi="Times New Roman" w:cs="Times New Roman" w:hint="eastAsia"/>
          <w:sz w:val="24"/>
        </w:rPr>
        <w:t>This weighting system also needs clear measurement rules. CLG should use consistent definitions and data sources for measures such as customer retention, complaint resolution, brand audit scores and IT system accuracy. The targets should also be adjusted according to hotel type and development stage, because it would be unfair to judge a newly opened hotel in the same way as a mature hotel. Regular review is also necessary to reduce gaming behaviour, where managers try to meet the scorecard numbers without really improving hotel performance.</w:t>
      </w:r>
    </w:p>
    <w:p w14:paraId="7FDFF1A3" w14:textId="7F806FC9" w:rsidR="009C6180" w:rsidRPr="000960C2" w:rsidRDefault="00000000">
      <w:pPr>
        <w:spacing w:line="360" w:lineRule="auto"/>
        <w:jc w:val="both"/>
        <w:rPr>
          <w:rFonts w:ascii="Times New Roman" w:hAnsi="Times New Roman" w:cs="Times New Roman"/>
          <w:sz w:val="24"/>
        </w:rPr>
      </w:pPr>
      <w:r w:rsidRPr="000960C2">
        <w:rPr>
          <w:rFonts w:ascii="Times New Roman" w:hAnsi="Times New Roman" w:cs="Times New Roman" w:hint="eastAsia"/>
          <w:sz w:val="24"/>
        </w:rPr>
        <w:t xml:space="preserve">In general, the improved BSC should not just </w:t>
      </w:r>
      <w:r w:rsidR="00BA0015">
        <w:rPr>
          <w:rFonts w:ascii="Times New Roman" w:hAnsi="Times New Roman" w:cs="Times New Roman" w:hint="eastAsia"/>
          <w:sz w:val="24"/>
        </w:rPr>
        <w:t xml:space="preserve">be </w:t>
      </w:r>
      <w:r w:rsidRPr="000960C2">
        <w:rPr>
          <w:rFonts w:ascii="Times New Roman" w:hAnsi="Times New Roman" w:cs="Times New Roman" w:hint="eastAsia"/>
          <w:sz w:val="24"/>
        </w:rPr>
        <w:t>used for bonus calculation. It should also convey the strategy, and enable managers to have a clear view of how service quality, employee competency, data integrity and standardisation of the operation drive financial outcomes. A regular review of the measures is necessary, as non-financial measures only have value when they are explicitly connected to strategic goals and not simply used as stand-alone measures (Ittner and Larcker, 2003).</w:t>
      </w:r>
    </w:p>
    <w:p w14:paraId="4D45E716" w14:textId="77777777" w:rsidR="009C6180" w:rsidRPr="000960C2" w:rsidRDefault="00000000">
      <w:pPr>
        <w:spacing w:line="360" w:lineRule="auto"/>
        <w:jc w:val="both"/>
        <w:rPr>
          <w:rFonts w:ascii="Times New Roman" w:hAnsi="Times New Roman" w:cs="Times New Roman"/>
          <w:b/>
          <w:bCs/>
          <w:sz w:val="28"/>
          <w:szCs w:val="28"/>
        </w:rPr>
      </w:pPr>
      <w:r w:rsidRPr="000960C2">
        <w:rPr>
          <w:rFonts w:ascii="Times New Roman" w:hAnsi="Times New Roman" w:cs="Times New Roman"/>
          <w:b/>
          <w:bCs/>
          <w:sz w:val="28"/>
          <w:szCs w:val="28"/>
        </w:rPr>
        <w:t>Conclusion</w:t>
      </w:r>
    </w:p>
    <w:p w14:paraId="0DBF0DFD" w14:textId="71FEEDCC" w:rsidR="009C6180" w:rsidRPr="000960C2" w:rsidRDefault="00000000" w:rsidP="00A60226">
      <w:pPr>
        <w:pStyle w:val="aa"/>
        <w:widowControl/>
        <w:spacing w:before="100" w:after="100" w:line="360" w:lineRule="auto"/>
        <w:jc w:val="both"/>
        <w:rPr>
          <w:rFonts w:ascii="Times New Roman" w:hAnsi="Times New Roman"/>
          <w:kern w:val="2"/>
          <w:lang w:val="en-GB"/>
        </w:rPr>
      </w:pPr>
      <w:r w:rsidRPr="000960C2">
        <w:rPr>
          <w:rFonts w:ascii="Times New Roman" w:hAnsi="Times New Roman" w:hint="eastAsia"/>
          <w:kern w:val="2"/>
          <w:lang w:val="en-GB"/>
        </w:rPr>
        <w:t>As CLG</w:t>
      </w:r>
      <w:r w:rsidR="00B53D84">
        <w:rPr>
          <w:rFonts w:ascii="Times New Roman" w:hAnsi="Times New Roman"/>
          <w:kern w:val="2"/>
          <w:lang w:val="en-GB"/>
        </w:rPr>
        <w:t>’</w:t>
      </w:r>
      <w:r w:rsidRPr="000960C2">
        <w:rPr>
          <w:rFonts w:ascii="Times New Roman" w:hAnsi="Times New Roman" w:hint="eastAsia"/>
          <w:kern w:val="2"/>
          <w:lang w:val="en-GB"/>
        </w:rPr>
        <w:t>s case shows, rapid growth cannot be achieved only by having a growth strategy. It also needs a management control system that supports the main drivers of that strategy. CLG</w:t>
      </w:r>
      <w:r w:rsidR="00B53D84">
        <w:rPr>
          <w:rFonts w:ascii="Times New Roman" w:hAnsi="Times New Roman"/>
          <w:kern w:val="2"/>
          <w:lang w:val="en-GB"/>
        </w:rPr>
        <w:t>’</w:t>
      </w:r>
      <w:r w:rsidRPr="000960C2">
        <w:rPr>
          <w:rFonts w:ascii="Times New Roman" w:hAnsi="Times New Roman" w:hint="eastAsia"/>
          <w:kern w:val="2"/>
          <w:lang w:val="en-GB"/>
        </w:rPr>
        <w:t xml:space="preserve">s multi-brand strategy, efficient operations, service standardisation, IT-based infrastructure and member loyalty helped the company build a scalable hotel model and expand into different markets. However, these </w:t>
      </w:r>
      <w:r w:rsidR="00BA0015">
        <w:rPr>
          <w:rFonts w:ascii="Times New Roman" w:hAnsi="Times New Roman" w:hint="eastAsia"/>
          <w:kern w:val="2"/>
          <w:lang w:val="en-GB"/>
        </w:rPr>
        <w:t>CSFs</w:t>
      </w:r>
      <w:r w:rsidRPr="000960C2">
        <w:rPr>
          <w:rFonts w:ascii="Times New Roman" w:hAnsi="Times New Roman" w:hint="eastAsia"/>
          <w:kern w:val="2"/>
          <w:lang w:val="en-GB"/>
        </w:rPr>
        <w:t xml:space="preserve"> were not fully reflected in the original BSC. Although the original BSC included both financial and non-financial indicators, some indicators encouraged </w:t>
      </w:r>
      <w:r w:rsidRPr="000960C2">
        <w:rPr>
          <w:rFonts w:ascii="Times New Roman" w:hAnsi="Times New Roman" w:hint="eastAsia"/>
          <w:kern w:val="2"/>
          <w:lang w:val="en-GB"/>
        </w:rPr>
        <w:lastRenderedPageBreak/>
        <w:t>managers to chase the metric itself and did not clearly show important drivers such as customer loyalty, digital capability and managerial ownership.</w:t>
      </w:r>
    </w:p>
    <w:p w14:paraId="758851F6" w14:textId="2825C9EF" w:rsidR="009C6180" w:rsidRDefault="00000000" w:rsidP="00A60226">
      <w:pPr>
        <w:pStyle w:val="aa"/>
        <w:widowControl/>
        <w:spacing w:before="100" w:after="100" w:line="360" w:lineRule="auto"/>
        <w:jc w:val="both"/>
        <w:rPr>
          <w:rFonts w:ascii="Times New Roman" w:hAnsi="Times New Roman"/>
          <w:kern w:val="2"/>
          <w:lang w:val="en-GB"/>
        </w:rPr>
      </w:pPr>
      <w:r w:rsidRPr="000960C2">
        <w:rPr>
          <w:rFonts w:ascii="Times New Roman" w:hAnsi="Times New Roman" w:hint="eastAsia"/>
          <w:kern w:val="2"/>
          <w:lang w:val="en-GB"/>
        </w:rPr>
        <w:t>Case B redesigned the accountability and incentive system to improve strategic alignment by strengthening financial accountability, participation and collaboration among managers. However, the reform was still not complete, because too much focus on financial results may reduce attention to service quality, employee skills and brand consistency. Therefore, an improved BSC should keep financial discipline, but also give enough attention to customer, internal process, and learning-and-growth measures. In sum, CLG</w:t>
      </w:r>
      <w:r w:rsidR="00B53D84">
        <w:rPr>
          <w:rFonts w:ascii="Times New Roman" w:hAnsi="Times New Roman"/>
          <w:kern w:val="2"/>
          <w:lang w:val="en-GB"/>
        </w:rPr>
        <w:t>’</w:t>
      </w:r>
      <w:r w:rsidRPr="000960C2">
        <w:rPr>
          <w:rFonts w:ascii="Times New Roman" w:hAnsi="Times New Roman" w:hint="eastAsia"/>
          <w:kern w:val="2"/>
          <w:lang w:val="en-GB"/>
        </w:rPr>
        <w:t>s control system should help managers achieve short-term objectives, while also building the sustainable capabilities needed for long-term growth.</w:t>
      </w:r>
    </w:p>
    <w:p w14:paraId="1FAFD815" w14:textId="77777777" w:rsidR="00A60226" w:rsidRPr="000960C2" w:rsidRDefault="00A60226" w:rsidP="00A60226">
      <w:pPr>
        <w:pStyle w:val="aa"/>
        <w:widowControl/>
        <w:spacing w:before="100" w:after="100" w:line="240" w:lineRule="auto"/>
        <w:jc w:val="both"/>
        <w:rPr>
          <w:rFonts w:ascii="Times New Roman" w:hAnsi="Times New Roman" w:hint="eastAsia"/>
          <w:lang w:val="en-GB"/>
        </w:rPr>
      </w:pPr>
    </w:p>
    <w:p w14:paraId="09BD4D45" w14:textId="77777777" w:rsidR="009C6180" w:rsidRPr="000960C2" w:rsidRDefault="00000000">
      <w:pPr>
        <w:spacing w:line="240" w:lineRule="auto"/>
        <w:jc w:val="both"/>
        <w:rPr>
          <w:rFonts w:ascii="Times New Roman" w:hAnsi="Times New Roman" w:cs="Times New Roman"/>
          <w:b/>
          <w:sz w:val="28"/>
          <w:szCs w:val="28"/>
        </w:rPr>
      </w:pPr>
      <w:r w:rsidRPr="000960C2">
        <w:rPr>
          <w:rFonts w:ascii="Times New Roman" w:hAnsi="Times New Roman" w:cs="Times New Roman" w:hint="eastAsia"/>
          <w:b/>
          <w:sz w:val="28"/>
          <w:szCs w:val="28"/>
        </w:rPr>
        <w:t>Appendix</w:t>
      </w:r>
      <w:r w:rsidRPr="000960C2">
        <w:rPr>
          <w:rFonts w:ascii="Times New Roman" w:hAnsi="Times New Roman" w:cs="Times New Roman"/>
          <w:b/>
          <w:sz w:val="28"/>
          <w:szCs w:val="28"/>
        </w:rPr>
        <w:t xml:space="preserve"> </w:t>
      </w:r>
      <w:r w:rsidRPr="000960C2">
        <w:rPr>
          <w:rFonts w:ascii="Times New Roman" w:hAnsi="Times New Roman" w:cs="Times New Roman" w:hint="eastAsia"/>
          <w:b/>
          <w:sz w:val="28"/>
          <w:szCs w:val="28"/>
        </w:rPr>
        <w:t>-</w:t>
      </w:r>
      <w:r w:rsidRPr="000960C2">
        <w:rPr>
          <w:rFonts w:ascii="Times New Roman" w:hAnsi="Times New Roman" w:cs="Times New Roman"/>
          <w:b/>
          <w:sz w:val="28"/>
          <w:szCs w:val="28"/>
        </w:rPr>
        <w:t xml:space="preserve"> AI Use Declaration</w:t>
      </w:r>
    </w:p>
    <w:tbl>
      <w:tblPr>
        <w:tblStyle w:val="ad"/>
        <w:tblW w:w="9016" w:type="dxa"/>
        <w:tblInd w:w="78" w:type="dxa"/>
        <w:tblLook w:val="04A0" w:firstRow="1" w:lastRow="0" w:firstColumn="1" w:lastColumn="0" w:noHBand="0" w:noVBand="1"/>
      </w:tblPr>
      <w:tblGrid>
        <w:gridCol w:w="1175"/>
        <w:gridCol w:w="1436"/>
        <w:gridCol w:w="2693"/>
        <w:gridCol w:w="3712"/>
      </w:tblGrid>
      <w:tr w:rsidR="009C6180" w:rsidRPr="000960C2" w14:paraId="5A9B762B" w14:textId="77777777">
        <w:tc>
          <w:tcPr>
            <w:tcW w:w="1175"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3E4A1021" w14:textId="77777777" w:rsidR="009C6180" w:rsidRPr="000960C2" w:rsidRDefault="00000000">
            <w:pPr>
              <w:spacing w:after="0" w:line="240" w:lineRule="auto"/>
              <w:jc w:val="center"/>
              <w:rPr>
                <w:rFonts w:ascii="Times New Roman" w:hAnsi="Times New Roman" w:cs="Times New Roman"/>
                <w:b/>
                <w:bCs/>
                <w:sz w:val="24"/>
              </w:rPr>
            </w:pPr>
            <w:r w:rsidRPr="000960C2">
              <w:rPr>
                <w:rFonts w:ascii="Times New Roman" w:hAnsi="Times New Roman" w:cs="Times New Roman"/>
                <w:b/>
                <w:bCs/>
                <w:sz w:val="24"/>
              </w:rPr>
              <w:t>AI Tool</w:t>
            </w:r>
          </w:p>
        </w:tc>
        <w:tc>
          <w:tcPr>
            <w:tcW w:w="1436"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3A59A771" w14:textId="77777777" w:rsidR="009C6180" w:rsidRPr="000960C2" w:rsidRDefault="00000000">
            <w:pPr>
              <w:spacing w:after="0" w:line="240" w:lineRule="auto"/>
              <w:jc w:val="center"/>
              <w:rPr>
                <w:rFonts w:ascii="Times New Roman" w:hAnsi="Times New Roman" w:cs="Times New Roman"/>
                <w:b/>
                <w:bCs/>
                <w:sz w:val="24"/>
              </w:rPr>
            </w:pPr>
            <w:r w:rsidRPr="000960C2">
              <w:rPr>
                <w:rFonts w:ascii="Times New Roman" w:hAnsi="Times New Roman" w:cs="Times New Roman"/>
                <w:b/>
                <w:bCs/>
                <w:sz w:val="24"/>
              </w:rPr>
              <w:t>Purpose</w:t>
            </w:r>
          </w:p>
        </w:tc>
        <w:tc>
          <w:tcPr>
            <w:tcW w:w="2693"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1C7971A5" w14:textId="77777777" w:rsidR="009C6180" w:rsidRPr="000960C2" w:rsidRDefault="00000000">
            <w:pPr>
              <w:spacing w:after="0" w:line="240" w:lineRule="auto"/>
              <w:jc w:val="center"/>
              <w:rPr>
                <w:rFonts w:ascii="Times New Roman" w:hAnsi="Times New Roman" w:cs="Times New Roman"/>
                <w:b/>
                <w:bCs/>
                <w:sz w:val="24"/>
              </w:rPr>
            </w:pPr>
            <w:r w:rsidRPr="000960C2">
              <w:rPr>
                <w:rFonts w:ascii="Times New Roman" w:hAnsi="Times New Roman" w:cs="Times New Roman"/>
                <w:b/>
                <w:bCs/>
                <w:sz w:val="24"/>
              </w:rPr>
              <w:t>Example Prompt</w:t>
            </w:r>
          </w:p>
        </w:tc>
        <w:tc>
          <w:tcPr>
            <w:tcW w:w="3712"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7A098760" w14:textId="77777777" w:rsidR="009C6180" w:rsidRPr="000960C2" w:rsidRDefault="00000000">
            <w:pPr>
              <w:spacing w:after="0" w:line="240" w:lineRule="auto"/>
              <w:jc w:val="center"/>
              <w:rPr>
                <w:rFonts w:ascii="Times New Roman" w:hAnsi="Times New Roman" w:cs="Times New Roman"/>
                <w:b/>
                <w:bCs/>
                <w:sz w:val="24"/>
              </w:rPr>
            </w:pPr>
            <w:r w:rsidRPr="000960C2">
              <w:rPr>
                <w:rFonts w:ascii="Times New Roman" w:hAnsi="Times New Roman" w:cs="Times New Roman"/>
                <w:b/>
                <w:bCs/>
                <w:sz w:val="24"/>
              </w:rPr>
              <w:t>How Output Was Used</w:t>
            </w:r>
          </w:p>
        </w:tc>
      </w:tr>
      <w:tr w:rsidR="009C6180" w:rsidRPr="000960C2" w14:paraId="5B749EC9" w14:textId="77777777">
        <w:tc>
          <w:tcPr>
            <w:tcW w:w="1175" w:type="dxa"/>
            <w:tcBorders>
              <w:top w:val="single" w:sz="4" w:space="0" w:color="auto"/>
              <w:left w:val="single" w:sz="4" w:space="0" w:color="auto"/>
              <w:bottom w:val="single" w:sz="4" w:space="0" w:color="auto"/>
              <w:right w:val="single" w:sz="4" w:space="0" w:color="auto"/>
            </w:tcBorders>
            <w:vAlign w:val="center"/>
          </w:tcPr>
          <w:p w14:paraId="1911390C"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ChatGPT</w:t>
            </w:r>
          </w:p>
        </w:tc>
        <w:tc>
          <w:tcPr>
            <w:tcW w:w="1436" w:type="dxa"/>
            <w:tcBorders>
              <w:top w:val="single" w:sz="4" w:space="0" w:color="auto"/>
              <w:left w:val="nil"/>
              <w:bottom w:val="single" w:sz="4" w:space="0" w:color="auto"/>
              <w:right w:val="single" w:sz="4" w:space="0" w:color="auto"/>
            </w:tcBorders>
            <w:vAlign w:val="center"/>
          </w:tcPr>
          <w:p w14:paraId="44C64AA4"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Refine Q1 structure and wording</w:t>
            </w:r>
          </w:p>
        </w:tc>
        <w:tc>
          <w:tcPr>
            <w:tcW w:w="2693" w:type="dxa"/>
            <w:tcBorders>
              <w:top w:val="single" w:sz="4" w:space="0" w:color="auto"/>
              <w:left w:val="nil"/>
              <w:bottom w:val="single" w:sz="4" w:space="0" w:color="auto"/>
              <w:right w:val="single" w:sz="4" w:space="0" w:color="auto"/>
            </w:tcBorders>
            <w:vAlign w:val="center"/>
          </w:tcPr>
          <w:p w14:paraId="062A41C9"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“How can Q1 be condensed while reducing repetition?”</w:t>
            </w:r>
          </w:p>
        </w:tc>
        <w:tc>
          <w:tcPr>
            <w:tcW w:w="3712" w:type="dxa"/>
            <w:tcBorders>
              <w:top w:val="single" w:sz="4" w:space="0" w:color="auto"/>
              <w:left w:val="nil"/>
              <w:bottom w:val="single" w:sz="4" w:space="0" w:color="auto"/>
              <w:right w:val="single" w:sz="4" w:space="0" w:color="auto"/>
            </w:tcBorders>
            <w:vAlign w:val="center"/>
          </w:tcPr>
          <w:p w14:paraId="1E2A6515"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Used to improve flow and wording. Final content and case evidence were checked and revised by group members.</w:t>
            </w:r>
          </w:p>
        </w:tc>
      </w:tr>
      <w:tr w:rsidR="009C6180" w:rsidRPr="000960C2" w14:paraId="6545C62D" w14:textId="77777777">
        <w:tc>
          <w:tcPr>
            <w:tcW w:w="1175" w:type="dxa"/>
            <w:tcBorders>
              <w:top w:val="single" w:sz="4" w:space="0" w:color="auto"/>
              <w:left w:val="single" w:sz="4" w:space="0" w:color="auto"/>
              <w:bottom w:val="single" w:sz="4" w:space="0" w:color="auto"/>
              <w:right w:val="single" w:sz="4" w:space="0" w:color="auto"/>
            </w:tcBorders>
            <w:vAlign w:val="center"/>
          </w:tcPr>
          <w:p w14:paraId="23FC5BCA"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ChatGPT</w:t>
            </w:r>
          </w:p>
        </w:tc>
        <w:tc>
          <w:tcPr>
            <w:tcW w:w="1436" w:type="dxa"/>
            <w:tcBorders>
              <w:top w:val="single" w:sz="4" w:space="0" w:color="auto"/>
              <w:left w:val="nil"/>
              <w:bottom w:val="single" w:sz="4" w:space="0" w:color="auto"/>
              <w:right w:val="single" w:sz="4" w:space="0" w:color="auto"/>
            </w:tcBorders>
            <w:vAlign w:val="center"/>
          </w:tcPr>
          <w:p w14:paraId="235A14E6"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 xml:space="preserve">Check the BSC concept creators </w:t>
            </w:r>
            <w:r w:rsidRPr="000960C2">
              <w:rPr>
                <w:rFonts w:ascii="Times New Roman" w:hAnsi="Times New Roman" w:cs="Times New Roman" w:hint="eastAsia"/>
                <w:sz w:val="24"/>
              </w:rPr>
              <w:t>for</w:t>
            </w:r>
            <w:r w:rsidRPr="000960C2">
              <w:rPr>
                <w:rFonts w:ascii="Times New Roman" w:hAnsi="Times New Roman" w:cs="Times New Roman"/>
                <w:sz w:val="24"/>
              </w:rPr>
              <w:t xml:space="preserve"> Q2</w:t>
            </w:r>
          </w:p>
        </w:tc>
        <w:tc>
          <w:tcPr>
            <w:tcW w:w="2693" w:type="dxa"/>
            <w:tcBorders>
              <w:top w:val="single" w:sz="4" w:space="0" w:color="auto"/>
              <w:left w:val="nil"/>
              <w:bottom w:val="single" w:sz="4" w:space="0" w:color="auto"/>
              <w:right w:val="single" w:sz="4" w:space="0" w:color="auto"/>
            </w:tcBorders>
            <w:vAlign w:val="center"/>
          </w:tcPr>
          <w:p w14:paraId="51E07E17" w14:textId="4F301B8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 xml:space="preserve">“Who introduced the </w:t>
            </w:r>
            <w:r w:rsidR="000960C2">
              <w:rPr>
                <w:rFonts w:ascii="Times New Roman" w:hAnsi="Times New Roman" w:cs="Times New Roman" w:hint="eastAsia"/>
                <w:sz w:val="24"/>
              </w:rPr>
              <w:t>BSC</w:t>
            </w:r>
            <w:r w:rsidRPr="000960C2">
              <w:rPr>
                <w:rFonts w:ascii="Times New Roman" w:hAnsi="Times New Roman" w:cs="Times New Roman"/>
                <w:sz w:val="24"/>
              </w:rPr>
              <w:t xml:space="preserve"> and are there any relevant publications explaining this concept?”</w:t>
            </w:r>
          </w:p>
        </w:tc>
        <w:tc>
          <w:tcPr>
            <w:tcW w:w="3712" w:type="dxa"/>
            <w:tcBorders>
              <w:top w:val="single" w:sz="4" w:space="0" w:color="auto"/>
              <w:left w:val="nil"/>
              <w:bottom w:val="single" w:sz="4" w:space="0" w:color="auto"/>
              <w:right w:val="single" w:sz="4" w:space="0" w:color="auto"/>
            </w:tcBorders>
            <w:vAlign w:val="center"/>
          </w:tcPr>
          <w:p w14:paraId="2C521D96"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Used to confirm the basic BSC concept and relevant sources. Final explanation was written based on course and case materials.</w:t>
            </w:r>
          </w:p>
        </w:tc>
      </w:tr>
      <w:tr w:rsidR="009C6180" w:rsidRPr="000960C2" w14:paraId="0EEB869C" w14:textId="77777777">
        <w:tc>
          <w:tcPr>
            <w:tcW w:w="1175" w:type="dxa"/>
            <w:tcBorders>
              <w:top w:val="single" w:sz="4" w:space="0" w:color="auto"/>
              <w:left w:val="single" w:sz="4" w:space="0" w:color="auto"/>
              <w:bottom w:val="single" w:sz="4" w:space="0" w:color="auto"/>
              <w:right w:val="single" w:sz="4" w:space="0" w:color="auto"/>
            </w:tcBorders>
            <w:vAlign w:val="center"/>
          </w:tcPr>
          <w:p w14:paraId="40D09F83"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ChatGPT</w:t>
            </w:r>
          </w:p>
        </w:tc>
        <w:tc>
          <w:tcPr>
            <w:tcW w:w="1436" w:type="dxa"/>
            <w:tcBorders>
              <w:top w:val="single" w:sz="4" w:space="0" w:color="auto"/>
              <w:left w:val="nil"/>
              <w:bottom w:val="single" w:sz="4" w:space="0" w:color="auto"/>
              <w:right w:val="single" w:sz="4" w:space="0" w:color="auto"/>
            </w:tcBorders>
            <w:vAlign w:val="center"/>
          </w:tcPr>
          <w:p w14:paraId="1E844566"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Clarify concepts for Q3 structure</w:t>
            </w:r>
          </w:p>
        </w:tc>
        <w:tc>
          <w:tcPr>
            <w:tcW w:w="2693" w:type="dxa"/>
            <w:tcBorders>
              <w:top w:val="single" w:sz="4" w:space="0" w:color="auto"/>
              <w:left w:val="nil"/>
              <w:bottom w:val="single" w:sz="4" w:space="0" w:color="auto"/>
              <w:right w:val="single" w:sz="4" w:space="0" w:color="auto"/>
            </w:tcBorders>
            <w:vAlign w:val="center"/>
          </w:tcPr>
          <w:p w14:paraId="5367279B"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“What management accounting concepts may be relevant to ownership, collaboration and long-term growth?”</w:t>
            </w:r>
          </w:p>
        </w:tc>
        <w:tc>
          <w:tcPr>
            <w:tcW w:w="3712" w:type="dxa"/>
            <w:tcBorders>
              <w:top w:val="single" w:sz="4" w:space="0" w:color="auto"/>
              <w:left w:val="nil"/>
              <w:bottom w:val="single" w:sz="4" w:space="0" w:color="auto"/>
              <w:right w:val="single" w:sz="4" w:space="0" w:color="auto"/>
            </w:tcBorders>
            <w:vAlign w:val="center"/>
          </w:tcPr>
          <w:p w14:paraId="37673F13"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Used to organise possible concepts and wording. Final arguments were selected and revised by group members.</w:t>
            </w:r>
          </w:p>
        </w:tc>
      </w:tr>
      <w:tr w:rsidR="009C6180" w:rsidRPr="000960C2" w14:paraId="0226BCB2" w14:textId="77777777">
        <w:tc>
          <w:tcPr>
            <w:tcW w:w="1175" w:type="dxa"/>
            <w:tcBorders>
              <w:top w:val="single" w:sz="4" w:space="0" w:color="auto"/>
              <w:left w:val="single" w:sz="4" w:space="0" w:color="auto"/>
              <w:bottom w:val="single" w:sz="4" w:space="0" w:color="auto"/>
              <w:right w:val="single" w:sz="4" w:space="0" w:color="auto"/>
            </w:tcBorders>
            <w:vAlign w:val="center"/>
          </w:tcPr>
          <w:p w14:paraId="7C97C5D1"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ChatGPT</w:t>
            </w:r>
          </w:p>
        </w:tc>
        <w:tc>
          <w:tcPr>
            <w:tcW w:w="1436" w:type="dxa"/>
            <w:tcBorders>
              <w:top w:val="single" w:sz="4" w:space="0" w:color="auto"/>
              <w:left w:val="nil"/>
              <w:bottom w:val="single" w:sz="4" w:space="0" w:color="auto"/>
              <w:right w:val="single" w:sz="4" w:space="0" w:color="auto"/>
            </w:tcBorders>
            <w:vAlign w:val="center"/>
          </w:tcPr>
          <w:p w14:paraId="658CD723"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Improve Q4 presentation layout</w:t>
            </w:r>
          </w:p>
        </w:tc>
        <w:tc>
          <w:tcPr>
            <w:tcW w:w="2693" w:type="dxa"/>
            <w:tcBorders>
              <w:top w:val="single" w:sz="4" w:space="0" w:color="auto"/>
              <w:left w:val="nil"/>
              <w:bottom w:val="single" w:sz="4" w:space="0" w:color="auto"/>
              <w:right w:val="single" w:sz="4" w:space="0" w:color="auto"/>
            </w:tcBorders>
            <w:vAlign w:val="center"/>
          </w:tcPr>
          <w:p w14:paraId="67264F6D"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“Suggest a clear layout for presenting a strategy map and BSC table.”</w:t>
            </w:r>
          </w:p>
        </w:tc>
        <w:tc>
          <w:tcPr>
            <w:tcW w:w="3712" w:type="dxa"/>
            <w:tcBorders>
              <w:top w:val="single" w:sz="4" w:space="0" w:color="auto"/>
              <w:left w:val="nil"/>
              <w:bottom w:val="single" w:sz="4" w:space="0" w:color="auto"/>
              <w:right w:val="single" w:sz="4" w:space="0" w:color="auto"/>
            </w:tcBorders>
            <w:vAlign w:val="center"/>
          </w:tcPr>
          <w:p w14:paraId="43C1F026" w14:textId="77777777" w:rsidR="009C6180" w:rsidRPr="000960C2" w:rsidRDefault="00000000">
            <w:pPr>
              <w:spacing w:after="0" w:line="240" w:lineRule="auto"/>
              <w:jc w:val="center"/>
              <w:rPr>
                <w:rFonts w:ascii="Times New Roman" w:hAnsi="Times New Roman" w:cs="Times New Roman"/>
                <w:sz w:val="24"/>
              </w:rPr>
            </w:pPr>
            <w:r w:rsidRPr="000960C2">
              <w:rPr>
                <w:rFonts w:ascii="Times New Roman" w:hAnsi="Times New Roman" w:cs="Times New Roman"/>
                <w:sz w:val="24"/>
              </w:rPr>
              <w:t>Used as a formatting reference only. Measures and causal links were decided by group members based on the CLG case.</w:t>
            </w:r>
          </w:p>
        </w:tc>
      </w:tr>
    </w:tbl>
    <w:p w14:paraId="2321B8CE" w14:textId="77777777" w:rsidR="009C6180" w:rsidRPr="000960C2" w:rsidRDefault="009C6180">
      <w:pPr>
        <w:spacing w:line="240" w:lineRule="auto"/>
        <w:jc w:val="both"/>
        <w:rPr>
          <w:rFonts w:ascii="Times New Roman" w:hAnsi="Times New Roman" w:cs="Times New Roman"/>
          <w:b/>
          <w:bCs/>
          <w:sz w:val="24"/>
        </w:rPr>
      </w:pPr>
    </w:p>
    <w:p w14:paraId="5FBB7CE5" w14:textId="77777777" w:rsidR="009C6180" w:rsidRPr="000960C2" w:rsidRDefault="00000000">
      <w:pPr>
        <w:spacing w:line="360" w:lineRule="auto"/>
        <w:jc w:val="both"/>
        <w:rPr>
          <w:rFonts w:ascii="Times New Roman" w:hAnsi="Times New Roman" w:cs="Times New Roman"/>
          <w:b/>
          <w:bCs/>
          <w:sz w:val="28"/>
          <w:szCs w:val="28"/>
        </w:rPr>
      </w:pPr>
      <w:r w:rsidRPr="000960C2">
        <w:rPr>
          <w:rFonts w:ascii="Times New Roman" w:hAnsi="Times New Roman" w:cs="Times New Roman"/>
          <w:b/>
          <w:bCs/>
          <w:sz w:val="28"/>
          <w:szCs w:val="28"/>
        </w:rPr>
        <w:t>Reference</w:t>
      </w:r>
      <w:r w:rsidRPr="000960C2">
        <w:rPr>
          <w:rFonts w:ascii="Times New Roman" w:hAnsi="Times New Roman" w:cs="Times New Roman" w:hint="eastAsia"/>
          <w:b/>
          <w:bCs/>
          <w:sz w:val="28"/>
          <w:szCs w:val="28"/>
        </w:rPr>
        <w:t>s</w:t>
      </w:r>
    </w:p>
    <w:p w14:paraId="36B347AA" w14:textId="120501F6" w:rsidR="009C6180" w:rsidRPr="000960C2" w:rsidRDefault="00000000">
      <w:pPr>
        <w:spacing w:line="360" w:lineRule="auto"/>
        <w:rPr>
          <w:rFonts w:ascii="Times New Roman" w:hAnsi="Times New Roman" w:cs="Times New Roman"/>
          <w:sz w:val="24"/>
        </w:rPr>
      </w:pPr>
      <w:r w:rsidRPr="000960C2">
        <w:rPr>
          <w:rFonts w:ascii="Times New Roman" w:hAnsi="Times New Roman" w:cs="Times New Roman"/>
          <w:sz w:val="24"/>
        </w:rPr>
        <w:lastRenderedPageBreak/>
        <w:t xml:space="preserve">Burkert, M., Fischer, F.M. and Schäffer, U. (2011) </w:t>
      </w:r>
      <w:r w:rsidR="00B53D84">
        <w:rPr>
          <w:rFonts w:ascii="Times New Roman" w:hAnsi="Times New Roman" w:cs="Times New Roman"/>
          <w:sz w:val="24"/>
        </w:rPr>
        <w:t>‘</w:t>
      </w:r>
      <w:r w:rsidRPr="000960C2">
        <w:rPr>
          <w:rFonts w:ascii="Times New Roman" w:hAnsi="Times New Roman" w:cs="Times New Roman"/>
          <w:sz w:val="24"/>
        </w:rPr>
        <w:t>Application of the controllability principle and managerial performance: The role of role perceptions</w:t>
      </w:r>
      <w:r w:rsidR="00B53D84">
        <w:rPr>
          <w:rFonts w:ascii="Times New Roman" w:hAnsi="Times New Roman" w:cs="Times New Roman"/>
          <w:sz w:val="24"/>
        </w:rPr>
        <w:t>’</w:t>
      </w:r>
      <w:r w:rsidRPr="000960C2">
        <w:rPr>
          <w:rFonts w:ascii="Times New Roman" w:hAnsi="Times New Roman" w:cs="Times New Roman"/>
          <w:sz w:val="24"/>
        </w:rPr>
        <w:t xml:space="preserve">, </w:t>
      </w:r>
      <w:r w:rsidRPr="000960C2">
        <w:rPr>
          <w:rFonts w:ascii="Times New Roman" w:hAnsi="Times New Roman" w:cs="Times New Roman"/>
          <w:i/>
          <w:iCs/>
          <w:sz w:val="24"/>
        </w:rPr>
        <w:t>Management Accounting Research</w:t>
      </w:r>
      <w:r w:rsidRPr="000960C2">
        <w:rPr>
          <w:rFonts w:ascii="Times New Roman" w:hAnsi="Times New Roman" w:cs="Times New Roman"/>
          <w:sz w:val="24"/>
        </w:rPr>
        <w:t xml:space="preserve">, 22(3), pp. 143-159. Available at: </w:t>
      </w:r>
      <w:hyperlink r:id="rId8" w:history="1">
        <w:r w:rsidRPr="000960C2">
          <w:rPr>
            <w:rStyle w:val="ae"/>
            <w:rFonts w:ascii="Times New Roman" w:hAnsi="Times New Roman" w:cs="Times New Roman"/>
            <w:sz w:val="24"/>
          </w:rPr>
          <w:t>https://doi.org/10.1016/j.mar.2011.03.002</w:t>
        </w:r>
      </w:hyperlink>
      <w:r w:rsidRPr="000960C2">
        <w:rPr>
          <w:rFonts w:ascii="Times New Roman" w:hAnsi="Times New Roman" w:cs="Times New Roman"/>
          <w:sz w:val="24"/>
        </w:rPr>
        <w:t xml:space="preserve"> (Accessed: 24 May 2026).</w:t>
      </w:r>
    </w:p>
    <w:p w14:paraId="16D122DF" w14:textId="3E0D9DA6" w:rsidR="009C6180" w:rsidRPr="000960C2" w:rsidRDefault="00000000">
      <w:pPr>
        <w:spacing w:line="360" w:lineRule="auto"/>
        <w:rPr>
          <w:rFonts w:ascii="Times New Roman" w:hAnsi="Times New Roman" w:cs="Times New Roman"/>
          <w:sz w:val="24"/>
        </w:rPr>
      </w:pPr>
      <w:r w:rsidRPr="000960C2">
        <w:rPr>
          <w:rFonts w:ascii="Times New Roman" w:hAnsi="Times New Roman" w:cs="Times New Roman"/>
          <w:sz w:val="24"/>
        </w:rPr>
        <w:t xml:space="preserve">Howard, L.W., Turban, D.B. and Hurley, S.K. (2002) </w:t>
      </w:r>
      <w:r w:rsidR="00B53D84">
        <w:rPr>
          <w:rFonts w:ascii="Times New Roman" w:hAnsi="Times New Roman" w:cs="Times New Roman"/>
          <w:sz w:val="24"/>
        </w:rPr>
        <w:t>‘</w:t>
      </w:r>
      <w:r w:rsidRPr="000960C2">
        <w:rPr>
          <w:rFonts w:ascii="Times New Roman" w:hAnsi="Times New Roman" w:cs="Times New Roman"/>
          <w:sz w:val="24"/>
        </w:rPr>
        <w:t>Cooperating teams and competing reward strategies: Incentives for team performance and firm productivity</w:t>
      </w:r>
      <w:r w:rsidR="00B53D84">
        <w:rPr>
          <w:rFonts w:ascii="Times New Roman" w:hAnsi="Times New Roman" w:cs="Times New Roman"/>
          <w:sz w:val="24"/>
        </w:rPr>
        <w:t>’</w:t>
      </w:r>
      <w:r w:rsidRPr="000960C2">
        <w:rPr>
          <w:rFonts w:ascii="Times New Roman" w:hAnsi="Times New Roman" w:cs="Times New Roman"/>
          <w:sz w:val="24"/>
        </w:rPr>
        <w:t xml:space="preserve">, </w:t>
      </w:r>
      <w:r w:rsidRPr="000960C2">
        <w:rPr>
          <w:rFonts w:ascii="Times New Roman" w:hAnsi="Times New Roman" w:cs="Times New Roman"/>
          <w:i/>
          <w:iCs/>
          <w:sz w:val="24"/>
        </w:rPr>
        <w:t xml:space="preserve">Journal of </w:t>
      </w:r>
      <w:proofErr w:type="spellStart"/>
      <w:r w:rsidRPr="000960C2">
        <w:rPr>
          <w:rFonts w:ascii="Times New Roman" w:hAnsi="Times New Roman" w:cs="Times New Roman"/>
          <w:i/>
          <w:iCs/>
          <w:sz w:val="24"/>
        </w:rPr>
        <w:t>Behavioral</w:t>
      </w:r>
      <w:proofErr w:type="spellEnd"/>
      <w:r w:rsidRPr="000960C2">
        <w:rPr>
          <w:rFonts w:ascii="Times New Roman" w:hAnsi="Times New Roman" w:cs="Times New Roman"/>
          <w:i/>
          <w:iCs/>
          <w:sz w:val="24"/>
        </w:rPr>
        <w:t xml:space="preserve"> and Applied Management</w:t>
      </w:r>
      <w:r w:rsidRPr="000960C2">
        <w:rPr>
          <w:rFonts w:ascii="Times New Roman" w:hAnsi="Times New Roman" w:cs="Times New Roman"/>
          <w:sz w:val="24"/>
        </w:rPr>
        <w:t xml:space="preserve">, 3(3), pp. 249-267. Available at: </w:t>
      </w:r>
      <w:hyperlink r:id="rId9" w:history="1">
        <w:r w:rsidRPr="000960C2">
          <w:rPr>
            <w:rStyle w:val="ae"/>
            <w:rFonts w:ascii="Times New Roman" w:hAnsi="Times New Roman" w:cs="Times New Roman"/>
            <w:sz w:val="24"/>
          </w:rPr>
          <w:t>https://jbam.scholasticahq.com/article/1054-cooperating-teams-and-competing-reward-strategies-incentives-for-team-performance-and-firm-productivity.pdf</w:t>
        </w:r>
      </w:hyperlink>
      <w:r w:rsidRPr="000960C2">
        <w:rPr>
          <w:rFonts w:ascii="Times New Roman" w:hAnsi="Times New Roman" w:cs="Times New Roman"/>
          <w:sz w:val="24"/>
        </w:rPr>
        <w:t xml:space="preserve"> (Accessed: 24 May 2026).</w:t>
      </w:r>
    </w:p>
    <w:p w14:paraId="70337DE1" w14:textId="03A3E1C0" w:rsidR="009C6180" w:rsidRPr="000960C2" w:rsidRDefault="00000000">
      <w:pPr>
        <w:spacing w:line="360" w:lineRule="auto"/>
        <w:rPr>
          <w:rFonts w:ascii="Times New Roman" w:hAnsi="Times New Roman" w:cs="Times New Roman"/>
          <w:sz w:val="24"/>
        </w:rPr>
      </w:pPr>
      <w:r w:rsidRPr="000960C2">
        <w:rPr>
          <w:rFonts w:ascii="Times New Roman" w:hAnsi="Times New Roman" w:cs="Times New Roman"/>
          <w:sz w:val="24"/>
        </w:rPr>
        <w:t xml:space="preserve">Ittner, C.D. and Larcker, D.F. (2003) </w:t>
      </w:r>
      <w:r w:rsidR="00B53D84">
        <w:rPr>
          <w:rFonts w:ascii="Times New Roman" w:hAnsi="Times New Roman" w:cs="Times New Roman"/>
          <w:sz w:val="24"/>
        </w:rPr>
        <w:t>‘</w:t>
      </w:r>
      <w:r w:rsidRPr="000960C2">
        <w:rPr>
          <w:rFonts w:ascii="Times New Roman" w:hAnsi="Times New Roman" w:cs="Times New Roman"/>
          <w:sz w:val="24"/>
        </w:rPr>
        <w:t>Coming Up Short on Nonfinancial Performance Measurement</w:t>
      </w:r>
      <w:r w:rsidR="00B53D84">
        <w:rPr>
          <w:rFonts w:ascii="Times New Roman" w:hAnsi="Times New Roman" w:cs="Times New Roman"/>
          <w:sz w:val="24"/>
        </w:rPr>
        <w:t>’</w:t>
      </w:r>
      <w:r w:rsidRPr="000960C2">
        <w:rPr>
          <w:rFonts w:ascii="Times New Roman" w:hAnsi="Times New Roman" w:cs="Times New Roman"/>
          <w:sz w:val="24"/>
        </w:rPr>
        <w:t xml:space="preserve">, </w:t>
      </w:r>
      <w:r w:rsidRPr="000960C2">
        <w:rPr>
          <w:rFonts w:ascii="Times New Roman" w:hAnsi="Times New Roman" w:cs="Times New Roman"/>
          <w:i/>
          <w:sz w:val="24"/>
        </w:rPr>
        <w:t>Harvard Business Review</w:t>
      </w:r>
      <w:r w:rsidRPr="000960C2">
        <w:rPr>
          <w:rFonts w:ascii="Times New Roman" w:hAnsi="Times New Roman" w:cs="Times New Roman"/>
          <w:sz w:val="24"/>
        </w:rPr>
        <w:t xml:space="preserve">, November. Available at: </w:t>
      </w:r>
      <w:hyperlink r:id="rId10" w:history="1">
        <w:r w:rsidRPr="000960C2">
          <w:rPr>
            <w:rStyle w:val="ae"/>
            <w:rFonts w:ascii="Times New Roman" w:hAnsi="Times New Roman" w:cs="Times New Roman"/>
            <w:sz w:val="24"/>
          </w:rPr>
          <w:t>https://hbr.org/2003/11/coming-up-short-on-nonfinancial-performance-measurement</w:t>
        </w:r>
      </w:hyperlink>
      <w:r w:rsidR="00BA0015">
        <w:rPr>
          <w:rStyle w:val="ae"/>
          <w:rFonts w:ascii="Times New Roman" w:hAnsi="Times New Roman" w:cs="Times New Roman" w:hint="eastAsia"/>
          <w:sz w:val="24"/>
        </w:rPr>
        <w:t xml:space="preserve"> </w:t>
      </w:r>
      <w:r w:rsidRPr="000960C2">
        <w:rPr>
          <w:rFonts w:ascii="Times New Roman" w:hAnsi="Times New Roman" w:cs="Times New Roman"/>
          <w:sz w:val="24"/>
        </w:rPr>
        <w:t>(Accessed: 24 May 2026).</w:t>
      </w:r>
    </w:p>
    <w:p w14:paraId="02711BC6" w14:textId="61243B07" w:rsidR="009C6180" w:rsidRPr="000960C2" w:rsidRDefault="00000000">
      <w:pPr>
        <w:spacing w:line="360" w:lineRule="auto"/>
        <w:rPr>
          <w:rFonts w:ascii="Times New Roman" w:hAnsi="Times New Roman" w:cs="Times New Roman"/>
          <w:sz w:val="24"/>
        </w:rPr>
      </w:pPr>
      <w:r w:rsidRPr="000960C2">
        <w:rPr>
          <w:rFonts w:ascii="Times New Roman" w:hAnsi="Times New Roman" w:cs="Times New Roman"/>
          <w:sz w:val="24"/>
        </w:rPr>
        <w:t xml:space="preserve">Jensen, M.C. and Meckling, W.H. (1976) </w:t>
      </w:r>
      <w:r w:rsidR="00B53D84">
        <w:rPr>
          <w:rFonts w:ascii="Times New Roman" w:hAnsi="Times New Roman" w:cs="Times New Roman"/>
          <w:sz w:val="24"/>
        </w:rPr>
        <w:t>‘</w:t>
      </w:r>
      <w:r w:rsidRPr="000960C2">
        <w:rPr>
          <w:rFonts w:ascii="Times New Roman" w:hAnsi="Times New Roman" w:cs="Times New Roman"/>
          <w:sz w:val="24"/>
        </w:rPr>
        <w:t xml:space="preserve">Theory of the firm: Managerial </w:t>
      </w:r>
      <w:proofErr w:type="spellStart"/>
      <w:r w:rsidRPr="000960C2">
        <w:rPr>
          <w:rFonts w:ascii="Times New Roman" w:hAnsi="Times New Roman" w:cs="Times New Roman"/>
          <w:sz w:val="24"/>
        </w:rPr>
        <w:t>behavior</w:t>
      </w:r>
      <w:proofErr w:type="spellEnd"/>
      <w:r w:rsidRPr="000960C2">
        <w:rPr>
          <w:rFonts w:ascii="Times New Roman" w:hAnsi="Times New Roman" w:cs="Times New Roman"/>
          <w:sz w:val="24"/>
        </w:rPr>
        <w:t>, agency costs and ownership structure</w:t>
      </w:r>
      <w:r w:rsidR="00B53D84">
        <w:rPr>
          <w:rFonts w:ascii="Times New Roman" w:hAnsi="Times New Roman" w:cs="Times New Roman"/>
          <w:sz w:val="24"/>
        </w:rPr>
        <w:t>’</w:t>
      </w:r>
      <w:r w:rsidRPr="000960C2">
        <w:rPr>
          <w:rFonts w:ascii="Times New Roman" w:hAnsi="Times New Roman" w:cs="Times New Roman"/>
          <w:sz w:val="24"/>
        </w:rPr>
        <w:t xml:space="preserve">, </w:t>
      </w:r>
      <w:r w:rsidRPr="000960C2">
        <w:rPr>
          <w:rFonts w:ascii="Times New Roman" w:hAnsi="Times New Roman" w:cs="Times New Roman"/>
          <w:i/>
          <w:iCs/>
          <w:sz w:val="24"/>
        </w:rPr>
        <w:t>Journal of Financial Economics</w:t>
      </w:r>
      <w:r w:rsidRPr="000960C2">
        <w:rPr>
          <w:rFonts w:ascii="Times New Roman" w:hAnsi="Times New Roman" w:cs="Times New Roman"/>
          <w:sz w:val="24"/>
        </w:rPr>
        <w:t xml:space="preserve">, 3(4), pp. 305-360. Available at: </w:t>
      </w:r>
      <w:hyperlink r:id="rId11" w:history="1">
        <w:r w:rsidRPr="000960C2">
          <w:rPr>
            <w:rStyle w:val="ae"/>
            <w:rFonts w:ascii="Times New Roman" w:hAnsi="Times New Roman" w:cs="Times New Roman"/>
            <w:sz w:val="24"/>
          </w:rPr>
          <w:t>https://doi.org/10.1016/0304-405X(76)90026-X</w:t>
        </w:r>
      </w:hyperlink>
      <w:r w:rsidRPr="000960C2">
        <w:rPr>
          <w:rFonts w:ascii="Times New Roman" w:hAnsi="Times New Roman" w:cs="Times New Roman"/>
          <w:sz w:val="24"/>
        </w:rPr>
        <w:t xml:space="preserve"> (Accessed: 24 May 2026).</w:t>
      </w:r>
    </w:p>
    <w:p w14:paraId="4843384C" w14:textId="2E6C914D" w:rsidR="009C6180" w:rsidRPr="000960C2" w:rsidRDefault="00000000">
      <w:pPr>
        <w:spacing w:line="360" w:lineRule="auto"/>
        <w:rPr>
          <w:rFonts w:ascii="Times New Roman" w:hAnsi="Times New Roman" w:cs="Times New Roman"/>
          <w:sz w:val="24"/>
        </w:rPr>
      </w:pPr>
      <w:r w:rsidRPr="000960C2">
        <w:rPr>
          <w:rFonts w:ascii="Times New Roman" w:hAnsi="Times New Roman" w:cs="Times New Roman"/>
          <w:sz w:val="24"/>
        </w:rPr>
        <w:t xml:space="preserve">Kaplan, R.S. and Norton, D.P. (1992) </w:t>
      </w:r>
      <w:r w:rsidR="00B53D84">
        <w:rPr>
          <w:rFonts w:ascii="Times New Roman" w:hAnsi="Times New Roman" w:cs="Times New Roman"/>
          <w:sz w:val="24"/>
        </w:rPr>
        <w:t>‘</w:t>
      </w:r>
      <w:r w:rsidRPr="000960C2">
        <w:rPr>
          <w:rFonts w:ascii="Times New Roman" w:hAnsi="Times New Roman" w:cs="Times New Roman"/>
          <w:sz w:val="24"/>
        </w:rPr>
        <w:t>The balanced scorecard: Measures that drive performance</w:t>
      </w:r>
      <w:r w:rsidR="00B53D84">
        <w:rPr>
          <w:rFonts w:ascii="Times New Roman" w:hAnsi="Times New Roman" w:cs="Times New Roman"/>
          <w:sz w:val="24"/>
        </w:rPr>
        <w:t>’</w:t>
      </w:r>
      <w:r w:rsidRPr="000960C2">
        <w:rPr>
          <w:rFonts w:ascii="Times New Roman" w:hAnsi="Times New Roman" w:cs="Times New Roman"/>
          <w:sz w:val="24"/>
        </w:rPr>
        <w:t xml:space="preserve">, </w:t>
      </w:r>
      <w:r w:rsidRPr="000960C2">
        <w:rPr>
          <w:rFonts w:ascii="Times New Roman" w:hAnsi="Times New Roman" w:cs="Times New Roman"/>
          <w:i/>
          <w:iCs/>
          <w:sz w:val="24"/>
        </w:rPr>
        <w:t>Harvard Business Review</w:t>
      </w:r>
      <w:r w:rsidRPr="000960C2">
        <w:rPr>
          <w:rFonts w:ascii="Times New Roman" w:hAnsi="Times New Roman" w:cs="Times New Roman"/>
          <w:sz w:val="24"/>
        </w:rPr>
        <w:t xml:space="preserve">, 70(1), pp. 71-79. Available at: </w:t>
      </w:r>
      <w:hyperlink r:id="rId12" w:history="1">
        <w:r w:rsidRPr="000960C2">
          <w:rPr>
            <w:rStyle w:val="ae"/>
            <w:rFonts w:ascii="Times New Roman" w:hAnsi="Times New Roman" w:cs="Times New Roman"/>
            <w:sz w:val="24"/>
          </w:rPr>
          <w:t>https://www.hbs.edu/faculty/Pages/item.aspx?num=9161</w:t>
        </w:r>
      </w:hyperlink>
      <w:r w:rsidRPr="000960C2">
        <w:rPr>
          <w:rFonts w:ascii="Times New Roman" w:hAnsi="Times New Roman" w:cs="Times New Roman"/>
          <w:sz w:val="24"/>
        </w:rPr>
        <w:t xml:space="preserve"> (Accessed: 24 May 2026).</w:t>
      </w:r>
    </w:p>
    <w:p w14:paraId="55D38C62" w14:textId="77777777" w:rsidR="009C6180" w:rsidRPr="000960C2" w:rsidRDefault="00000000">
      <w:pPr>
        <w:spacing w:line="360" w:lineRule="auto"/>
        <w:rPr>
          <w:rFonts w:ascii="Times New Roman" w:hAnsi="Times New Roman" w:cs="Times New Roman"/>
          <w:sz w:val="24"/>
        </w:rPr>
      </w:pPr>
      <w:r w:rsidRPr="000960C2">
        <w:rPr>
          <w:rFonts w:ascii="Times New Roman" w:hAnsi="Times New Roman" w:cs="Times New Roman"/>
          <w:sz w:val="24"/>
        </w:rPr>
        <w:t>Kaplan, R.S. and Norton, D.P. (1996)</w:t>
      </w:r>
      <w:r w:rsidRPr="000960C2">
        <w:rPr>
          <w:rFonts w:ascii="Times New Roman" w:hAnsi="Times New Roman" w:cs="Times New Roman"/>
          <w:i/>
          <w:iCs/>
          <w:sz w:val="24"/>
        </w:rPr>
        <w:t xml:space="preserve"> The Balanced Scorecard: Translating Strategy into Action.</w:t>
      </w:r>
      <w:r w:rsidRPr="000960C2">
        <w:rPr>
          <w:rFonts w:ascii="Times New Roman" w:hAnsi="Times New Roman" w:cs="Times New Roman"/>
          <w:sz w:val="24"/>
        </w:rPr>
        <w:t xml:space="preserve"> Boston: Harvard Business School Press.</w:t>
      </w:r>
    </w:p>
    <w:p w14:paraId="2FBD751A" w14:textId="49A8F338" w:rsidR="009C6180" w:rsidRPr="000960C2" w:rsidRDefault="00000000">
      <w:pPr>
        <w:spacing w:line="360" w:lineRule="auto"/>
        <w:rPr>
          <w:rFonts w:ascii="Times New Roman" w:hAnsi="Times New Roman" w:cs="Times New Roman"/>
          <w:sz w:val="24"/>
        </w:rPr>
      </w:pPr>
      <w:r w:rsidRPr="000960C2">
        <w:rPr>
          <w:rFonts w:ascii="Times New Roman" w:hAnsi="Times New Roman" w:cs="Times New Roman"/>
          <w:sz w:val="24"/>
        </w:rPr>
        <w:t xml:space="preserve">Kaplan, R.S. and Norton, D.P. (2007) </w:t>
      </w:r>
      <w:r w:rsidR="00B53D84">
        <w:rPr>
          <w:rFonts w:ascii="Times New Roman" w:hAnsi="Times New Roman" w:cs="Times New Roman"/>
          <w:sz w:val="24"/>
        </w:rPr>
        <w:t>‘</w:t>
      </w:r>
      <w:r w:rsidRPr="000960C2">
        <w:rPr>
          <w:rFonts w:ascii="Times New Roman" w:hAnsi="Times New Roman" w:cs="Times New Roman"/>
          <w:sz w:val="24"/>
        </w:rPr>
        <w:t>Using the Balanced Scorecard as a Strategic Management System</w:t>
      </w:r>
      <w:r w:rsidR="00B53D84">
        <w:rPr>
          <w:rFonts w:ascii="Times New Roman" w:hAnsi="Times New Roman" w:cs="Times New Roman"/>
          <w:sz w:val="24"/>
        </w:rPr>
        <w:t>’</w:t>
      </w:r>
      <w:r w:rsidRPr="000960C2">
        <w:rPr>
          <w:rFonts w:ascii="Times New Roman" w:hAnsi="Times New Roman" w:cs="Times New Roman"/>
          <w:sz w:val="24"/>
        </w:rPr>
        <w:t xml:space="preserve">, </w:t>
      </w:r>
      <w:r w:rsidRPr="000960C2">
        <w:rPr>
          <w:rFonts w:ascii="Times New Roman" w:hAnsi="Times New Roman" w:cs="Times New Roman"/>
          <w:i/>
          <w:sz w:val="24"/>
        </w:rPr>
        <w:t>Harvard Business Review</w:t>
      </w:r>
      <w:r w:rsidRPr="000960C2">
        <w:rPr>
          <w:rFonts w:ascii="Times New Roman" w:hAnsi="Times New Roman" w:cs="Times New Roman"/>
          <w:sz w:val="24"/>
        </w:rPr>
        <w:t xml:space="preserve">, July-August. Available at: </w:t>
      </w:r>
      <w:hyperlink r:id="rId13" w:history="1">
        <w:r w:rsidRPr="000960C2">
          <w:rPr>
            <w:rStyle w:val="ae"/>
            <w:rFonts w:ascii="Times New Roman" w:hAnsi="Times New Roman" w:cs="Times New Roman"/>
            <w:sz w:val="24"/>
          </w:rPr>
          <w:t>https://hbr.org/2007/07/using-the-balanced-scorecard-as-a-strategic-management-system</w:t>
        </w:r>
      </w:hyperlink>
      <w:r w:rsidRPr="000960C2">
        <w:rPr>
          <w:rFonts w:ascii="Times New Roman" w:hAnsi="Times New Roman" w:cs="Times New Roman"/>
          <w:sz w:val="24"/>
        </w:rPr>
        <w:t xml:space="preserve"> (Accessed: 24 May 2026).</w:t>
      </w:r>
    </w:p>
    <w:p w14:paraId="124236B2" w14:textId="0099267B" w:rsidR="009C6180" w:rsidRPr="000960C2" w:rsidRDefault="00000000">
      <w:pPr>
        <w:spacing w:line="360" w:lineRule="auto"/>
        <w:rPr>
          <w:rFonts w:ascii="Times New Roman" w:hAnsi="Times New Roman" w:cs="Times New Roman"/>
          <w:sz w:val="24"/>
        </w:rPr>
      </w:pPr>
      <w:r w:rsidRPr="000960C2">
        <w:rPr>
          <w:rFonts w:ascii="Times New Roman" w:hAnsi="Times New Roman" w:cs="Times New Roman"/>
          <w:sz w:val="24"/>
        </w:rPr>
        <w:t xml:space="preserve">Kennedy, F.A. and Widener, S.K. (2019) </w:t>
      </w:r>
      <w:r w:rsidR="00B53D84">
        <w:rPr>
          <w:rFonts w:ascii="Times New Roman" w:hAnsi="Times New Roman" w:cs="Times New Roman"/>
          <w:sz w:val="24"/>
        </w:rPr>
        <w:t>‘</w:t>
      </w:r>
      <w:r w:rsidRPr="000960C2">
        <w:rPr>
          <w:rFonts w:ascii="Times New Roman" w:hAnsi="Times New Roman" w:cs="Times New Roman"/>
          <w:sz w:val="24"/>
        </w:rPr>
        <w:t>Socialization mechanisms and goal congruence</w:t>
      </w:r>
      <w:r w:rsidR="00B53D84">
        <w:rPr>
          <w:rFonts w:ascii="Times New Roman" w:hAnsi="Times New Roman" w:cs="Times New Roman"/>
          <w:sz w:val="24"/>
        </w:rPr>
        <w:t>’</w:t>
      </w:r>
      <w:r w:rsidRPr="000960C2">
        <w:rPr>
          <w:rFonts w:ascii="Times New Roman" w:hAnsi="Times New Roman" w:cs="Times New Roman"/>
          <w:sz w:val="24"/>
        </w:rPr>
        <w:t xml:space="preserve">, </w:t>
      </w:r>
      <w:r w:rsidRPr="000960C2">
        <w:rPr>
          <w:rFonts w:ascii="Times New Roman" w:hAnsi="Times New Roman" w:cs="Times New Roman"/>
          <w:i/>
          <w:sz w:val="24"/>
        </w:rPr>
        <w:lastRenderedPageBreak/>
        <w:t>Accounting, Organizations and Society,</w:t>
      </w:r>
      <w:r w:rsidRPr="000960C2">
        <w:rPr>
          <w:rFonts w:ascii="Times New Roman" w:hAnsi="Times New Roman" w:cs="Times New Roman"/>
          <w:sz w:val="24"/>
        </w:rPr>
        <w:t xml:space="preserve"> 76, pp. 32-49. Available at: </w:t>
      </w:r>
      <w:hyperlink r:id="rId14" w:history="1">
        <w:r w:rsidRPr="000960C2">
          <w:rPr>
            <w:rStyle w:val="ae"/>
            <w:rFonts w:ascii="Times New Roman" w:hAnsi="Times New Roman" w:cs="Times New Roman"/>
            <w:sz w:val="24"/>
          </w:rPr>
          <w:t>https://doi.org/10.1016/j.aos.2019.01.004</w:t>
        </w:r>
      </w:hyperlink>
      <w:r w:rsidRPr="000960C2">
        <w:rPr>
          <w:rFonts w:ascii="Times New Roman" w:hAnsi="Times New Roman" w:cs="Times New Roman"/>
          <w:sz w:val="24"/>
        </w:rPr>
        <w:t xml:space="preserve"> (Accessed: 24 May 2026).</w:t>
      </w:r>
    </w:p>
    <w:p w14:paraId="113912C0" w14:textId="0F65F719" w:rsidR="009C6180" w:rsidRPr="000960C2" w:rsidRDefault="00000000">
      <w:pPr>
        <w:spacing w:line="360" w:lineRule="auto"/>
        <w:rPr>
          <w:rFonts w:ascii="Times New Roman" w:hAnsi="Times New Roman" w:cs="Times New Roman"/>
          <w:sz w:val="24"/>
        </w:rPr>
      </w:pPr>
      <w:r w:rsidRPr="000960C2">
        <w:rPr>
          <w:rFonts w:ascii="Times New Roman" w:hAnsi="Times New Roman" w:cs="Times New Roman"/>
          <w:sz w:val="24"/>
        </w:rPr>
        <w:t xml:space="preserve">Libby, T. (1999) </w:t>
      </w:r>
      <w:r w:rsidR="00B53D84">
        <w:rPr>
          <w:rFonts w:ascii="Times New Roman" w:hAnsi="Times New Roman" w:cs="Times New Roman"/>
          <w:sz w:val="24"/>
        </w:rPr>
        <w:t>‘</w:t>
      </w:r>
      <w:r w:rsidRPr="000960C2">
        <w:rPr>
          <w:rFonts w:ascii="Times New Roman" w:hAnsi="Times New Roman" w:cs="Times New Roman"/>
          <w:sz w:val="24"/>
        </w:rPr>
        <w:t>The influence of voice and explanation on performance in a participative budgeting setting</w:t>
      </w:r>
      <w:r w:rsidR="00B53D84">
        <w:rPr>
          <w:rFonts w:ascii="Times New Roman" w:hAnsi="Times New Roman" w:cs="Times New Roman"/>
          <w:sz w:val="24"/>
        </w:rPr>
        <w:t>’</w:t>
      </w:r>
      <w:r w:rsidRPr="000960C2">
        <w:rPr>
          <w:rFonts w:ascii="Times New Roman" w:hAnsi="Times New Roman" w:cs="Times New Roman"/>
          <w:sz w:val="24"/>
        </w:rPr>
        <w:t xml:space="preserve">, </w:t>
      </w:r>
      <w:r w:rsidRPr="000960C2">
        <w:rPr>
          <w:rFonts w:ascii="Times New Roman" w:hAnsi="Times New Roman" w:cs="Times New Roman"/>
          <w:i/>
          <w:iCs/>
          <w:sz w:val="24"/>
        </w:rPr>
        <w:t>Accounting, Organizations and Society</w:t>
      </w:r>
      <w:r w:rsidRPr="000960C2">
        <w:rPr>
          <w:rFonts w:ascii="Times New Roman" w:hAnsi="Times New Roman" w:cs="Times New Roman"/>
          <w:sz w:val="24"/>
        </w:rPr>
        <w:t xml:space="preserve">, 24(2), pp. 125-137. Available at: </w:t>
      </w:r>
      <w:hyperlink r:id="rId15" w:history="1">
        <w:r w:rsidRPr="000960C2">
          <w:rPr>
            <w:rStyle w:val="ae"/>
            <w:rFonts w:ascii="Times New Roman" w:hAnsi="Times New Roman" w:cs="Times New Roman"/>
            <w:sz w:val="24"/>
          </w:rPr>
          <w:t>https://doi.org/10.1016/S0361-3682(98)00043-9</w:t>
        </w:r>
      </w:hyperlink>
      <w:r w:rsidRPr="000960C2">
        <w:rPr>
          <w:rFonts w:ascii="Times New Roman" w:hAnsi="Times New Roman" w:cs="Times New Roman"/>
          <w:sz w:val="24"/>
        </w:rPr>
        <w:t xml:space="preserve"> (Accessed: 24 May 2026).</w:t>
      </w:r>
    </w:p>
    <w:p w14:paraId="5590F92F" w14:textId="1B570C0F" w:rsidR="009C6180" w:rsidRPr="000960C2" w:rsidRDefault="00000000">
      <w:pPr>
        <w:spacing w:line="360" w:lineRule="auto"/>
        <w:rPr>
          <w:rFonts w:ascii="Times New Roman" w:hAnsi="Times New Roman" w:cs="Times New Roman"/>
          <w:sz w:val="24"/>
        </w:rPr>
      </w:pPr>
      <w:r w:rsidRPr="000960C2">
        <w:rPr>
          <w:rFonts w:ascii="Times New Roman" w:hAnsi="Times New Roman" w:cs="Times New Roman"/>
          <w:sz w:val="24"/>
        </w:rPr>
        <w:t xml:space="preserve">Otley, D.T. (1980) </w:t>
      </w:r>
      <w:r w:rsidR="00B53D84">
        <w:rPr>
          <w:rFonts w:ascii="Times New Roman" w:hAnsi="Times New Roman" w:cs="Times New Roman"/>
          <w:sz w:val="24"/>
        </w:rPr>
        <w:t>‘</w:t>
      </w:r>
      <w:r w:rsidRPr="000960C2">
        <w:rPr>
          <w:rFonts w:ascii="Times New Roman" w:hAnsi="Times New Roman" w:cs="Times New Roman"/>
          <w:sz w:val="24"/>
        </w:rPr>
        <w:t>The contingency theory of management accounting: Achievement and prognosis</w:t>
      </w:r>
      <w:r w:rsidR="00B53D84">
        <w:rPr>
          <w:rFonts w:ascii="Times New Roman" w:hAnsi="Times New Roman" w:cs="Times New Roman"/>
          <w:sz w:val="24"/>
        </w:rPr>
        <w:t>’</w:t>
      </w:r>
      <w:r w:rsidRPr="000960C2">
        <w:rPr>
          <w:rFonts w:ascii="Times New Roman" w:hAnsi="Times New Roman" w:cs="Times New Roman"/>
          <w:sz w:val="24"/>
        </w:rPr>
        <w:t xml:space="preserve">, </w:t>
      </w:r>
      <w:r w:rsidRPr="000960C2">
        <w:rPr>
          <w:rFonts w:ascii="Times New Roman" w:hAnsi="Times New Roman" w:cs="Times New Roman"/>
          <w:i/>
          <w:sz w:val="24"/>
        </w:rPr>
        <w:t>Accounting, Organizations and Society</w:t>
      </w:r>
      <w:r w:rsidRPr="000960C2">
        <w:rPr>
          <w:rFonts w:ascii="Times New Roman" w:hAnsi="Times New Roman" w:cs="Times New Roman"/>
          <w:sz w:val="24"/>
        </w:rPr>
        <w:t xml:space="preserve">, 5(4), pp. 413-428. Available at: </w:t>
      </w:r>
      <w:hyperlink r:id="rId16" w:history="1">
        <w:r w:rsidRPr="000960C2">
          <w:rPr>
            <w:rStyle w:val="ae"/>
            <w:rFonts w:ascii="Times New Roman" w:hAnsi="Times New Roman" w:cs="Times New Roman"/>
            <w:sz w:val="24"/>
          </w:rPr>
          <w:t>https://doi.org/10.1016/0361-3682(80)90040-9</w:t>
        </w:r>
      </w:hyperlink>
      <w:r w:rsidRPr="000960C2">
        <w:rPr>
          <w:rFonts w:ascii="Times New Roman" w:hAnsi="Times New Roman" w:cs="Times New Roman"/>
          <w:sz w:val="24"/>
        </w:rPr>
        <w:t xml:space="preserve"> (Accessed: 24 May 2026).</w:t>
      </w:r>
    </w:p>
    <w:p w14:paraId="35B46B13" w14:textId="2C66A450" w:rsidR="009C6180" w:rsidRPr="000960C2" w:rsidRDefault="00000000">
      <w:pPr>
        <w:spacing w:line="360" w:lineRule="auto"/>
        <w:rPr>
          <w:rFonts w:ascii="Times New Roman" w:hAnsi="Times New Roman" w:cs="Times New Roman"/>
          <w:sz w:val="24"/>
        </w:rPr>
      </w:pPr>
      <w:r w:rsidRPr="000960C2">
        <w:rPr>
          <w:rFonts w:ascii="Times New Roman" w:hAnsi="Times New Roman" w:cs="Times New Roman"/>
          <w:sz w:val="24"/>
        </w:rPr>
        <w:t xml:space="preserve">Reichheld, F.F. and Sasser, W.E. Jr. (1990) </w:t>
      </w:r>
      <w:r w:rsidR="00B53D84">
        <w:rPr>
          <w:rFonts w:ascii="Times New Roman" w:hAnsi="Times New Roman" w:cs="Times New Roman"/>
          <w:sz w:val="24"/>
        </w:rPr>
        <w:t>‘</w:t>
      </w:r>
      <w:r w:rsidRPr="000960C2">
        <w:rPr>
          <w:rFonts w:ascii="Times New Roman" w:hAnsi="Times New Roman" w:cs="Times New Roman"/>
          <w:sz w:val="24"/>
        </w:rPr>
        <w:t>Zero Defections: Quality Comes to Services</w:t>
      </w:r>
      <w:r w:rsidR="00B53D84">
        <w:rPr>
          <w:rFonts w:ascii="Times New Roman" w:hAnsi="Times New Roman" w:cs="Times New Roman"/>
          <w:sz w:val="24"/>
        </w:rPr>
        <w:t>’</w:t>
      </w:r>
      <w:r w:rsidRPr="000960C2">
        <w:rPr>
          <w:rFonts w:ascii="Times New Roman" w:hAnsi="Times New Roman" w:cs="Times New Roman"/>
          <w:sz w:val="24"/>
        </w:rPr>
        <w:t xml:space="preserve">, </w:t>
      </w:r>
      <w:r w:rsidRPr="000960C2">
        <w:rPr>
          <w:rFonts w:ascii="Times New Roman" w:hAnsi="Times New Roman" w:cs="Times New Roman"/>
          <w:i/>
          <w:sz w:val="24"/>
        </w:rPr>
        <w:t>Harvard Business Review</w:t>
      </w:r>
      <w:r w:rsidRPr="000960C2">
        <w:rPr>
          <w:rFonts w:ascii="Times New Roman" w:hAnsi="Times New Roman" w:cs="Times New Roman"/>
          <w:sz w:val="24"/>
        </w:rPr>
        <w:t xml:space="preserve">, September-October. Available at: </w:t>
      </w:r>
      <w:hyperlink r:id="rId17" w:history="1">
        <w:r w:rsidRPr="000960C2">
          <w:rPr>
            <w:rStyle w:val="ae"/>
            <w:rFonts w:ascii="Times New Roman" w:hAnsi="Times New Roman" w:cs="Times New Roman"/>
            <w:sz w:val="24"/>
          </w:rPr>
          <w:t>https://www.bain.com/insights/zero-defections-quality-comes-to-services-harvard-business-review-hbr/</w:t>
        </w:r>
      </w:hyperlink>
      <w:r w:rsidRPr="000960C2">
        <w:rPr>
          <w:rFonts w:ascii="Times New Roman" w:hAnsi="Times New Roman" w:cs="Times New Roman"/>
          <w:sz w:val="24"/>
        </w:rPr>
        <w:t xml:space="preserve"> (Accessed: 24 May 2026).</w:t>
      </w:r>
    </w:p>
    <w:p w14:paraId="657C7A10" w14:textId="77777777" w:rsidR="009C6180" w:rsidRPr="000960C2" w:rsidRDefault="00000000">
      <w:pPr>
        <w:spacing w:line="360" w:lineRule="auto"/>
        <w:rPr>
          <w:rFonts w:ascii="Times New Roman" w:hAnsi="Times New Roman" w:cs="Times New Roman"/>
          <w:sz w:val="24"/>
        </w:rPr>
      </w:pPr>
      <w:r w:rsidRPr="000960C2">
        <w:rPr>
          <w:rFonts w:ascii="Times New Roman" w:hAnsi="Times New Roman" w:cs="Times New Roman"/>
          <w:sz w:val="24"/>
        </w:rPr>
        <w:t xml:space="preserve">Sandino, T., Li, S. X., and </w:t>
      </w:r>
      <w:proofErr w:type="spellStart"/>
      <w:r w:rsidRPr="000960C2">
        <w:rPr>
          <w:rFonts w:ascii="Times New Roman" w:hAnsi="Times New Roman" w:cs="Times New Roman"/>
          <w:sz w:val="24"/>
        </w:rPr>
        <w:t>Huadai</w:t>
      </w:r>
      <w:proofErr w:type="spellEnd"/>
      <w:r w:rsidRPr="000960C2">
        <w:rPr>
          <w:rFonts w:ascii="Times New Roman" w:hAnsi="Times New Roman" w:cs="Times New Roman"/>
          <w:sz w:val="24"/>
        </w:rPr>
        <w:t xml:space="preserve">, N. (2016a). </w:t>
      </w:r>
      <w:r w:rsidRPr="000960C2">
        <w:rPr>
          <w:rFonts w:ascii="Times New Roman" w:hAnsi="Times New Roman" w:cs="Times New Roman"/>
          <w:i/>
          <w:iCs/>
          <w:sz w:val="24"/>
        </w:rPr>
        <w:t>China Lodging Group (A)</w:t>
      </w:r>
      <w:r w:rsidRPr="000960C2">
        <w:rPr>
          <w:rFonts w:ascii="Times New Roman" w:hAnsi="Times New Roman" w:cs="Times New Roman"/>
          <w:sz w:val="24"/>
        </w:rPr>
        <w:t>. Harvard Business School.</w:t>
      </w:r>
    </w:p>
    <w:p w14:paraId="7363A08F" w14:textId="77777777" w:rsidR="009C6180" w:rsidRPr="000960C2" w:rsidRDefault="00000000">
      <w:pPr>
        <w:spacing w:line="360" w:lineRule="auto"/>
        <w:rPr>
          <w:rFonts w:ascii="Times New Roman" w:hAnsi="Times New Roman" w:cs="Times New Roman"/>
          <w:sz w:val="24"/>
        </w:rPr>
      </w:pPr>
      <w:r w:rsidRPr="000960C2">
        <w:rPr>
          <w:rFonts w:ascii="Times New Roman" w:hAnsi="Times New Roman" w:cs="Times New Roman"/>
          <w:sz w:val="24"/>
        </w:rPr>
        <w:t xml:space="preserve">Sandino, T., Li, S. X., </w:t>
      </w:r>
      <w:r w:rsidRPr="000960C2">
        <w:rPr>
          <w:rFonts w:ascii="Times New Roman" w:hAnsi="Times New Roman" w:cs="Times New Roman" w:hint="eastAsia"/>
          <w:sz w:val="24"/>
        </w:rPr>
        <w:t>and</w:t>
      </w:r>
      <w:r w:rsidRPr="000960C2">
        <w:rPr>
          <w:rFonts w:ascii="Times New Roman" w:hAnsi="Times New Roman" w:cs="Times New Roman"/>
          <w:sz w:val="24"/>
        </w:rPr>
        <w:t xml:space="preserve"> </w:t>
      </w:r>
      <w:proofErr w:type="spellStart"/>
      <w:r w:rsidRPr="000960C2">
        <w:rPr>
          <w:rFonts w:ascii="Times New Roman" w:hAnsi="Times New Roman" w:cs="Times New Roman"/>
          <w:sz w:val="24"/>
        </w:rPr>
        <w:t>Huadai</w:t>
      </w:r>
      <w:proofErr w:type="spellEnd"/>
      <w:r w:rsidRPr="000960C2">
        <w:rPr>
          <w:rFonts w:ascii="Times New Roman" w:hAnsi="Times New Roman" w:cs="Times New Roman"/>
          <w:sz w:val="24"/>
        </w:rPr>
        <w:t xml:space="preserve">, N. (2016b). </w:t>
      </w:r>
      <w:r w:rsidRPr="000960C2">
        <w:rPr>
          <w:rFonts w:ascii="Times New Roman" w:hAnsi="Times New Roman" w:cs="Times New Roman"/>
          <w:i/>
          <w:iCs/>
          <w:sz w:val="24"/>
        </w:rPr>
        <w:t>China Lodging Group (B)</w:t>
      </w:r>
      <w:r w:rsidRPr="000960C2">
        <w:rPr>
          <w:rFonts w:ascii="Times New Roman" w:hAnsi="Times New Roman" w:cs="Times New Roman"/>
          <w:sz w:val="24"/>
        </w:rPr>
        <w:t>. Harvard Business School.</w:t>
      </w:r>
    </w:p>
    <w:p w14:paraId="18DF8451" w14:textId="272776A2" w:rsidR="009C6180" w:rsidRDefault="00625417" w:rsidP="00625417">
      <w:pPr>
        <w:spacing w:line="360" w:lineRule="auto"/>
        <w:rPr>
          <w:rFonts w:ascii="Times New Roman" w:hAnsi="Times New Roman" w:cs="Times New Roman"/>
          <w:sz w:val="24"/>
        </w:rPr>
      </w:pPr>
      <w:r w:rsidRPr="00625417">
        <w:rPr>
          <w:rFonts w:ascii="Times New Roman" w:hAnsi="Times New Roman" w:cs="Times New Roman"/>
          <w:sz w:val="24"/>
        </w:rPr>
        <w:t xml:space="preserve">Vroom, V.H. (1964) </w:t>
      </w:r>
      <w:r w:rsidRPr="00B53D84">
        <w:rPr>
          <w:rFonts w:ascii="Times New Roman" w:hAnsi="Times New Roman" w:cs="Times New Roman"/>
          <w:i/>
          <w:iCs/>
          <w:sz w:val="24"/>
        </w:rPr>
        <w:t>Work and Motivation</w:t>
      </w:r>
      <w:r w:rsidRPr="00625417">
        <w:rPr>
          <w:rFonts w:ascii="Times New Roman" w:hAnsi="Times New Roman" w:cs="Times New Roman"/>
          <w:sz w:val="24"/>
        </w:rPr>
        <w:t>. New York: Wiley.</w:t>
      </w:r>
    </w:p>
    <w:sectPr w:rsidR="009C6180">
      <w:headerReference w:type="first" r:id="rId18"/>
      <w:pgSz w:w="11906" w:h="16838"/>
      <w:pgMar w:top="1440" w:right="1440" w:bottom="1440" w:left="144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3741F" w14:textId="77777777" w:rsidR="00AE229C" w:rsidRPr="000960C2" w:rsidRDefault="00AE229C">
      <w:pPr>
        <w:spacing w:line="240" w:lineRule="auto"/>
        <w:rPr>
          <w:rFonts w:hint="eastAsia"/>
        </w:rPr>
      </w:pPr>
      <w:r w:rsidRPr="000960C2">
        <w:separator/>
      </w:r>
    </w:p>
  </w:endnote>
  <w:endnote w:type="continuationSeparator" w:id="0">
    <w:p w14:paraId="4C8DD73E" w14:textId="77777777" w:rsidR="00AE229C" w:rsidRPr="000960C2" w:rsidRDefault="00AE229C">
      <w:pPr>
        <w:spacing w:line="240" w:lineRule="auto"/>
        <w:rPr>
          <w:rFonts w:hint="eastAsia"/>
        </w:rPr>
      </w:pPr>
      <w:r w:rsidRPr="000960C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stellar">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9958D" w14:textId="77777777" w:rsidR="00AE229C" w:rsidRPr="000960C2" w:rsidRDefault="00AE229C">
      <w:pPr>
        <w:spacing w:after="0"/>
        <w:rPr>
          <w:rFonts w:hint="eastAsia"/>
        </w:rPr>
      </w:pPr>
      <w:r w:rsidRPr="000960C2">
        <w:separator/>
      </w:r>
    </w:p>
  </w:footnote>
  <w:footnote w:type="continuationSeparator" w:id="0">
    <w:p w14:paraId="5678C108" w14:textId="77777777" w:rsidR="00AE229C" w:rsidRPr="000960C2" w:rsidRDefault="00AE229C">
      <w:pPr>
        <w:spacing w:after="0"/>
        <w:rPr>
          <w:rFonts w:hint="eastAsia"/>
        </w:rPr>
      </w:pPr>
      <w:r w:rsidRPr="000960C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95547" w14:textId="77777777" w:rsidR="009C6180" w:rsidRPr="000960C2" w:rsidRDefault="00000000">
    <w:pPr>
      <w:spacing w:before="15" w:line="446" w:lineRule="exact"/>
      <w:jc w:val="center"/>
      <w:textAlignment w:val="baseline"/>
      <w:rPr>
        <w:rFonts w:ascii="Arial" w:eastAsia="Castellar" w:hAnsi="Arial" w:cs="Arial"/>
        <w:color w:val="000000"/>
        <w:spacing w:val="6"/>
        <w:sz w:val="35"/>
      </w:rPr>
    </w:pPr>
    <w:r w:rsidRPr="000960C2">
      <w:rPr>
        <w:rFonts w:ascii="Arial" w:eastAsia="Castellar" w:hAnsi="Arial" w:cs="Arial"/>
        <w:color w:val="000000"/>
        <w:spacing w:val="6"/>
        <w:sz w:val="35"/>
      </w:rPr>
      <w:t>XI</w:t>
    </w:r>
    <w:r w:rsidRPr="000960C2">
      <w:rPr>
        <w:rFonts w:ascii="Arial" w:eastAsia="Castellar" w:hAnsi="Arial" w:cs="Arial"/>
        <w:color w:val="000000"/>
        <w:spacing w:val="6"/>
        <w:w w:val="105"/>
        <w:sz w:val="37"/>
      </w:rPr>
      <w:t>’</w:t>
    </w:r>
    <w:r w:rsidRPr="000960C2">
      <w:rPr>
        <w:rFonts w:ascii="Arial" w:eastAsia="Castellar" w:hAnsi="Arial" w:cs="Arial"/>
        <w:color w:val="000000"/>
        <w:spacing w:val="6"/>
        <w:sz w:val="35"/>
      </w:rPr>
      <w:t>AN JIAOTONG-LIVERPOOL UNIVERSITY</w:t>
    </w:r>
  </w:p>
  <w:p w14:paraId="6C8939B1" w14:textId="77777777" w:rsidR="009C6180" w:rsidRPr="000960C2" w:rsidRDefault="00000000">
    <w:pPr>
      <w:pStyle w:val="a6"/>
      <w:rPr>
        <w:rFonts w:hint="eastAsia"/>
      </w:rPr>
    </w:pPr>
    <w:r w:rsidRPr="000960C2">
      <w:rPr>
        <w:rFonts w:ascii="Arial" w:eastAsia="宋体" w:hAnsi="Arial" w:cs="Arial"/>
        <w:b/>
        <w:color w:val="000000"/>
        <w:spacing w:val="-13"/>
        <w:w w:val="95"/>
        <w:sz w:val="47"/>
      </w:rPr>
      <w:t>西</w:t>
    </w:r>
    <w:r w:rsidRPr="000960C2">
      <w:rPr>
        <w:rFonts w:ascii="Arial" w:eastAsia="宋体" w:hAnsi="Arial" w:cs="Arial"/>
        <w:b/>
        <w:color w:val="000000"/>
        <w:spacing w:val="-13"/>
        <w:w w:val="95"/>
        <w:sz w:val="47"/>
      </w:rPr>
      <w:t xml:space="preserve"> </w:t>
    </w:r>
    <w:r w:rsidRPr="000960C2">
      <w:rPr>
        <w:rFonts w:ascii="Arial" w:eastAsia="宋体" w:hAnsi="Arial" w:cs="Arial"/>
        <w:b/>
        <w:color w:val="000000"/>
        <w:spacing w:val="-13"/>
        <w:w w:val="95"/>
        <w:sz w:val="47"/>
      </w:rPr>
      <w:t>交</w:t>
    </w:r>
    <w:r w:rsidRPr="000960C2">
      <w:rPr>
        <w:rFonts w:ascii="Arial" w:eastAsia="宋体" w:hAnsi="Arial" w:cs="Arial"/>
        <w:b/>
        <w:color w:val="000000"/>
        <w:spacing w:val="-13"/>
        <w:w w:val="95"/>
        <w:sz w:val="47"/>
      </w:rPr>
      <w:t xml:space="preserve"> </w:t>
    </w:r>
    <w:r w:rsidRPr="000960C2">
      <w:rPr>
        <w:rFonts w:ascii="Arial" w:eastAsia="宋体" w:hAnsi="Arial" w:cs="Arial"/>
        <w:b/>
        <w:color w:val="000000"/>
        <w:spacing w:val="-13"/>
        <w:w w:val="95"/>
        <w:sz w:val="47"/>
      </w:rPr>
      <w:t>利</w:t>
    </w:r>
    <w:r w:rsidRPr="000960C2">
      <w:rPr>
        <w:rFonts w:ascii="Arial" w:eastAsia="宋体" w:hAnsi="Arial" w:cs="Arial"/>
        <w:b/>
        <w:color w:val="000000"/>
        <w:spacing w:val="-13"/>
        <w:w w:val="95"/>
        <w:sz w:val="47"/>
      </w:rPr>
      <w:t xml:space="preserve"> </w:t>
    </w:r>
    <w:r w:rsidRPr="000960C2">
      <w:rPr>
        <w:rFonts w:ascii="Arial" w:eastAsia="宋体" w:hAnsi="Arial" w:cs="Arial"/>
        <w:b/>
        <w:color w:val="000000"/>
        <w:spacing w:val="-13"/>
        <w:w w:val="95"/>
        <w:sz w:val="47"/>
      </w:rPr>
      <w:t>物</w:t>
    </w:r>
    <w:r w:rsidRPr="000960C2">
      <w:rPr>
        <w:rFonts w:ascii="Arial" w:eastAsia="宋体" w:hAnsi="Arial" w:cs="Arial"/>
        <w:b/>
        <w:color w:val="000000"/>
        <w:spacing w:val="-13"/>
        <w:w w:val="95"/>
        <w:sz w:val="47"/>
      </w:rPr>
      <w:t xml:space="preserve"> </w:t>
    </w:r>
    <w:r w:rsidRPr="000960C2">
      <w:rPr>
        <w:rFonts w:ascii="Arial" w:eastAsia="宋体" w:hAnsi="Arial" w:cs="Arial"/>
        <w:b/>
        <w:color w:val="000000"/>
        <w:spacing w:val="-13"/>
        <w:w w:val="95"/>
        <w:sz w:val="47"/>
      </w:rPr>
      <w:t>浦</w:t>
    </w:r>
    <w:r w:rsidRPr="000960C2">
      <w:rPr>
        <w:rFonts w:ascii="Arial" w:eastAsia="宋体" w:hAnsi="Arial" w:cs="Arial"/>
        <w:b/>
        <w:color w:val="000000"/>
        <w:spacing w:val="-13"/>
        <w:w w:val="95"/>
        <w:sz w:val="47"/>
      </w:rPr>
      <w:t xml:space="preserve"> </w:t>
    </w:r>
    <w:r w:rsidRPr="000960C2">
      <w:rPr>
        <w:rFonts w:ascii="Arial" w:eastAsia="宋体" w:hAnsi="Arial" w:cs="Arial"/>
        <w:b/>
        <w:color w:val="000000"/>
        <w:spacing w:val="-13"/>
        <w:w w:val="95"/>
        <w:sz w:val="47"/>
      </w:rPr>
      <w:t>大</w:t>
    </w:r>
    <w:r w:rsidRPr="000960C2">
      <w:rPr>
        <w:rFonts w:ascii="Arial" w:eastAsia="宋体" w:hAnsi="Arial" w:cs="Arial"/>
        <w:b/>
        <w:color w:val="000000"/>
        <w:spacing w:val="-13"/>
        <w:w w:val="95"/>
        <w:sz w:val="47"/>
      </w:rPr>
      <w:t xml:space="preserve"> </w:t>
    </w:r>
    <w:r w:rsidRPr="000960C2">
      <w:rPr>
        <w:rFonts w:ascii="Arial" w:eastAsia="宋体" w:hAnsi="Arial" w:cs="Arial"/>
        <w:b/>
        <w:color w:val="000000"/>
        <w:spacing w:val="-13"/>
        <w:w w:val="95"/>
        <w:sz w:val="47"/>
      </w:rPr>
      <w:t>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F22D7"/>
    <w:multiLevelType w:val="multilevel"/>
    <w:tmpl w:val="14BF22D7"/>
    <w:lvl w:ilvl="0">
      <w:start w:val="1"/>
      <w:numFmt w:val="bullet"/>
      <w:lvlText w:val="·"/>
      <w:lvlJc w:val="left"/>
      <w:pPr>
        <w:tabs>
          <w:tab w:val="left" w:pos="360"/>
        </w:tabs>
        <w:ind w:left="720"/>
      </w:pPr>
      <w:rPr>
        <w:rFonts w:ascii="Symbol" w:eastAsia="Symbol" w:hAnsi="Symbol"/>
        <w:strike w:val="0"/>
        <w:color w:val="000000"/>
        <w:spacing w:val="-2"/>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04766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420"/>
  <w:drawingGridHorizontalSpacing w:val="11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08A"/>
    <w:rsid w:val="000960C2"/>
    <w:rsid w:val="000B3922"/>
    <w:rsid w:val="00130655"/>
    <w:rsid w:val="001461F8"/>
    <w:rsid w:val="00156A81"/>
    <w:rsid w:val="00186885"/>
    <w:rsid w:val="00194830"/>
    <w:rsid w:val="001D09AB"/>
    <w:rsid w:val="00261EF7"/>
    <w:rsid w:val="0026241C"/>
    <w:rsid w:val="002827BF"/>
    <w:rsid w:val="0029088C"/>
    <w:rsid w:val="00296269"/>
    <w:rsid w:val="00297CA1"/>
    <w:rsid w:val="002E3536"/>
    <w:rsid w:val="003240B1"/>
    <w:rsid w:val="00353650"/>
    <w:rsid w:val="00374ED0"/>
    <w:rsid w:val="003F4056"/>
    <w:rsid w:val="00405590"/>
    <w:rsid w:val="0045796B"/>
    <w:rsid w:val="004E7843"/>
    <w:rsid w:val="005209CF"/>
    <w:rsid w:val="00546280"/>
    <w:rsid w:val="00566886"/>
    <w:rsid w:val="00625417"/>
    <w:rsid w:val="00643093"/>
    <w:rsid w:val="0068008A"/>
    <w:rsid w:val="006953F2"/>
    <w:rsid w:val="006A1116"/>
    <w:rsid w:val="006C108F"/>
    <w:rsid w:val="006C1C08"/>
    <w:rsid w:val="006F138D"/>
    <w:rsid w:val="00704DEE"/>
    <w:rsid w:val="00785499"/>
    <w:rsid w:val="007930C2"/>
    <w:rsid w:val="007A5489"/>
    <w:rsid w:val="007E122F"/>
    <w:rsid w:val="007F5180"/>
    <w:rsid w:val="00861FB1"/>
    <w:rsid w:val="00875EAF"/>
    <w:rsid w:val="00896EDC"/>
    <w:rsid w:val="008A1E27"/>
    <w:rsid w:val="008B5AD5"/>
    <w:rsid w:val="008D3314"/>
    <w:rsid w:val="008E1C1A"/>
    <w:rsid w:val="008F47B4"/>
    <w:rsid w:val="00906A33"/>
    <w:rsid w:val="00964228"/>
    <w:rsid w:val="009A03B2"/>
    <w:rsid w:val="009C6180"/>
    <w:rsid w:val="009D1F59"/>
    <w:rsid w:val="009E1F9F"/>
    <w:rsid w:val="00A24538"/>
    <w:rsid w:val="00A60226"/>
    <w:rsid w:val="00A70AC4"/>
    <w:rsid w:val="00AE0834"/>
    <w:rsid w:val="00AE229C"/>
    <w:rsid w:val="00AF6D77"/>
    <w:rsid w:val="00B03705"/>
    <w:rsid w:val="00B03819"/>
    <w:rsid w:val="00B344E7"/>
    <w:rsid w:val="00B53D84"/>
    <w:rsid w:val="00BA0015"/>
    <w:rsid w:val="00BB2D24"/>
    <w:rsid w:val="00BB3CEE"/>
    <w:rsid w:val="00D161E8"/>
    <w:rsid w:val="00D2441D"/>
    <w:rsid w:val="00D40988"/>
    <w:rsid w:val="00DA1824"/>
    <w:rsid w:val="00DE7BF9"/>
    <w:rsid w:val="00DF4241"/>
    <w:rsid w:val="00E1239F"/>
    <w:rsid w:val="00E22DE4"/>
    <w:rsid w:val="00E440AF"/>
    <w:rsid w:val="00E5699D"/>
    <w:rsid w:val="00E62E71"/>
    <w:rsid w:val="00E6782C"/>
    <w:rsid w:val="00EC52F6"/>
    <w:rsid w:val="00EF1196"/>
    <w:rsid w:val="00F108FF"/>
    <w:rsid w:val="00F72490"/>
    <w:rsid w:val="00FB2D53"/>
    <w:rsid w:val="00FF0397"/>
    <w:rsid w:val="00FF7107"/>
    <w:rsid w:val="6FFFF92E"/>
    <w:rsid w:val="BF4F9E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372034"/>
  <w15:docId w15:val="{6D9625E7-4C5A-4B3D-8E01-0AE381A86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lang w:val="en-GB"/>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spacing w:after="200" w:line="240" w:lineRule="auto"/>
    </w:pPr>
    <w:rPr>
      <w:i/>
      <w:iCs/>
      <w:color w:val="44546A" w:themeColor="text2"/>
      <w:sz w:val="18"/>
      <w:szCs w:val="18"/>
    </w:rPr>
  </w:style>
  <w:style w:type="paragraph" w:styleId="a4">
    <w:name w:val="footer"/>
    <w:basedOn w:val="a"/>
    <w:link w:val="a5"/>
    <w:uiPriority w:val="99"/>
    <w:unhideWhenUsed/>
    <w:pPr>
      <w:tabs>
        <w:tab w:val="center" w:pos="4153"/>
        <w:tab w:val="right" w:pos="8306"/>
      </w:tabs>
      <w:snapToGrid w:val="0"/>
      <w:spacing w:line="240" w:lineRule="auto"/>
    </w:pPr>
    <w:rPr>
      <w:sz w:val="18"/>
      <w:szCs w:val="18"/>
    </w:rPr>
  </w:style>
  <w:style w:type="paragraph" w:styleId="a6">
    <w:name w:val="header"/>
    <w:basedOn w:val="a"/>
    <w:link w:val="a7"/>
    <w:uiPriority w:val="99"/>
    <w:unhideWhenUsed/>
    <w:pPr>
      <w:tabs>
        <w:tab w:val="center" w:pos="4153"/>
        <w:tab w:val="right" w:pos="8306"/>
      </w:tabs>
      <w:snapToGrid w:val="0"/>
      <w:spacing w:line="240" w:lineRule="auto"/>
      <w:jc w:val="center"/>
    </w:pPr>
    <w:rPr>
      <w:sz w:val="18"/>
      <w:szCs w:val="18"/>
    </w:rPr>
  </w:style>
  <w:style w:type="paragraph" w:styleId="a8">
    <w:name w:val="Subtitle"/>
    <w:basedOn w:val="a"/>
    <w:next w:val="a"/>
    <w:link w:val="a9"/>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a">
    <w:name w:val="Normal (Web)"/>
    <w:basedOn w:val="a"/>
    <w:uiPriority w:val="99"/>
    <w:semiHidden/>
    <w:unhideWhenUsed/>
    <w:pPr>
      <w:spacing w:beforeAutospacing="1" w:after="0" w:afterAutospacing="1"/>
    </w:pPr>
    <w:rPr>
      <w:rFonts w:cs="Times New Roman"/>
      <w:kern w:val="0"/>
      <w:sz w:val="24"/>
      <w:lang w:val="en-US"/>
    </w:rPr>
  </w:style>
  <w:style w:type="paragraph" w:styleId="ab">
    <w:name w:val="Title"/>
    <w:basedOn w:val="a"/>
    <w:next w:val="a"/>
    <w:link w:val="ac"/>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d">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Pr>
      <w:color w:val="0563C1" w:themeColor="hyperlink"/>
      <w:u w:val="single"/>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c">
    <w:name w:val="标题 字符"/>
    <w:basedOn w:val="a0"/>
    <w:link w:val="ab"/>
    <w:uiPriority w:val="10"/>
    <w:rPr>
      <w:rFonts w:asciiTheme="majorHAnsi" w:eastAsiaTheme="majorEastAsia" w:hAnsiTheme="majorHAnsi" w:cstheme="majorBidi"/>
      <w:spacing w:val="-10"/>
      <w:kern w:val="28"/>
      <w:sz w:val="56"/>
      <w:szCs w:val="56"/>
    </w:rPr>
  </w:style>
  <w:style w:type="character" w:customStyle="1" w:styleId="a9">
    <w:name w:val="副标题 字符"/>
    <w:basedOn w:val="a0"/>
    <w:link w:val="a8"/>
    <w:uiPriority w:val="11"/>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pPr>
      <w:spacing w:before="160"/>
      <w:jc w:val="center"/>
    </w:pPr>
    <w:rPr>
      <w:i/>
      <w:iCs/>
      <w:color w:val="404040" w:themeColor="text1" w:themeTint="BF"/>
    </w:rPr>
  </w:style>
  <w:style w:type="character" w:customStyle="1" w:styleId="af0">
    <w:name w:val="引用 字符"/>
    <w:basedOn w:val="a0"/>
    <w:link w:val="af"/>
    <w:uiPriority w:val="29"/>
    <w:rPr>
      <w:i/>
      <w:iCs/>
      <w:color w:val="404040" w:themeColor="text1" w:themeTint="BF"/>
    </w:rPr>
  </w:style>
  <w:style w:type="paragraph" w:styleId="af1">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2">
    <w:name w:val="Intense Quote"/>
    <w:basedOn w:val="a"/>
    <w:next w:val="a"/>
    <w:link w:val="af3"/>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3">
    <w:name w:val="明显引用 字符"/>
    <w:basedOn w:val="a0"/>
    <w:link w:val="af2"/>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13">
    <w:name w:val="未处理的提及1"/>
    <w:basedOn w:val="a0"/>
    <w:uiPriority w:val="99"/>
    <w:semiHidden/>
    <w:unhideWhenUsed/>
    <w:rPr>
      <w:color w:val="605E5C"/>
      <w:shd w:val="clear" w:color="auto" w:fill="E1DFDD"/>
    </w:rPr>
  </w:style>
  <w:style w:type="character" w:customStyle="1" w:styleId="a7">
    <w:name w:val="页眉 字符"/>
    <w:basedOn w:val="a0"/>
    <w:link w:val="a6"/>
    <w:uiPriority w:val="99"/>
    <w:rPr>
      <w:sz w:val="18"/>
      <w:szCs w:val="18"/>
    </w:rPr>
  </w:style>
  <w:style w:type="character" w:customStyle="1" w:styleId="a5">
    <w:name w:val="页脚 字符"/>
    <w:basedOn w:val="a0"/>
    <w:link w:val="a4"/>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mar.2011.03.002" TargetMode="External"/><Relationship Id="rId13" Type="http://schemas.openxmlformats.org/officeDocument/2006/relationships/hyperlink" Target="https://hbr.org/2007/07/using-the-balanced-scorecard-as-a-strategic-management-system?utm_source=chatgpt.com"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hbs.edu/faculty/Pages/item.aspx?num=9161" TargetMode="External"/><Relationship Id="rId17" Type="http://schemas.openxmlformats.org/officeDocument/2006/relationships/hyperlink" Target="https://www.bain.com/insights/zero-defections-quality-comes-to-services-harvard-business-review-hbr/?utm_source=chatgpt.com" TargetMode="External"/><Relationship Id="rId2" Type="http://schemas.openxmlformats.org/officeDocument/2006/relationships/styles" Target="styles.xml"/><Relationship Id="rId16" Type="http://schemas.openxmlformats.org/officeDocument/2006/relationships/hyperlink" Target="https://doi.org/10.1016/0361-3682(80)90040-9"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0304-405X(76)90026-X" TargetMode="External"/><Relationship Id="rId5" Type="http://schemas.openxmlformats.org/officeDocument/2006/relationships/footnotes" Target="footnotes.xml"/><Relationship Id="rId15" Type="http://schemas.openxmlformats.org/officeDocument/2006/relationships/hyperlink" Target="https://doi.org/10.1016/S0361-3682(98)00043-9" TargetMode="External"/><Relationship Id="rId10" Type="http://schemas.openxmlformats.org/officeDocument/2006/relationships/hyperlink" Target="https://hbr.org/2003/11/coming-up-short-on-nonfinancial-performance-measurement?utm_source=chatgp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bam.scholasticahq.com/article/1054-cooperating-teams-and-competing-reward-strategies-incentives-for-team-performance-and-firm-productivity.pdf" TargetMode="External"/><Relationship Id="rId14" Type="http://schemas.openxmlformats.org/officeDocument/2006/relationships/hyperlink" Target="https://doi.org/10.1016/j.aos.2019.01.004"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735</TotalTime>
  <Pages>16</Pages>
  <Words>4624</Words>
  <Characters>29415</Characters>
  <Application>Microsoft Office Word</Application>
  <DocSecurity>0</DocSecurity>
  <Lines>600</Lines>
  <Paragraphs>225</Paragraphs>
  <ScaleCrop>false</ScaleCrop>
  <Company/>
  <LinksUpToDate>false</LinksUpToDate>
  <CharactersWithSpaces>33814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YuZzD_ _</dc:creator>
  <cp:lastModifiedBy>YuZzD_ _</cp:lastModifiedBy>
  <cp:revision>62</cp:revision>
  <cp:lastPrinted>2026-05-21T06:21:00Z</cp:lastPrinted>
  <dcterms:created xsi:type="dcterms:W3CDTF">2026-05-19T02:57:00Z</dcterms:created>
  <dcterms:modified xsi:type="dcterms:W3CDTF">2026-05-22T19:15:00Z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D431F9477541BB4D1E2D0F6AB7D0C939_42</vt:lpwstr>
  </property>
</Properties>
</file>