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15239" w14:textId="1D235E61" w:rsidR="003E7924" w:rsidRPr="00815660" w:rsidRDefault="003E7924" w:rsidP="00086C5C">
      <w:pPr>
        <w:spacing w:line="240" w:lineRule="auto"/>
        <w:jc w:val="center"/>
        <w:rPr>
          <w:rFonts w:ascii="Arial" w:hAnsi="Arial" w:cs="Arial"/>
          <w:sz w:val="36"/>
          <w:szCs w:val="36"/>
          <w:lang w:eastAsia="en-US"/>
        </w:rPr>
      </w:pPr>
      <w:r w:rsidRPr="00815660">
        <w:rPr>
          <w:rFonts w:ascii="Arial" w:hAnsi="Arial" w:cs="Arial"/>
          <w:sz w:val="36"/>
          <w:szCs w:val="36"/>
          <w:lang w:eastAsia="en-US"/>
        </w:rPr>
        <w:t>XI</w:t>
      </w:r>
      <w:r w:rsidR="00011E46">
        <w:rPr>
          <w:rFonts w:ascii="Arial" w:hAnsi="Arial" w:cs="Arial"/>
          <w:sz w:val="36"/>
          <w:szCs w:val="36"/>
          <w:lang w:eastAsia="en-US"/>
        </w:rPr>
        <w:t>’</w:t>
      </w:r>
      <w:r w:rsidRPr="00815660">
        <w:rPr>
          <w:rFonts w:ascii="Arial" w:hAnsi="Arial" w:cs="Arial"/>
          <w:sz w:val="36"/>
          <w:szCs w:val="36"/>
          <w:lang w:eastAsia="en-US"/>
        </w:rPr>
        <w:t>AN JIAOTONG</w:t>
      </w:r>
      <w:r w:rsidR="00393F7D">
        <w:rPr>
          <w:rFonts w:ascii="Arial" w:hAnsi="Arial" w:cs="Arial"/>
          <w:sz w:val="36"/>
          <w:szCs w:val="36"/>
          <w:lang w:eastAsia="en-US"/>
        </w:rPr>
        <w:t>-</w:t>
      </w:r>
      <w:r w:rsidRPr="00815660">
        <w:rPr>
          <w:rFonts w:ascii="Arial" w:hAnsi="Arial" w:cs="Arial"/>
          <w:sz w:val="36"/>
          <w:szCs w:val="36"/>
          <w:lang w:eastAsia="en-US"/>
        </w:rPr>
        <w:t>LIVERPOOL UNIVERSITY</w:t>
      </w:r>
    </w:p>
    <w:p w14:paraId="7129817E" w14:textId="711582B9" w:rsidR="003E7924" w:rsidRPr="00815660" w:rsidRDefault="003E7924" w:rsidP="00086C5C">
      <w:pPr>
        <w:spacing w:line="240" w:lineRule="auto"/>
        <w:jc w:val="center"/>
        <w:rPr>
          <w:rFonts w:ascii="宋体" w:eastAsia="宋体" w:hAnsi="宋体" w:cs="Arial" w:hint="eastAsia"/>
          <w:sz w:val="48"/>
          <w:szCs w:val="48"/>
        </w:rPr>
      </w:pPr>
      <w:r w:rsidRPr="00815660">
        <w:rPr>
          <w:rFonts w:ascii="宋体" w:eastAsia="宋体" w:hAnsi="宋体" w:cs="Arial"/>
          <w:sz w:val="48"/>
          <w:szCs w:val="48"/>
          <w:lang w:eastAsia="en-US"/>
        </w:rPr>
        <w:t>西 交 利 物 浦 大 学</w:t>
      </w:r>
    </w:p>
    <w:p w14:paraId="6059C3EC" w14:textId="77777777" w:rsidR="003E7924" w:rsidRPr="00815660" w:rsidRDefault="003E7924" w:rsidP="00086C5C">
      <w:pPr>
        <w:spacing w:line="240" w:lineRule="auto"/>
        <w:jc w:val="center"/>
        <w:rPr>
          <w:rFonts w:ascii="Arial" w:hAnsi="Arial" w:cs="Arial"/>
          <w:sz w:val="36"/>
          <w:szCs w:val="36"/>
          <w:lang w:eastAsia="en-US"/>
        </w:rPr>
      </w:pPr>
      <w:r w:rsidRPr="00815660">
        <w:rPr>
          <w:rFonts w:ascii="Arial" w:hAnsi="Arial" w:cs="Arial"/>
          <w:sz w:val="36"/>
          <w:szCs w:val="36"/>
          <w:lang w:eastAsia="en-US"/>
        </w:rPr>
        <w:t>COURSEWORK SUBMISSION COVER SHEET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70"/>
        <w:gridCol w:w="3294"/>
        <w:gridCol w:w="3396"/>
      </w:tblGrid>
      <w:tr w:rsidR="003E7924" w:rsidRPr="007D379A" w14:paraId="7B6AB0FE" w14:textId="77777777" w:rsidTr="006360B6">
        <w:trPr>
          <w:trHeight w:val="362"/>
        </w:trPr>
        <w:tc>
          <w:tcPr>
            <w:tcW w:w="1308" w:type="pct"/>
            <w:vAlign w:val="center"/>
          </w:tcPr>
          <w:p w14:paraId="5BB14324" w14:textId="77777777" w:rsidR="003E7924" w:rsidRPr="007D379A" w:rsidRDefault="003E7924" w:rsidP="003E7924">
            <w:pPr>
              <w:autoSpaceDE w:val="0"/>
              <w:autoSpaceDN w:val="0"/>
              <w:spacing w:before="60"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Name</w:t>
            </w:r>
          </w:p>
        </w:tc>
        <w:tc>
          <w:tcPr>
            <w:tcW w:w="1818" w:type="pct"/>
            <w:vAlign w:val="center"/>
          </w:tcPr>
          <w:p w14:paraId="3A69B457" w14:textId="38F7FC4B" w:rsidR="003E7924" w:rsidRPr="007D379A" w:rsidRDefault="003E7924" w:rsidP="003E7924">
            <w:pPr>
              <w:autoSpaceDE w:val="0"/>
              <w:autoSpaceDN w:val="0"/>
              <w:spacing w:before="60"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Liu (Surname)</w:t>
            </w:r>
          </w:p>
        </w:tc>
        <w:tc>
          <w:tcPr>
            <w:tcW w:w="1874" w:type="pct"/>
            <w:vAlign w:val="center"/>
          </w:tcPr>
          <w:p w14:paraId="0438358A" w14:textId="11F0A2B1" w:rsidR="003E7924" w:rsidRPr="007D379A" w:rsidRDefault="003E7924" w:rsidP="003E7924">
            <w:pPr>
              <w:autoSpaceDE w:val="0"/>
              <w:autoSpaceDN w:val="0"/>
              <w:spacing w:before="60"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Jingwei (Other Names)</w:t>
            </w:r>
          </w:p>
        </w:tc>
      </w:tr>
      <w:tr w:rsidR="003E7924" w:rsidRPr="007D379A" w14:paraId="5E222F51" w14:textId="77777777" w:rsidTr="00E015DF">
        <w:trPr>
          <w:trHeight w:val="359"/>
        </w:trPr>
        <w:tc>
          <w:tcPr>
            <w:tcW w:w="1308" w:type="pct"/>
            <w:vAlign w:val="center"/>
          </w:tcPr>
          <w:p w14:paraId="4714F383" w14:textId="77777777" w:rsidR="003E7924" w:rsidRPr="007D379A" w:rsidRDefault="003E7924" w:rsidP="003E7924">
            <w:pPr>
              <w:autoSpaceDE w:val="0"/>
              <w:autoSpaceDN w:val="0"/>
              <w:spacing w:before="60"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Student Number</w:t>
            </w:r>
          </w:p>
        </w:tc>
        <w:tc>
          <w:tcPr>
            <w:tcW w:w="3692" w:type="pct"/>
            <w:gridSpan w:val="2"/>
            <w:vAlign w:val="center"/>
          </w:tcPr>
          <w:p w14:paraId="09CED085" w14:textId="5A932F4D" w:rsidR="003E7924" w:rsidRPr="007D379A" w:rsidRDefault="003E7924" w:rsidP="003E7924">
            <w:pPr>
              <w:autoSpaceDE w:val="0"/>
              <w:autoSpaceDN w:val="0"/>
              <w:spacing w:after="0" w:line="240" w:lineRule="auto"/>
              <w:ind w:firstLineChars="50" w:firstLine="100"/>
              <w:rPr>
                <w:rFonts w:ascii="Verdana" w:hAnsi="Verdana" w:cs="Verdana"/>
                <w:kern w:val="0"/>
                <w:sz w:val="20"/>
                <w:szCs w:val="22"/>
                <w14:ligatures w14:val="none"/>
              </w:rPr>
            </w:pPr>
            <w:r w:rsidRPr="007D379A">
              <w:rPr>
                <w:rFonts w:ascii="Verdana" w:hAnsi="Verdana" w:cs="Verdana"/>
                <w:kern w:val="0"/>
                <w:sz w:val="20"/>
                <w:szCs w:val="22"/>
                <w14:ligatures w14:val="none"/>
              </w:rPr>
              <w:t>2253336</w:t>
            </w:r>
          </w:p>
        </w:tc>
      </w:tr>
      <w:tr w:rsidR="003E7924" w:rsidRPr="007D379A" w14:paraId="053975E1" w14:textId="77777777" w:rsidTr="00E015DF">
        <w:trPr>
          <w:trHeight w:val="364"/>
        </w:trPr>
        <w:tc>
          <w:tcPr>
            <w:tcW w:w="1308" w:type="pct"/>
            <w:vAlign w:val="center"/>
          </w:tcPr>
          <w:p w14:paraId="607E2EAF" w14:textId="77777777" w:rsidR="003E7924" w:rsidRPr="007D379A" w:rsidRDefault="003E7924" w:rsidP="003E7924">
            <w:pPr>
              <w:autoSpaceDE w:val="0"/>
              <w:autoSpaceDN w:val="0"/>
              <w:spacing w:before="62"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Programme</w:t>
            </w:r>
          </w:p>
        </w:tc>
        <w:tc>
          <w:tcPr>
            <w:tcW w:w="3692" w:type="pct"/>
            <w:gridSpan w:val="2"/>
            <w:vAlign w:val="center"/>
          </w:tcPr>
          <w:p w14:paraId="63D1DDDE" w14:textId="77777777" w:rsidR="003E7924" w:rsidRPr="007D379A" w:rsidRDefault="003E7924" w:rsidP="003E7924">
            <w:pPr>
              <w:autoSpaceDE w:val="0"/>
              <w:autoSpaceDN w:val="0"/>
              <w:spacing w:after="0" w:line="240" w:lineRule="auto"/>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 xml:space="preserve"> Bachelor of Accounting (BA)</w:t>
            </w:r>
          </w:p>
        </w:tc>
      </w:tr>
      <w:tr w:rsidR="003E7924" w:rsidRPr="007D379A" w14:paraId="6A690FF8" w14:textId="77777777" w:rsidTr="00E015DF">
        <w:trPr>
          <w:trHeight w:val="361"/>
        </w:trPr>
        <w:tc>
          <w:tcPr>
            <w:tcW w:w="1308" w:type="pct"/>
            <w:vAlign w:val="center"/>
          </w:tcPr>
          <w:p w14:paraId="086BDF41" w14:textId="77777777" w:rsidR="003E7924" w:rsidRPr="007D379A" w:rsidRDefault="003E7924" w:rsidP="003E7924">
            <w:pPr>
              <w:autoSpaceDE w:val="0"/>
              <w:autoSpaceDN w:val="0"/>
              <w:spacing w:before="60"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Module Title</w:t>
            </w:r>
          </w:p>
        </w:tc>
        <w:tc>
          <w:tcPr>
            <w:tcW w:w="3692" w:type="pct"/>
            <w:gridSpan w:val="2"/>
            <w:vAlign w:val="center"/>
          </w:tcPr>
          <w:p w14:paraId="2D608207" w14:textId="0099F8B9" w:rsidR="003E7924" w:rsidRPr="007D379A" w:rsidRDefault="003E7924" w:rsidP="003E7924">
            <w:pPr>
              <w:autoSpaceDE w:val="0"/>
              <w:autoSpaceDN w:val="0"/>
              <w:spacing w:after="0" w:line="240" w:lineRule="auto"/>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 xml:space="preserve"> FYP </w:t>
            </w:r>
            <w:r w:rsidR="00393F7D">
              <w:rPr>
                <w:rFonts w:ascii="Verdana" w:eastAsia="Verdana" w:hAnsi="Verdana" w:cs="Verdana"/>
                <w:kern w:val="0"/>
                <w:sz w:val="20"/>
                <w:szCs w:val="22"/>
                <w:lang w:eastAsia="en-US"/>
                <w14:ligatures w14:val="none"/>
              </w:rPr>
              <w:t>-</w:t>
            </w:r>
            <w:r w:rsidRPr="007D379A">
              <w:rPr>
                <w:rFonts w:ascii="Verdana" w:eastAsia="Verdana" w:hAnsi="Verdana" w:cs="Verdana"/>
                <w:kern w:val="0"/>
                <w:sz w:val="20"/>
                <w:szCs w:val="22"/>
                <w:lang w:eastAsia="en-US"/>
                <w14:ligatures w14:val="none"/>
              </w:rPr>
              <w:t xml:space="preserve"> ACCOUNTING</w:t>
            </w:r>
          </w:p>
        </w:tc>
      </w:tr>
      <w:tr w:rsidR="003E7924" w:rsidRPr="007D379A" w14:paraId="0204D11D" w14:textId="77777777" w:rsidTr="00E015DF">
        <w:trPr>
          <w:trHeight w:val="364"/>
        </w:trPr>
        <w:tc>
          <w:tcPr>
            <w:tcW w:w="1308" w:type="pct"/>
            <w:vAlign w:val="center"/>
          </w:tcPr>
          <w:p w14:paraId="5B969D98" w14:textId="77777777" w:rsidR="003E7924" w:rsidRPr="007D379A" w:rsidRDefault="003E7924" w:rsidP="003E7924">
            <w:pPr>
              <w:autoSpaceDE w:val="0"/>
              <w:autoSpaceDN w:val="0"/>
              <w:spacing w:before="62"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Module Code</w:t>
            </w:r>
          </w:p>
        </w:tc>
        <w:tc>
          <w:tcPr>
            <w:tcW w:w="3692" w:type="pct"/>
            <w:gridSpan w:val="2"/>
            <w:vAlign w:val="center"/>
          </w:tcPr>
          <w:p w14:paraId="3C28BDC4" w14:textId="77777777" w:rsidR="003E7924" w:rsidRPr="007D379A" w:rsidRDefault="003E7924" w:rsidP="003E7924">
            <w:pPr>
              <w:autoSpaceDE w:val="0"/>
              <w:autoSpaceDN w:val="0"/>
              <w:spacing w:after="0" w:line="240" w:lineRule="auto"/>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 xml:space="preserve"> ACC304</w:t>
            </w:r>
          </w:p>
        </w:tc>
      </w:tr>
      <w:tr w:rsidR="003E7924" w:rsidRPr="007D379A" w14:paraId="1A9086FF" w14:textId="77777777" w:rsidTr="00E015DF">
        <w:trPr>
          <w:trHeight w:val="362"/>
        </w:trPr>
        <w:tc>
          <w:tcPr>
            <w:tcW w:w="1308" w:type="pct"/>
            <w:vAlign w:val="center"/>
          </w:tcPr>
          <w:p w14:paraId="0DD6EEE6" w14:textId="77777777" w:rsidR="003E7924" w:rsidRPr="007D379A" w:rsidRDefault="003E7924" w:rsidP="003E7924">
            <w:pPr>
              <w:autoSpaceDE w:val="0"/>
              <w:autoSpaceDN w:val="0"/>
              <w:spacing w:before="60"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Assignment Title</w:t>
            </w:r>
          </w:p>
        </w:tc>
        <w:tc>
          <w:tcPr>
            <w:tcW w:w="3692" w:type="pct"/>
            <w:gridSpan w:val="2"/>
            <w:vAlign w:val="center"/>
          </w:tcPr>
          <w:p w14:paraId="0997AB3A" w14:textId="5B8A7829" w:rsidR="003E7924" w:rsidRPr="007D379A" w:rsidRDefault="003E7924" w:rsidP="003E7924">
            <w:pPr>
              <w:autoSpaceDE w:val="0"/>
              <w:autoSpaceDN w:val="0"/>
              <w:spacing w:after="0" w:line="240" w:lineRule="auto"/>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 xml:space="preserve"> CASE A REPORT</w:t>
            </w:r>
          </w:p>
        </w:tc>
      </w:tr>
      <w:tr w:rsidR="003E7924" w:rsidRPr="007D379A" w14:paraId="55DF96A9" w14:textId="77777777" w:rsidTr="00E015DF">
        <w:trPr>
          <w:trHeight w:val="364"/>
        </w:trPr>
        <w:tc>
          <w:tcPr>
            <w:tcW w:w="1308" w:type="pct"/>
            <w:vAlign w:val="center"/>
          </w:tcPr>
          <w:p w14:paraId="35979D95" w14:textId="77777777" w:rsidR="003E7924" w:rsidRPr="007D379A" w:rsidRDefault="003E7924" w:rsidP="003E7924">
            <w:pPr>
              <w:autoSpaceDE w:val="0"/>
              <w:autoSpaceDN w:val="0"/>
              <w:spacing w:before="60"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Submission Deadline</w:t>
            </w:r>
          </w:p>
        </w:tc>
        <w:tc>
          <w:tcPr>
            <w:tcW w:w="3692" w:type="pct"/>
            <w:gridSpan w:val="2"/>
            <w:vAlign w:val="center"/>
          </w:tcPr>
          <w:p w14:paraId="148538C5" w14:textId="77777777" w:rsidR="003E7924" w:rsidRPr="007D379A" w:rsidRDefault="003E7924" w:rsidP="003E7924">
            <w:pPr>
              <w:autoSpaceDE w:val="0"/>
              <w:autoSpaceDN w:val="0"/>
              <w:spacing w:after="0" w:line="240" w:lineRule="auto"/>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 xml:space="preserve"> MAY 31</w:t>
            </w:r>
            <w:r w:rsidRPr="007D379A">
              <w:rPr>
                <w:rFonts w:ascii="Verdana" w:eastAsia="Verdana" w:hAnsi="Verdana" w:cs="Verdana"/>
                <w:kern w:val="0"/>
                <w:sz w:val="20"/>
                <w:szCs w:val="22"/>
                <w:vertAlign w:val="superscript"/>
                <w:lang w:eastAsia="en-US"/>
                <w14:ligatures w14:val="none"/>
              </w:rPr>
              <w:t>st</w:t>
            </w:r>
            <w:r w:rsidRPr="007D379A">
              <w:rPr>
                <w:rFonts w:ascii="Verdana" w:eastAsia="Verdana" w:hAnsi="Verdana" w:cs="Verdana"/>
                <w:kern w:val="0"/>
                <w:sz w:val="20"/>
                <w:szCs w:val="22"/>
                <w:lang w:eastAsia="en-US"/>
                <w14:ligatures w14:val="none"/>
              </w:rPr>
              <w:t>, 2026</w:t>
            </w:r>
          </w:p>
        </w:tc>
      </w:tr>
      <w:tr w:rsidR="003E7924" w:rsidRPr="007D379A" w14:paraId="34482806" w14:textId="77777777" w:rsidTr="00E015DF">
        <w:trPr>
          <w:trHeight w:val="359"/>
        </w:trPr>
        <w:tc>
          <w:tcPr>
            <w:tcW w:w="1308" w:type="pct"/>
            <w:vAlign w:val="center"/>
          </w:tcPr>
          <w:p w14:paraId="7DA3BAF7" w14:textId="77777777" w:rsidR="003E7924" w:rsidRPr="007D379A" w:rsidRDefault="003E7924" w:rsidP="003E7924">
            <w:pPr>
              <w:autoSpaceDE w:val="0"/>
              <w:autoSpaceDN w:val="0"/>
              <w:spacing w:before="60"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Module Leader</w:t>
            </w:r>
          </w:p>
        </w:tc>
        <w:tc>
          <w:tcPr>
            <w:tcW w:w="3692" w:type="pct"/>
            <w:gridSpan w:val="2"/>
            <w:vAlign w:val="center"/>
          </w:tcPr>
          <w:p w14:paraId="0D489350" w14:textId="6A3098E7" w:rsidR="003E7924" w:rsidRPr="007D379A" w:rsidRDefault="003E7924" w:rsidP="003E7924">
            <w:pPr>
              <w:autoSpaceDE w:val="0"/>
              <w:autoSpaceDN w:val="0"/>
              <w:spacing w:after="0" w:line="240" w:lineRule="auto"/>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 xml:space="preserve"> Mohamed Omran</w:t>
            </w:r>
          </w:p>
        </w:tc>
      </w:tr>
    </w:tbl>
    <w:p w14:paraId="4F343E5A" w14:textId="77777777" w:rsidR="003E7924" w:rsidRPr="007D379A" w:rsidRDefault="003E7924" w:rsidP="003E7924">
      <w:pPr>
        <w:autoSpaceDE w:val="0"/>
        <w:autoSpaceDN w:val="0"/>
        <w:spacing w:before="8" w:after="0" w:line="240" w:lineRule="auto"/>
        <w:rPr>
          <w:rFonts w:ascii="Verdana" w:eastAsia="Verdana" w:hAnsi="Verdana" w:cs="Verdana"/>
          <w:kern w:val="0"/>
          <w:sz w:val="21"/>
          <w:szCs w:val="20"/>
          <w:lang w:eastAsia="en-US"/>
          <w14:ligatures w14:val="none"/>
        </w:rPr>
      </w:pPr>
    </w:p>
    <w:p w14:paraId="2248EA2C" w14:textId="77777777" w:rsidR="003E7924" w:rsidRPr="007D379A" w:rsidRDefault="003E7924" w:rsidP="003E7924">
      <w:pPr>
        <w:rPr>
          <w:rFonts w:ascii="Verdana" w:hAnsi="Verdana"/>
          <w:sz w:val="15"/>
          <w:szCs w:val="15"/>
          <w:lang w:eastAsia="en-US"/>
        </w:rPr>
      </w:pPr>
      <w:r w:rsidRPr="007D379A">
        <w:rPr>
          <w:rFonts w:ascii="Verdana" w:hAnsi="Verdana"/>
          <w:sz w:val="15"/>
          <w:szCs w:val="15"/>
          <w:lang w:eastAsia="en-US"/>
        </w:rPr>
        <w:t>By uploading or submitting this coursework submission cover sheet, I certify the following:</w:t>
      </w:r>
    </w:p>
    <w:p w14:paraId="624C6DE7" w14:textId="1DB29D12" w:rsidR="003E7924" w:rsidRPr="007D379A" w:rsidRDefault="003E7924" w:rsidP="003E7924">
      <w:pPr>
        <w:pStyle w:val="a9"/>
        <w:numPr>
          <w:ilvl w:val="0"/>
          <w:numId w:val="2"/>
        </w:numPr>
        <w:rPr>
          <w:rFonts w:ascii="Verdana" w:hAnsi="Verdana"/>
          <w:sz w:val="15"/>
          <w:szCs w:val="15"/>
          <w:lang w:eastAsia="en-US"/>
        </w:rPr>
      </w:pPr>
      <w:r w:rsidRPr="007D379A">
        <w:rPr>
          <w:rFonts w:ascii="Verdana" w:hAnsi="Verdana"/>
          <w:sz w:val="15"/>
          <w:szCs w:val="15"/>
          <w:lang w:eastAsia="en-US"/>
        </w:rPr>
        <w:t>I have read and understood the definitions of collusion, copying, plagiarism, dishonest use of data, and academic offences involving Artificial Intelligence (AI) as outlined in the Academic Integrity Policy of Xi</w:t>
      </w:r>
      <w:r w:rsidR="00011E46">
        <w:rPr>
          <w:rFonts w:ascii="Verdana" w:hAnsi="Verdana"/>
          <w:sz w:val="15"/>
          <w:szCs w:val="15"/>
          <w:lang w:eastAsia="en-US"/>
        </w:rPr>
        <w:t>’</w:t>
      </w:r>
      <w:r w:rsidRPr="007D379A">
        <w:rPr>
          <w:rFonts w:ascii="Verdana" w:hAnsi="Verdana"/>
          <w:sz w:val="15"/>
          <w:szCs w:val="15"/>
          <w:lang w:eastAsia="en-US"/>
        </w:rPr>
        <w:t>an Jiaotong</w:t>
      </w:r>
      <w:r w:rsidR="00393F7D">
        <w:rPr>
          <w:rFonts w:ascii="Verdana" w:hAnsi="Verdana"/>
          <w:sz w:val="15"/>
          <w:szCs w:val="15"/>
          <w:lang w:eastAsia="en-US"/>
        </w:rPr>
        <w:t>-</w:t>
      </w:r>
      <w:r w:rsidRPr="007D379A">
        <w:rPr>
          <w:rFonts w:ascii="Verdana" w:hAnsi="Verdana"/>
          <w:sz w:val="15"/>
          <w:szCs w:val="15"/>
          <w:lang w:eastAsia="en-US"/>
        </w:rPr>
        <w:t>Liverpool University.</w:t>
      </w:r>
    </w:p>
    <w:p w14:paraId="2921218B" w14:textId="77777777" w:rsidR="003E7924" w:rsidRPr="007D379A" w:rsidRDefault="003E7924" w:rsidP="003E7924">
      <w:pPr>
        <w:pStyle w:val="a9"/>
        <w:numPr>
          <w:ilvl w:val="0"/>
          <w:numId w:val="2"/>
        </w:numPr>
        <w:rPr>
          <w:rFonts w:ascii="Verdana" w:hAnsi="Verdana"/>
          <w:sz w:val="15"/>
          <w:szCs w:val="15"/>
          <w:lang w:eastAsia="en-US"/>
        </w:rPr>
      </w:pPr>
      <w:r w:rsidRPr="007D379A">
        <w:rPr>
          <w:rFonts w:ascii="Verdana" w:hAnsi="Verdana"/>
          <w:sz w:val="15"/>
          <w:szCs w:val="15"/>
          <w:lang w:eastAsia="en-US"/>
        </w:rPr>
        <w:t>This work is my own, original work produced specifically for this assignment. It does not misrepresent the work of another person or institution, nor does it present the work generated by AI as my own. Additionally, it is a submission that has not been previously published, or submitted to another module.</w:t>
      </w:r>
    </w:p>
    <w:p w14:paraId="7710972D" w14:textId="77777777" w:rsidR="003E7924" w:rsidRPr="007D379A" w:rsidRDefault="003E7924" w:rsidP="003E7924">
      <w:pPr>
        <w:pStyle w:val="a9"/>
        <w:numPr>
          <w:ilvl w:val="0"/>
          <w:numId w:val="2"/>
        </w:numPr>
        <w:rPr>
          <w:rFonts w:ascii="Verdana" w:hAnsi="Verdana"/>
          <w:sz w:val="15"/>
          <w:szCs w:val="15"/>
          <w:lang w:eastAsia="en-US"/>
        </w:rPr>
      </w:pPr>
      <w:r w:rsidRPr="007D379A">
        <w:rPr>
          <w:rFonts w:ascii="Verdana" w:hAnsi="Verdana"/>
          <w:sz w:val="15"/>
          <w:szCs w:val="15"/>
          <w:lang w:eastAsia="en-US"/>
        </w:rPr>
        <w:t>This work is not the product of unauthorized collaboration between myself and others.</w:t>
      </w:r>
    </w:p>
    <w:p w14:paraId="43964CE2" w14:textId="3884122E" w:rsidR="003E7924" w:rsidRPr="007D379A" w:rsidRDefault="003E7924" w:rsidP="00BF3C31">
      <w:pPr>
        <w:pStyle w:val="a9"/>
        <w:numPr>
          <w:ilvl w:val="0"/>
          <w:numId w:val="2"/>
        </w:numPr>
        <w:rPr>
          <w:rFonts w:ascii="Verdana" w:hAnsi="Verdana"/>
          <w:sz w:val="15"/>
          <w:szCs w:val="15"/>
          <w:lang w:eastAsia="en-US"/>
        </w:rPr>
      </w:pPr>
      <w:r w:rsidRPr="007D379A">
        <w:rPr>
          <w:rFonts w:ascii="Verdana" w:hAnsi="Verdana"/>
          <w:sz w:val="15"/>
          <w:szCs w:val="15"/>
          <w:lang w:eastAsia="en-US"/>
        </w:rPr>
        <w:t>This work is free of embellished or fabricated data.</w:t>
      </w:r>
    </w:p>
    <w:p w14:paraId="26E3E58B" w14:textId="6144DC55" w:rsidR="003E7924" w:rsidRPr="007D379A" w:rsidRDefault="003E7924" w:rsidP="00BF3C31">
      <w:pPr>
        <w:rPr>
          <w:rFonts w:ascii="Verdana" w:hAnsi="Verdana"/>
          <w:sz w:val="15"/>
          <w:szCs w:val="15"/>
        </w:rPr>
      </w:pPr>
      <w:r w:rsidRPr="007D379A">
        <w:rPr>
          <w:rFonts w:ascii="Verdana" w:hAnsi="Verdana"/>
          <w:sz w:val="15"/>
          <w:szCs w:val="15"/>
          <w:lang w:eastAsia="en-US"/>
        </w:rPr>
        <w:t>I understand that collusion, copying, plagiarism, dishonest use of data, academic offences involving AI, and submitting procured work are serious academic misconduct. By uploading or submitting this cover sheet, I acknowledge that I am subject to disciplinary action if I am found to have committed such acts.</w:t>
      </w:r>
    </w:p>
    <w:p w14:paraId="152D7156" w14:textId="2276FD48" w:rsidR="003E7924" w:rsidRPr="007D379A" w:rsidRDefault="003E7924" w:rsidP="00BF3C31">
      <w:pPr>
        <w:tabs>
          <w:tab w:val="left" w:pos="5378"/>
        </w:tabs>
        <w:autoSpaceDE w:val="0"/>
        <w:autoSpaceDN w:val="0"/>
        <w:spacing w:before="1" w:after="0" w:line="240" w:lineRule="auto"/>
        <w:ind w:left="340"/>
        <w:rPr>
          <w:rFonts w:ascii="Verdana" w:hAnsi="Verdana" w:cs="Verdana"/>
          <w:kern w:val="0"/>
          <w:sz w:val="20"/>
          <w:szCs w:val="22"/>
          <w14:ligatures w14:val="none"/>
        </w:rPr>
      </w:pPr>
      <w:r w:rsidRPr="007D379A">
        <w:rPr>
          <w:rFonts w:ascii="Verdana" w:eastAsia="Verdana" w:hAnsi="Verdana" w:cs="Verdana"/>
          <w:kern w:val="0"/>
          <w:sz w:val="20"/>
          <w:szCs w:val="22"/>
          <w:lang w:eastAsia="en-US"/>
          <w14:ligatures w14:val="none"/>
        </w:rPr>
        <w:t>Signature</w:t>
      </w:r>
      <w:r w:rsidRPr="007D379A">
        <w:rPr>
          <w:rFonts w:ascii="Verdana" w:eastAsia="Verdana" w:hAnsi="Verdana" w:cs="Verdana"/>
          <w:spacing w:val="-19"/>
          <w:kern w:val="0"/>
          <w:sz w:val="20"/>
          <w:szCs w:val="22"/>
          <w:lang w:eastAsia="en-US"/>
          <w14:ligatures w14:val="none"/>
        </w:rPr>
        <w:t xml:space="preserve"> </w:t>
      </w:r>
      <w:r w:rsidRPr="007D379A">
        <w:rPr>
          <w:rFonts w:ascii="Verdana" w:eastAsia="Verdana" w:hAnsi="Verdana" w:cs="Verdana"/>
          <w:kern w:val="0"/>
          <w:sz w:val="20"/>
          <w:szCs w:val="22"/>
          <w:lang w:eastAsia="en-US"/>
          <w14:ligatures w14:val="none"/>
        </w:rPr>
        <w:t>………</w:t>
      </w:r>
      <w:r w:rsidRPr="007D379A">
        <w:rPr>
          <w:rFonts w:ascii="Verdana" w:hAnsi="Verdana" w:cs="Verdana"/>
          <w:kern w:val="0"/>
          <w:sz w:val="20"/>
          <w:szCs w:val="22"/>
          <w14:ligatures w14:val="none"/>
        </w:rPr>
        <w:t>Jingwei Liu</w:t>
      </w:r>
      <w:r w:rsidRPr="007D379A">
        <w:rPr>
          <w:rFonts w:ascii="Verdana" w:eastAsia="Verdana" w:hAnsi="Verdana" w:cs="Verdana"/>
          <w:kern w:val="0"/>
          <w:sz w:val="20"/>
          <w:szCs w:val="22"/>
          <w:lang w:eastAsia="en-US"/>
          <w14:ligatures w14:val="none"/>
        </w:rPr>
        <w:t>…………………</w:t>
      </w:r>
      <w:r w:rsidRPr="007D379A">
        <w:rPr>
          <w:rFonts w:ascii="Verdana" w:eastAsia="Verdana" w:hAnsi="Verdana" w:cs="Verdana"/>
          <w:kern w:val="0"/>
          <w:sz w:val="20"/>
          <w:szCs w:val="22"/>
          <w:lang w:eastAsia="en-US"/>
          <w14:ligatures w14:val="none"/>
        </w:rPr>
        <w:tab/>
        <w:t>Date</w:t>
      </w:r>
      <w:r w:rsidRPr="007D379A">
        <w:rPr>
          <w:rFonts w:ascii="Verdana" w:eastAsia="Verdana" w:hAnsi="Verdana" w:cs="Verdana"/>
          <w:spacing w:val="-9"/>
          <w:kern w:val="0"/>
          <w:sz w:val="20"/>
          <w:szCs w:val="22"/>
          <w:lang w:eastAsia="en-US"/>
          <w14:ligatures w14:val="none"/>
        </w:rPr>
        <w:t xml:space="preserve"> </w:t>
      </w:r>
      <w:r w:rsidRPr="007D379A">
        <w:rPr>
          <w:rFonts w:ascii="Verdana" w:eastAsia="Verdana" w:hAnsi="Verdana" w:cs="Verdana"/>
          <w:kern w:val="0"/>
          <w:sz w:val="20"/>
          <w:szCs w:val="22"/>
          <w:lang w:eastAsia="en-US"/>
          <w14:ligatures w14:val="none"/>
        </w:rPr>
        <w:t>……</w:t>
      </w:r>
      <w:r w:rsidRPr="007D379A">
        <w:rPr>
          <w:rFonts w:ascii="Verdana" w:eastAsia="Verdana" w:hAnsi="Verdana" w:cs="Verdana"/>
          <w:iCs/>
          <w:kern w:val="0"/>
          <w:sz w:val="20"/>
          <w:szCs w:val="22"/>
          <w:lang w:eastAsia="en-US"/>
          <w14:ligatures w14:val="none"/>
        </w:rPr>
        <w:t>…</w:t>
      </w:r>
      <w:r w:rsidRPr="007D379A">
        <w:rPr>
          <w:rFonts w:ascii="Verdana" w:hAnsi="Verdana" w:cs="Verdana"/>
          <w:iCs/>
          <w:kern w:val="0"/>
          <w:sz w:val="20"/>
          <w:szCs w:val="22"/>
          <w14:ligatures w14:val="none"/>
        </w:rPr>
        <w:t>2026/</w:t>
      </w:r>
      <w:r w:rsidR="00D32DA1" w:rsidRPr="007D379A">
        <w:rPr>
          <w:rFonts w:ascii="Verdana" w:hAnsi="Verdana" w:cs="Verdana"/>
          <w:iCs/>
          <w:kern w:val="0"/>
          <w:sz w:val="20"/>
          <w:szCs w:val="22"/>
          <w14:ligatures w14:val="none"/>
        </w:rPr>
        <w:t>5</w:t>
      </w:r>
      <w:r w:rsidRPr="007D379A">
        <w:rPr>
          <w:rFonts w:ascii="Verdana" w:hAnsi="Verdana" w:cs="Verdana"/>
          <w:iCs/>
          <w:kern w:val="0"/>
          <w:sz w:val="20"/>
          <w:szCs w:val="22"/>
          <w14:ligatures w14:val="none"/>
        </w:rPr>
        <w:t>/</w:t>
      </w:r>
      <w:r w:rsidR="00D32DA1" w:rsidRPr="007D379A">
        <w:rPr>
          <w:rFonts w:ascii="Verdana" w:hAnsi="Verdana" w:cs="Verdana"/>
          <w:iCs/>
          <w:kern w:val="0"/>
          <w:sz w:val="20"/>
          <w:szCs w:val="22"/>
          <w14:ligatures w14:val="none"/>
        </w:rPr>
        <w:t>31</w:t>
      </w:r>
      <w:r w:rsidRPr="007D379A">
        <w:rPr>
          <w:rFonts w:ascii="Verdana" w:eastAsia="Verdana" w:hAnsi="Verdana" w:cs="Verdana"/>
          <w:iCs/>
          <w:kern w:val="0"/>
          <w:sz w:val="20"/>
          <w:szCs w:val="22"/>
          <w:lang w:eastAsia="en-US"/>
          <w14:ligatures w14:val="none"/>
        </w:rPr>
        <w:t>……</w:t>
      </w:r>
      <w:r w:rsidRPr="007D379A">
        <w:rPr>
          <w:rFonts w:ascii="Verdana" w:eastAsia="Verdana" w:hAnsi="Verdana" w:cs="Verdana"/>
          <w:kern w:val="0"/>
          <w:sz w:val="20"/>
          <w:szCs w:val="22"/>
          <w:lang w:eastAsia="en-US"/>
          <w14:ligatures w14:val="none"/>
        </w:rPr>
        <w:t>……………</w:t>
      </w:r>
    </w:p>
    <w:p w14:paraId="0B61BDF2" w14:textId="77777777" w:rsidR="003E7924" w:rsidRPr="007D379A" w:rsidRDefault="003E7924" w:rsidP="003E7924">
      <w:pPr>
        <w:autoSpaceDE w:val="0"/>
        <w:autoSpaceDN w:val="0"/>
        <w:spacing w:before="1" w:after="0" w:line="240" w:lineRule="auto"/>
        <w:rPr>
          <w:rFonts w:ascii="Verdana" w:eastAsia="Verdana" w:hAnsi="Verdana" w:cs="Verdana"/>
          <w:kern w:val="0"/>
          <w:sz w:val="12"/>
          <w:szCs w:val="20"/>
          <w:lang w:eastAsia="en-US"/>
          <w14:ligatures w14:val="none"/>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75"/>
        <w:gridCol w:w="2207"/>
        <w:gridCol w:w="2301"/>
        <w:gridCol w:w="2877"/>
      </w:tblGrid>
      <w:tr w:rsidR="003E7924" w:rsidRPr="007D379A" w14:paraId="15DB1F9B" w14:textId="77777777" w:rsidTr="00E015DF">
        <w:trPr>
          <w:trHeight w:val="484"/>
          <w:jc w:val="center"/>
        </w:trPr>
        <w:tc>
          <w:tcPr>
            <w:tcW w:w="924" w:type="pct"/>
            <w:vMerge w:val="restart"/>
          </w:tcPr>
          <w:p w14:paraId="3FC0AE40" w14:textId="77777777" w:rsidR="003E7924" w:rsidRPr="007D379A" w:rsidRDefault="003E7924" w:rsidP="003E7924">
            <w:pPr>
              <w:autoSpaceDE w:val="0"/>
              <w:autoSpaceDN w:val="0"/>
              <w:spacing w:before="122" w:after="0" w:line="240" w:lineRule="auto"/>
              <w:ind w:left="213" w:right="165"/>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For Academic Office use:</w:t>
            </w:r>
          </w:p>
        </w:tc>
        <w:tc>
          <w:tcPr>
            <w:tcW w:w="1218" w:type="pct"/>
          </w:tcPr>
          <w:p w14:paraId="5DE9B613" w14:textId="77777777" w:rsidR="003E7924" w:rsidRPr="007D379A" w:rsidRDefault="003E7924" w:rsidP="00BF3C31">
            <w:pPr>
              <w:autoSpaceDE w:val="0"/>
              <w:autoSpaceDN w:val="0"/>
              <w:spacing w:before="122" w:after="0" w:line="240" w:lineRule="auto"/>
              <w:ind w:firstLineChars="100" w:firstLine="200"/>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Date Received</w:t>
            </w:r>
          </w:p>
        </w:tc>
        <w:tc>
          <w:tcPr>
            <w:tcW w:w="1270" w:type="pct"/>
          </w:tcPr>
          <w:p w14:paraId="69FAD529" w14:textId="77777777" w:rsidR="003E7924" w:rsidRPr="007D379A" w:rsidRDefault="003E7924" w:rsidP="003E7924">
            <w:pPr>
              <w:autoSpaceDE w:val="0"/>
              <w:autoSpaceDN w:val="0"/>
              <w:spacing w:before="122" w:after="0" w:line="240" w:lineRule="auto"/>
              <w:ind w:left="112"/>
              <w:rPr>
                <w:rFonts w:ascii="Verdana" w:eastAsia="Verdana" w:hAnsi="Verdana" w:cs="Verdana"/>
                <w:kern w:val="0"/>
                <w:sz w:val="20"/>
                <w:szCs w:val="22"/>
                <w:lang w:eastAsia="en-US"/>
                <w14:ligatures w14:val="none"/>
              </w:rPr>
            </w:pPr>
            <w:r w:rsidRPr="007D379A">
              <w:rPr>
                <w:rFonts w:ascii="Verdana" w:eastAsia="Verdana" w:hAnsi="Verdana" w:cs="Verdana"/>
                <w:kern w:val="0"/>
                <w:sz w:val="20"/>
                <w:szCs w:val="22"/>
                <w:lang w:eastAsia="en-US"/>
                <w14:ligatures w14:val="none"/>
              </w:rPr>
              <w:t>Working Days Late</w:t>
            </w:r>
          </w:p>
        </w:tc>
        <w:tc>
          <w:tcPr>
            <w:tcW w:w="1588" w:type="pct"/>
          </w:tcPr>
          <w:p w14:paraId="56D07310" w14:textId="77777777" w:rsidR="003E7924" w:rsidRPr="007D379A" w:rsidRDefault="003E7924" w:rsidP="003E7924">
            <w:pPr>
              <w:autoSpaceDE w:val="0"/>
              <w:autoSpaceDN w:val="0"/>
              <w:spacing w:before="122" w:after="0" w:line="240" w:lineRule="auto"/>
              <w:ind w:left="913" w:right="893"/>
              <w:jc w:val="center"/>
              <w:rPr>
                <w:rFonts w:ascii="Verdana" w:hAnsi="Verdana" w:cs="Verdana"/>
                <w:kern w:val="0"/>
                <w:sz w:val="13"/>
                <w:szCs w:val="22"/>
                <w14:ligatures w14:val="none"/>
              </w:rPr>
            </w:pPr>
            <w:r w:rsidRPr="007D379A">
              <w:rPr>
                <w:rFonts w:ascii="Verdana" w:eastAsia="Verdana" w:hAnsi="Verdana" w:cs="Verdana"/>
                <w:kern w:val="0"/>
                <w:sz w:val="20"/>
                <w:szCs w:val="22"/>
                <w:lang w:eastAsia="en-US"/>
                <w14:ligatures w14:val="none"/>
              </w:rPr>
              <w:t>Penalty</w:t>
            </w:r>
            <w:hyperlink w:anchor="_bookmark0" w:history="1">
              <w:r w:rsidRPr="007D379A">
                <w:rPr>
                  <w:rFonts w:ascii="Verdana" w:eastAsia="Verdana" w:hAnsi="Verdana" w:cs="Verdana"/>
                  <w:kern w:val="0"/>
                  <w:position w:val="7"/>
                  <w:sz w:val="13"/>
                  <w:szCs w:val="22"/>
                  <w:lang w:eastAsia="en-US"/>
                  <w14:ligatures w14:val="none"/>
                </w:rPr>
                <w:t>1</w:t>
              </w:r>
            </w:hyperlink>
          </w:p>
        </w:tc>
      </w:tr>
      <w:tr w:rsidR="003E7924" w:rsidRPr="007D379A" w14:paraId="0B8AC975" w14:textId="77777777" w:rsidTr="00E015DF">
        <w:trPr>
          <w:trHeight w:val="481"/>
          <w:jc w:val="center"/>
        </w:trPr>
        <w:tc>
          <w:tcPr>
            <w:tcW w:w="924" w:type="pct"/>
            <w:vMerge/>
            <w:tcBorders>
              <w:top w:val="nil"/>
            </w:tcBorders>
          </w:tcPr>
          <w:p w14:paraId="12583B47" w14:textId="77777777" w:rsidR="003E7924" w:rsidRPr="007D379A" w:rsidRDefault="003E7924" w:rsidP="003E7924">
            <w:pPr>
              <w:autoSpaceDE w:val="0"/>
              <w:autoSpaceDN w:val="0"/>
              <w:spacing w:after="0" w:line="240" w:lineRule="auto"/>
              <w:rPr>
                <w:rFonts w:ascii="Verdana" w:eastAsia="Verdana" w:hAnsi="Verdana" w:cs="Verdana"/>
                <w:kern w:val="0"/>
                <w:sz w:val="2"/>
                <w:szCs w:val="2"/>
                <w:lang w:eastAsia="en-US"/>
                <w14:ligatures w14:val="none"/>
              </w:rPr>
            </w:pPr>
          </w:p>
        </w:tc>
        <w:tc>
          <w:tcPr>
            <w:tcW w:w="1218" w:type="pct"/>
          </w:tcPr>
          <w:p w14:paraId="5DE6CE96" w14:textId="77777777" w:rsidR="003E7924" w:rsidRPr="007D379A" w:rsidRDefault="003E7924" w:rsidP="003E7924">
            <w:pPr>
              <w:autoSpaceDE w:val="0"/>
              <w:autoSpaceDN w:val="0"/>
              <w:spacing w:after="0" w:line="240" w:lineRule="auto"/>
              <w:rPr>
                <w:rFonts w:ascii="Verdana" w:eastAsia="Verdana" w:hAnsi="Verdana" w:cs="Verdana"/>
                <w:kern w:val="0"/>
                <w:sz w:val="20"/>
                <w:szCs w:val="22"/>
                <w:lang w:eastAsia="en-US"/>
                <w14:ligatures w14:val="none"/>
              </w:rPr>
            </w:pPr>
          </w:p>
        </w:tc>
        <w:tc>
          <w:tcPr>
            <w:tcW w:w="1270" w:type="pct"/>
          </w:tcPr>
          <w:p w14:paraId="7A902861" w14:textId="77777777" w:rsidR="003E7924" w:rsidRPr="007D379A" w:rsidRDefault="003E7924" w:rsidP="003E7924">
            <w:pPr>
              <w:autoSpaceDE w:val="0"/>
              <w:autoSpaceDN w:val="0"/>
              <w:spacing w:after="0" w:line="240" w:lineRule="auto"/>
              <w:rPr>
                <w:rFonts w:ascii="Verdana" w:eastAsia="Verdana" w:hAnsi="Verdana" w:cs="Verdana"/>
                <w:kern w:val="0"/>
                <w:sz w:val="20"/>
                <w:szCs w:val="22"/>
                <w:lang w:eastAsia="en-US"/>
                <w14:ligatures w14:val="none"/>
              </w:rPr>
            </w:pPr>
          </w:p>
        </w:tc>
        <w:tc>
          <w:tcPr>
            <w:tcW w:w="1588" w:type="pct"/>
          </w:tcPr>
          <w:p w14:paraId="076A13EB" w14:textId="77777777" w:rsidR="003E7924" w:rsidRPr="007D379A" w:rsidRDefault="003E7924" w:rsidP="003E7924">
            <w:pPr>
              <w:autoSpaceDE w:val="0"/>
              <w:autoSpaceDN w:val="0"/>
              <w:spacing w:after="0" w:line="240" w:lineRule="auto"/>
              <w:rPr>
                <w:rFonts w:ascii="Verdana" w:eastAsia="Verdana" w:hAnsi="Verdana" w:cs="Verdana"/>
                <w:kern w:val="0"/>
                <w:sz w:val="20"/>
                <w:szCs w:val="22"/>
                <w:lang w:eastAsia="en-US"/>
                <w14:ligatures w14:val="none"/>
              </w:rPr>
            </w:pPr>
          </w:p>
        </w:tc>
      </w:tr>
    </w:tbl>
    <w:p w14:paraId="7F2A6E09" w14:textId="77777777" w:rsidR="00086C5C" w:rsidRPr="007D379A" w:rsidRDefault="00086C5C" w:rsidP="00086C5C">
      <w:pPr>
        <w:autoSpaceDE w:val="0"/>
        <w:autoSpaceDN w:val="0"/>
        <w:spacing w:before="11" w:after="0" w:line="240" w:lineRule="auto"/>
        <w:rPr>
          <w:rFonts w:ascii="Verdana" w:hAnsi="Verdana" w:cs="Verdana"/>
          <w:kern w:val="0"/>
          <w:position w:val="7"/>
          <w:sz w:val="13"/>
          <w:szCs w:val="22"/>
          <w14:ligatures w14:val="none"/>
        </w:rPr>
      </w:pPr>
    </w:p>
    <w:p w14:paraId="0CBC5162" w14:textId="0B4C0A0E" w:rsidR="003E7924" w:rsidRPr="007D379A" w:rsidRDefault="003E7924" w:rsidP="00086C5C">
      <w:pPr>
        <w:autoSpaceDE w:val="0"/>
        <w:autoSpaceDN w:val="0"/>
        <w:spacing w:before="11" w:after="0" w:line="240" w:lineRule="auto"/>
        <w:rPr>
          <w:rFonts w:ascii="Verdana" w:eastAsia="Verdana" w:hAnsi="Verdana" w:cs="Verdana"/>
          <w:kern w:val="0"/>
          <w:sz w:val="16"/>
          <w:szCs w:val="22"/>
          <w:lang w:eastAsia="en-US"/>
          <w14:ligatures w14:val="none"/>
        </w:rPr>
      </w:pPr>
      <w:r w:rsidRPr="007D379A">
        <w:rPr>
          <w:rFonts w:ascii="Verdana" w:eastAsia="Verdana" w:hAnsi="Verdana" w:cs="Verdana"/>
          <w:noProof/>
          <w:kern w:val="0"/>
          <w:sz w:val="20"/>
          <w:szCs w:val="20"/>
          <w:lang w:eastAsia="en-US"/>
          <w14:ligatures w14:val="none"/>
        </w:rPr>
        <mc:AlternateContent>
          <mc:Choice Requires="wps">
            <w:drawing>
              <wp:anchor distT="0" distB="0" distL="0" distR="0" simplePos="0" relativeHeight="251665408" behindDoc="1" locked="0" layoutInCell="1" allowOverlap="1" wp14:anchorId="3EF0ED03" wp14:editId="62D3ABF4">
                <wp:simplePos x="0" y="0"/>
                <wp:positionH relativeFrom="page">
                  <wp:posOffset>850265</wp:posOffset>
                </wp:positionH>
                <wp:positionV relativeFrom="paragraph">
                  <wp:posOffset>109220</wp:posOffset>
                </wp:positionV>
                <wp:extent cx="1828800" cy="7620"/>
                <wp:effectExtent l="2540" t="3810" r="0" b="0"/>
                <wp:wrapTopAndBottom/>
                <wp:docPr id="247467266"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87C95A" id="矩形 2" o:spid="_x0000_s1026" style="position:absolute;margin-left:66.95pt;margin-top:8.6pt;width:2in;height:.6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" fillcolor="black" stroked="f">
                <w10:wrap type="topAndBottom" anchorx="page"/>
              </v:rect>
            </w:pict>
          </mc:Fallback>
        </mc:AlternateContent>
      </w:r>
      <w:bookmarkStart w:id="0" w:name="_bookmark0"/>
      <w:bookmarkEnd w:id="0"/>
      <w:r w:rsidRPr="007D379A">
        <w:rPr>
          <w:rFonts w:ascii="Verdana" w:eastAsia="Verdana" w:hAnsi="Verdana" w:cs="Verdana"/>
          <w:kern w:val="0"/>
          <w:position w:val="7"/>
          <w:sz w:val="13"/>
          <w:szCs w:val="22"/>
          <w:lang w:eastAsia="en-US"/>
          <w14:ligatures w14:val="none"/>
        </w:rPr>
        <w:t xml:space="preserve">1 </w:t>
      </w:r>
      <w:r w:rsidRPr="007D379A">
        <w:rPr>
          <w:rFonts w:ascii="Verdana" w:eastAsia="Verdana" w:hAnsi="Verdana" w:cs="Verdana"/>
          <w:kern w:val="0"/>
          <w:sz w:val="16"/>
          <w:szCs w:val="22"/>
          <w:lang w:eastAsia="en-US"/>
          <w14:ligatures w14:val="none"/>
        </w:rPr>
        <w:t xml:space="preserve">Please refer to clause 43 (i), (ii) and (iii) of the Code of Practice on Assessment for the standard system of penalties for the late submission of assessment work based on </w:t>
      </w:r>
      <w:r w:rsidRPr="007D379A">
        <w:rPr>
          <w:rFonts w:ascii="Verdana" w:eastAsia="Verdana" w:hAnsi="Verdana" w:cs="Verdana"/>
          <w:b/>
          <w:kern w:val="0"/>
          <w:sz w:val="16"/>
          <w:szCs w:val="22"/>
          <w:lang w:eastAsia="en-US"/>
          <w14:ligatures w14:val="none"/>
        </w:rPr>
        <w:t>working days</w:t>
      </w:r>
      <w:r w:rsidRPr="007D379A">
        <w:rPr>
          <w:rFonts w:ascii="Verdana" w:eastAsia="Verdana" w:hAnsi="Verdana" w:cs="Verdana"/>
          <w:kern w:val="0"/>
          <w:sz w:val="16"/>
          <w:szCs w:val="22"/>
          <w:lang w:eastAsia="en-US"/>
          <w14:ligatures w14:val="none"/>
        </w:rPr>
        <w:t>.</w:t>
      </w:r>
    </w:p>
    <w:p w14:paraId="4B3A9097" w14:textId="338D3100" w:rsidR="003E7924" w:rsidRPr="00815660" w:rsidRDefault="00086C5C" w:rsidP="00502470">
      <w:pPr>
        <w:tabs>
          <w:tab w:val="left" w:pos="4536"/>
        </w:tabs>
        <w:spacing w:line="360" w:lineRule="auto"/>
        <w:jc w:val="center"/>
        <w:rPr>
          <w:rFonts w:ascii="Times New Roman" w:hAnsi="Times New Roman" w:cs="Times New Roman"/>
          <w:b/>
          <w:bCs/>
          <w:sz w:val="28"/>
          <w:szCs w:val="28"/>
        </w:rPr>
      </w:pPr>
      <w:r w:rsidRPr="00815660">
        <w:rPr>
          <w:rFonts w:ascii="Times New Roman" w:hAnsi="Times New Roman" w:cs="Times New Roman"/>
          <w:b/>
          <w:bCs/>
          <w:sz w:val="28"/>
          <w:szCs w:val="28"/>
        </w:rPr>
        <w:lastRenderedPageBreak/>
        <w:t>Table of Contents</w:t>
      </w:r>
    </w:p>
    <w:p w14:paraId="2BAF0B4A" w14:textId="53358DA2" w:rsidR="00DD2FA1" w:rsidRPr="005107DB" w:rsidRDefault="009221EE" w:rsidP="00502470">
      <w:pPr>
        <w:pStyle w:val="TOC1"/>
        <w:tabs>
          <w:tab w:val="right" w:leader="dot" w:pos="9060"/>
        </w:tabs>
        <w:spacing w:line="360" w:lineRule="auto"/>
        <w:rPr>
          <w:rFonts w:ascii="Times New Roman" w:hAnsi="Times New Roman" w:cs="Times New Roman"/>
          <w:noProof/>
          <w:sz w:val="24"/>
          <w:lang w:val="en-US"/>
        </w:rPr>
      </w:pPr>
      <w:r w:rsidRPr="005107DB">
        <w:rPr>
          <w:rFonts w:ascii="Times New Roman" w:hAnsi="Times New Roman" w:cs="Times New Roman"/>
          <w:b/>
          <w:bCs/>
          <w:sz w:val="24"/>
        </w:rPr>
        <w:fldChar w:fldCharType="begin"/>
      </w:r>
      <w:r w:rsidRPr="005107DB">
        <w:rPr>
          <w:rFonts w:ascii="Times New Roman" w:hAnsi="Times New Roman" w:cs="Times New Roman"/>
          <w:b/>
          <w:bCs/>
          <w:sz w:val="24"/>
        </w:rPr>
        <w:instrText xml:space="preserve"> TOC \o "1-4" \h \z \u </w:instrText>
      </w:r>
      <w:r w:rsidRPr="005107DB">
        <w:rPr>
          <w:rFonts w:ascii="Times New Roman" w:hAnsi="Times New Roman" w:cs="Times New Roman"/>
          <w:b/>
          <w:bCs/>
          <w:sz w:val="24"/>
        </w:rPr>
        <w:fldChar w:fldCharType="separate"/>
      </w:r>
      <w:hyperlink w:anchor="_Toc230578727" w:history="1">
        <w:r w:rsidR="00DD2FA1" w:rsidRPr="005107DB">
          <w:rPr>
            <w:rStyle w:val="af2"/>
            <w:rFonts w:ascii="Times New Roman" w:hAnsi="Times New Roman" w:cs="Times New Roman"/>
            <w:b/>
            <w:bCs/>
            <w:noProof/>
            <w:sz w:val="24"/>
          </w:rPr>
          <w:t>Section 1: Introduction</w:t>
        </w:r>
        <w:r w:rsidR="00DD2FA1" w:rsidRPr="005107DB">
          <w:rPr>
            <w:rFonts w:ascii="Times New Roman" w:hAnsi="Times New Roman" w:cs="Times New Roman"/>
            <w:noProof/>
            <w:webHidden/>
            <w:sz w:val="24"/>
          </w:rPr>
          <w:tab/>
        </w:r>
        <w:r w:rsidR="00DD2FA1" w:rsidRPr="005107DB">
          <w:rPr>
            <w:rFonts w:ascii="Times New Roman" w:hAnsi="Times New Roman" w:cs="Times New Roman"/>
            <w:noProof/>
            <w:webHidden/>
            <w:sz w:val="24"/>
          </w:rPr>
          <w:fldChar w:fldCharType="begin"/>
        </w:r>
        <w:r w:rsidR="00DD2FA1" w:rsidRPr="005107DB">
          <w:rPr>
            <w:rFonts w:ascii="Times New Roman" w:hAnsi="Times New Roman" w:cs="Times New Roman"/>
            <w:noProof/>
            <w:webHidden/>
            <w:sz w:val="24"/>
          </w:rPr>
          <w:instrText xml:space="preserve"> PAGEREF _Toc230578727 \h </w:instrText>
        </w:r>
        <w:r w:rsidR="00DD2FA1" w:rsidRPr="005107DB">
          <w:rPr>
            <w:rFonts w:ascii="Times New Roman" w:hAnsi="Times New Roman" w:cs="Times New Roman"/>
            <w:noProof/>
            <w:webHidden/>
            <w:sz w:val="24"/>
          </w:rPr>
        </w:r>
        <w:r w:rsidR="00DD2FA1" w:rsidRPr="005107DB">
          <w:rPr>
            <w:rFonts w:ascii="Times New Roman" w:hAnsi="Times New Roman" w:cs="Times New Roman"/>
            <w:noProof/>
            <w:webHidden/>
            <w:sz w:val="24"/>
          </w:rPr>
          <w:fldChar w:fldCharType="separate"/>
        </w:r>
        <w:r w:rsidR="004932BC">
          <w:rPr>
            <w:rFonts w:ascii="Times New Roman" w:hAnsi="Times New Roman" w:cs="Times New Roman"/>
            <w:noProof/>
            <w:webHidden/>
            <w:sz w:val="24"/>
          </w:rPr>
          <w:t>5</w:t>
        </w:r>
        <w:r w:rsidR="00DD2FA1" w:rsidRPr="005107DB">
          <w:rPr>
            <w:rFonts w:ascii="Times New Roman" w:hAnsi="Times New Roman" w:cs="Times New Roman"/>
            <w:noProof/>
            <w:webHidden/>
            <w:sz w:val="24"/>
          </w:rPr>
          <w:fldChar w:fldCharType="end"/>
        </w:r>
      </w:hyperlink>
    </w:p>
    <w:p w14:paraId="7550D891" w14:textId="31036AFD" w:rsidR="00DD2FA1" w:rsidRPr="005107DB" w:rsidRDefault="00DD2FA1" w:rsidP="00502470">
      <w:pPr>
        <w:pStyle w:val="TOC1"/>
        <w:tabs>
          <w:tab w:val="right" w:leader="dot" w:pos="9060"/>
        </w:tabs>
        <w:spacing w:line="360" w:lineRule="auto"/>
        <w:rPr>
          <w:rFonts w:ascii="Times New Roman" w:hAnsi="Times New Roman" w:cs="Times New Roman"/>
          <w:b/>
          <w:bCs/>
          <w:noProof/>
          <w:sz w:val="24"/>
          <w:lang w:val="en-US"/>
        </w:rPr>
      </w:pPr>
      <w:hyperlink w:anchor="_Toc230578728" w:history="1">
        <w:r w:rsidRPr="005107DB">
          <w:rPr>
            <w:rStyle w:val="af2"/>
            <w:rFonts w:ascii="Times New Roman" w:hAnsi="Times New Roman" w:cs="Times New Roman"/>
            <w:b/>
            <w:bCs/>
            <w:noProof/>
            <w:sz w:val="24"/>
          </w:rPr>
          <w:t>Section 2: Financial Performance Analysis of Sinopec Group</w:t>
        </w:r>
        <w:r w:rsidRPr="005107DB">
          <w:rPr>
            <w:rFonts w:ascii="Times New Roman" w:hAnsi="Times New Roman" w:cs="Times New Roman"/>
            <w:noProof/>
            <w:webHidden/>
            <w:sz w:val="24"/>
          </w:rPr>
          <w:tab/>
        </w:r>
        <w:r w:rsidRPr="005107DB">
          <w:rPr>
            <w:rFonts w:ascii="Times New Roman" w:hAnsi="Times New Roman" w:cs="Times New Roman"/>
            <w:noProof/>
            <w:webHidden/>
            <w:sz w:val="24"/>
          </w:rPr>
          <w:fldChar w:fldCharType="begin"/>
        </w:r>
        <w:r w:rsidRPr="005107DB">
          <w:rPr>
            <w:rFonts w:ascii="Times New Roman" w:hAnsi="Times New Roman" w:cs="Times New Roman"/>
            <w:noProof/>
            <w:webHidden/>
            <w:sz w:val="24"/>
          </w:rPr>
          <w:instrText xml:space="preserve"> PAGEREF _Toc230578728 \h </w:instrText>
        </w:r>
        <w:r w:rsidRPr="005107DB">
          <w:rPr>
            <w:rFonts w:ascii="Times New Roman" w:hAnsi="Times New Roman" w:cs="Times New Roman"/>
            <w:noProof/>
            <w:webHidden/>
            <w:sz w:val="24"/>
          </w:rPr>
        </w:r>
        <w:r w:rsidRPr="005107DB">
          <w:rPr>
            <w:rFonts w:ascii="Times New Roman" w:hAnsi="Times New Roman" w:cs="Times New Roman"/>
            <w:noProof/>
            <w:webHidden/>
            <w:sz w:val="24"/>
          </w:rPr>
          <w:fldChar w:fldCharType="separate"/>
        </w:r>
        <w:r w:rsidR="004932BC">
          <w:rPr>
            <w:rFonts w:ascii="Times New Roman" w:hAnsi="Times New Roman" w:cs="Times New Roman"/>
            <w:noProof/>
            <w:webHidden/>
            <w:sz w:val="24"/>
          </w:rPr>
          <w:t>7</w:t>
        </w:r>
        <w:r w:rsidRPr="005107DB">
          <w:rPr>
            <w:rFonts w:ascii="Times New Roman" w:hAnsi="Times New Roman" w:cs="Times New Roman"/>
            <w:noProof/>
            <w:webHidden/>
            <w:sz w:val="24"/>
          </w:rPr>
          <w:fldChar w:fldCharType="end"/>
        </w:r>
      </w:hyperlink>
    </w:p>
    <w:p w14:paraId="399125D7" w14:textId="0EFF98E8" w:rsidR="00DD2FA1" w:rsidRPr="005107DB" w:rsidRDefault="00DD2FA1" w:rsidP="00502470">
      <w:pPr>
        <w:pStyle w:val="TOC2"/>
        <w:tabs>
          <w:tab w:val="right" w:leader="dot" w:pos="9060"/>
        </w:tabs>
        <w:spacing w:line="360" w:lineRule="auto"/>
        <w:ind w:left="440"/>
        <w:rPr>
          <w:rFonts w:ascii="Times New Roman" w:hAnsi="Times New Roman" w:cs="Times New Roman"/>
          <w:noProof/>
          <w:sz w:val="24"/>
          <w:lang w:val="en-US"/>
        </w:rPr>
      </w:pPr>
      <w:hyperlink w:anchor="_Toc230578729" w:history="1">
        <w:r w:rsidRPr="005107DB">
          <w:rPr>
            <w:rStyle w:val="af2"/>
            <w:rFonts w:ascii="Times New Roman" w:hAnsi="Times New Roman" w:cs="Times New Roman"/>
            <w:noProof/>
            <w:sz w:val="24"/>
          </w:rPr>
          <w:t>2.1 Profitability</w:t>
        </w:r>
        <w:r w:rsidRPr="005107DB">
          <w:rPr>
            <w:rFonts w:ascii="Times New Roman" w:hAnsi="Times New Roman" w:cs="Times New Roman"/>
            <w:noProof/>
            <w:webHidden/>
            <w:sz w:val="24"/>
          </w:rPr>
          <w:tab/>
        </w:r>
        <w:r w:rsidRPr="005107DB">
          <w:rPr>
            <w:rFonts w:ascii="Times New Roman" w:hAnsi="Times New Roman" w:cs="Times New Roman"/>
            <w:noProof/>
            <w:webHidden/>
            <w:sz w:val="24"/>
          </w:rPr>
          <w:fldChar w:fldCharType="begin"/>
        </w:r>
        <w:r w:rsidRPr="005107DB">
          <w:rPr>
            <w:rFonts w:ascii="Times New Roman" w:hAnsi="Times New Roman" w:cs="Times New Roman"/>
            <w:noProof/>
            <w:webHidden/>
            <w:sz w:val="24"/>
          </w:rPr>
          <w:instrText xml:space="preserve"> PAGEREF _Toc230578729 \h </w:instrText>
        </w:r>
        <w:r w:rsidRPr="005107DB">
          <w:rPr>
            <w:rFonts w:ascii="Times New Roman" w:hAnsi="Times New Roman" w:cs="Times New Roman"/>
            <w:noProof/>
            <w:webHidden/>
            <w:sz w:val="24"/>
          </w:rPr>
        </w:r>
        <w:r w:rsidRPr="005107DB">
          <w:rPr>
            <w:rFonts w:ascii="Times New Roman" w:hAnsi="Times New Roman" w:cs="Times New Roman"/>
            <w:noProof/>
            <w:webHidden/>
            <w:sz w:val="24"/>
          </w:rPr>
          <w:fldChar w:fldCharType="separate"/>
        </w:r>
        <w:r w:rsidR="004932BC">
          <w:rPr>
            <w:rFonts w:ascii="Times New Roman" w:hAnsi="Times New Roman" w:cs="Times New Roman"/>
            <w:noProof/>
            <w:webHidden/>
            <w:sz w:val="24"/>
          </w:rPr>
          <w:t>7</w:t>
        </w:r>
        <w:r w:rsidRPr="005107DB">
          <w:rPr>
            <w:rFonts w:ascii="Times New Roman" w:hAnsi="Times New Roman" w:cs="Times New Roman"/>
            <w:noProof/>
            <w:webHidden/>
            <w:sz w:val="24"/>
          </w:rPr>
          <w:fldChar w:fldCharType="end"/>
        </w:r>
      </w:hyperlink>
    </w:p>
    <w:p w14:paraId="106589FE" w14:textId="2B235FAA" w:rsidR="00DD2FA1" w:rsidRPr="005107DB" w:rsidRDefault="00DD2FA1" w:rsidP="00502470">
      <w:pPr>
        <w:pStyle w:val="TOC2"/>
        <w:tabs>
          <w:tab w:val="right" w:leader="dot" w:pos="9060"/>
        </w:tabs>
        <w:spacing w:line="360" w:lineRule="auto"/>
        <w:ind w:left="440"/>
        <w:rPr>
          <w:rFonts w:ascii="Times New Roman" w:hAnsi="Times New Roman" w:cs="Times New Roman"/>
          <w:noProof/>
          <w:sz w:val="24"/>
          <w:lang w:val="en-US"/>
        </w:rPr>
      </w:pPr>
      <w:hyperlink w:anchor="_Toc230578730" w:history="1">
        <w:r w:rsidRPr="005107DB">
          <w:rPr>
            <w:rStyle w:val="af2"/>
            <w:rFonts w:ascii="Times New Roman" w:hAnsi="Times New Roman" w:cs="Times New Roman"/>
            <w:noProof/>
            <w:sz w:val="24"/>
          </w:rPr>
          <w:t>2.2 Liquidity</w:t>
        </w:r>
        <w:r w:rsidRPr="005107DB">
          <w:rPr>
            <w:rFonts w:ascii="Times New Roman" w:hAnsi="Times New Roman" w:cs="Times New Roman"/>
            <w:noProof/>
            <w:webHidden/>
            <w:sz w:val="24"/>
          </w:rPr>
          <w:tab/>
        </w:r>
        <w:r w:rsidRPr="005107DB">
          <w:rPr>
            <w:rFonts w:ascii="Times New Roman" w:hAnsi="Times New Roman" w:cs="Times New Roman"/>
            <w:noProof/>
            <w:webHidden/>
            <w:sz w:val="24"/>
          </w:rPr>
          <w:fldChar w:fldCharType="begin"/>
        </w:r>
        <w:r w:rsidRPr="005107DB">
          <w:rPr>
            <w:rFonts w:ascii="Times New Roman" w:hAnsi="Times New Roman" w:cs="Times New Roman"/>
            <w:noProof/>
            <w:webHidden/>
            <w:sz w:val="24"/>
          </w:rPr>
          <w:instrText xml:space="preserve"> PAGEREF _Toc230578730 \h </w:instrText>
        </w:r>
        <w:r w:rsidRPr="005107DB">
          <w:rPr>
            <w:rFonts w:ascii="Times New Roman" w:hAnsi="Times New Roman" w:cs="Times New Roman"/>
            <w:noProof/>
            <w:webHidden/>
            <w:sz w:val="24"/>
          </w:rPr>
        </w:r>
        <w:r w:rsidRPr="005107DB">
          <w:rPr>
            <w:rFonts w:ascii="Times New Roman" w:hAnsi="Times New Roman" w:cs="Times New Roman"/>
            <w:noProof/>
            <w:webHidden/>
            <w:sz w:val="24"/>
          </w:rPr>
          <w:fldChar w:fldCharType="separate"/>
        </w:r>
        <w:r w:rsidR="004932BC">
          <w:rPr>
            <w:rFonts w:ascii="Times New Roman" w:hAnsi="Times New Roman" w:cs="Times New Roman"/>
            <w:noProof/>
            <w:webHidden/>
            <w:sz w:val="24"/>
          </w:rPr>
          <w:t>9</w:t>
        </w:r>
        <w:r w:rsidRPr="005107DB">
          <w:rPr>
            <w:rFonts w:ascii="Times New Roman" w:hAnsi="Times New Roman" w:cs="Times New Roman"/>
            <w:noProof/>
            <w:webHidden/>
            <w:sz w:val="24"/>
          </w:rPr>
          <w:fldChar w:fldCharType="end"/>
        </w:r>
      </w:hyperlink>
    </w:p>
    <w:p w14:paraId="226B836E" w14:textId="3C600653" w:rsidR="00DD2FA1" w:rsidRPr="005107DB" w:rsidRDefault="00DD2FA1" w:rsidP="00502470">
      <w:pPr>
        <w:pStyle w:val="TOC2"/>
        <w:tabs>
          <w:tab w:val="right" w:leader="dot" w:pos="9060"/>
        </w:tabs>
        <w:spacing w:line="360" w:lineRule="auto"/>
        <w:ind w:left="440"/>
        <w:rPr>
          <w:rFonts w:ascii="Times New Roman" w:hAnsi="Times New Roman" w:cs="Times New Roman"/>
          <w:noProof/>
          <w:sz w:val="24"/>
          <w:lang w:val="en-US"/>
        </w:rPr>
      </w:pPr>
      <w:hyperlink w:anchor="_Toc230578731" w:history="1">
        <w:r w:rsidRPr="005107DB">
          <w:rPr>
            <w:rStyle w:val="af2"/>
            <w:rFonts w:ascii="Times New Roman" w:hAnsi="Times New Roman" w:cs="Times New Roman"/>
            <w:noProof/>
            <w:sz w:val="24"/>
          </w:rPr>
          <w:t>2.3 Solvency</w:t>
        </w:r>
        <w:r w:rsidRPr="005107DB">
          <w:rPr>
            <w:rFonts w:ascii="Times New Roman" w:hAnsi="Times New Roman" w:cs="Times New Roman"/>
            <w:noProof/>
            <w:webHidden/>
            <w:sz w:val="24"/>
          </w:rPr>
          <w:tab/>
        </w:r>
        <w:r w:rsidRPr="005107DB">
          <w:rPr>
            <w:rFonts w:ascii="Times New Roman" w:hAnsi="Times New Roman" w:cs="Times New Roman"/>
            <w:noProof/>
            <w:webHidden/>
            <w:sz w:val="24"/>
          </w:rPr>
          <w:fldChar w:fldCharType="begin"/>
        </w:r>
        <w:r w:rsidRPr="005107DB">
          <w:rPr>
            <w:rFonts w:ascii="Times New Roman" w:hAnsi="Times New Roman" w:cs="Times New Roman"/>
            <w:noProof/>
            <w:webHidden/>
            <w:sz w:val="24"/>
          </w:rPr>
          <w:instrText xml:space="preserve"> PAGEREF _Toc230578731 \h </w:instrText>
        </w:r>
        <w:r w:rsidRPr="005107DB">
          <w:rPr>
            <w:rFonts w:ascii="Times New Roman" w:hAnsi="Times New Roman" w:cs="Times New Roman"/>
            <w:noProof/>
            <w:webHidden/>
            <w:sz w:val="24"/>
          </w:rPr>
        </w:r>
        <w:r w:rsidRPr="005107DB">
          <w:rPr>
            <w:rFonts w:ascii="Times New Roman" w:hAnsi="Times New Roman" w:cs="Times New Roman"/>
            <w:noProof/>
            <w:webHidden/>
            <w:sz w:val="24"/>
          </w:rPr>
          <w:fldChar w:fldCharType="separate"/>
        </w:r>
        <w:r w:rsidR="004932BC">
          <w:rPr>
            <w:rFonts w:ascii="Times New Roman" w:hAnsi="Times New Roman" w:cs="Times New Roman"/>
            <w:noProof/>
            <w:webHidden/>
            <w:sz w:val="24"/>
          </w:rPr>
          <w:t>11</w:t>
        </w:r>
        <w:r w:rsidRPr="005107DB">
          <w:rPr>
            <w:rFonts w:ascii="Times New Roman" w:hAnsi="Times New Roman" w:cs="Times New Roman"/>
            <w:noProof/>
            <w:webHidden/>
            <w:sz w:val="24"/>
          </w:rPr>
          <w:fldChar w:fldCharType="end"/>
        </w:r>
      </w:hyperlink>
    </w:p>
    <w:p w14:paraId="119DE89B" w14:textId="00C131AB" w:rsidR="00DD2FA1" w:rsidRPr="005107DB" w:rsidRDefault="00DD2FA1" w:rsidP="00502470">
      <w:pPr>
        <w:pStyle w:val="TOC2"/>
        <w:tabs>
          <w:tab w:val="right" w:leader="dot" w:pos="9060"/>
        </w:tabs>
        <w:spacing w:line="360" w:lineRule="auto"/>
        <w:ind w:left="440"/>
        <w:rPr>
          <w:rFonts w:ascii="Times New Roman" w:hAnsi="Times New Roman" w:cs="Times New Roman"/>
          <w:noProof/>
          <w:sz w:val="24"/>
          <w:lang w:val="en-US"/>
        </w:rPr>
      </w:pPr>
      <w:hyperlink w:anchor="_Toc230578732" w:history="1">
        <w:r w:rsidRPr="005107DB">
          <w:rPr>
            <w:rStyle w:val="af2"/>
            <w:rFonts w:ascii="Times New Roman" w:hAnsi="Times New Roman" w:cs="Times New Roman"/>
            <w:noProof/>
            <w:sz w:val="24"/>
          </w:rPr>
          <w:t>2.4 Efficiency</w:t>
        </w:r>
        <w:r w:rsidRPr="005107DB">
          <w:rPr>
            <w:rFonts w:ascii="Times New Roman" w:hAnsi="Times New Roman" w:cs="Times New Roman"/>
            <w:noProof/>
            <w:webHidden/>
            <w:sz w:val="24"/>
          </w:rPr>
          <w:tab/>
        </w:r>
        <w:r w:rsidRPr="005107DB">
          <w:rPr>
            <w:rFonts w:ascii="Times New Roman" w:hAnsi="Times New Roman" w:cs="Times New Roman"/>
            <w:noProof/>
            <w:webHidden/>
            <w:sz w:val="24"/>
          </w:rPr>
          <w:fldChar w:fldCharType="begin"/>
        </w:r>
        <w:r w:rsidRPr="005107DB">
          <w:rPr>
            <w:rFonts w:ascii="Times New Roman" w:hAnsi="Times New Roman" w:cs="Times New Roman"/>
            <w:noProof/>
            <w:webHidden/>
            <w:sz w:val="24"/>
          </w:rPr>
          <w:instrText xml:space="preserve"> PAGEREF _Toc230578732 \h </w:instrText>
        </w:r>
        <w:r w:rsidRPr="005107DB">
          <w:rPr>
            <w:rFonts w:ascii="Times New Roman" w:hAnsi="Times New Roman" w:cs="Times New Roman"/>
            <w:noProof/>
            <w:webHidden/>
            <w:sz w:val="24"/>
          </w:rPr>
        </w:r>
        <w:r w:rsidRPr="005107DB">
          <w:rPr>
            <w:rFonts w:ascii="Times New Roman" w:hAnsi="Times New Roman" w:cs="Times New Roman"/>
            <w:noProof/>
            <w:webHidden/>
            <w:sz w:val="24"/>
          </w:rPr>
          <w:fldChar w:fldCharType="separate"/>
        </w:r>
        <w:r w:rsidR="004932BC">
          <w:rPr>
            <w:rFonts w:ascii="Times New Roman" w:hAnsi="Times New Roman" w:cs="Times New Roman"/>
            <w:noProof/>
            <w:webHidden/>
            <w:sz w:val="24"/>
          </w:rPr>
          <w:t>13</w:t>
        </w:r>
        <w:r w:rsidRPr="005107DB">
          <w:rPr>
            <w:rFonts w:ascii="Times New Roman" w:hAnsi="Times New Roman" w:cs="Times New Roman"/>
            <w:noProof/>
            <w:webHidden/>
            <w:sz w:val="24"/>
          </w:rPr>
          <w:fldChar w:fldCharType="end"/>
        </w:r>
      </w:hyperlink>
    </w:p>
    <w:p w14:paraId="71F14D62" w14:textId="581F1B6B" w:rsidR="00DD2FA1" w:rsidRPr="005107DB" w:rsidRDefault="00DD2FA1" w:rsidP="00502470">
      <w:pPr>
        <w:pStyle w:val="TOC2"/>
        <w:tabs>
          <w:tab w:val="right" w:leader="dot" w:pos="9060"/>
        </w:tabs>
        <w:spacing w:line="360" w:lineRule="auto"/>
        <w:ind w:left="440"/>
        <w:rPr>
          <w:rFonts w:ascii="Times New Roman" w:hAnsi="Times New Roman" w:cs="Times New Roman"/>
          <w:noProof/>
          <w:sz w:val="24"/>
          <w:lang w:val="en-US"/>
        </w:rPr>
      </w:pPr>
      <w:hyperlink w:anchor="_Toc230578733" w:history="1">
        <w:r w:rsidRPr="005107DB">
          <w:rPr>
            <w:rStyle w:val="af2"/>
            <w:rFonts w:ascii="Times New Roman" w:hAnsi="Times New Roman" w:cs="Times New Roman"/>
            <w:noProof/>
            <w:sz w:val="24"/>
          </w:rPr>
          <w:t>2.5 Integrated Financial Summary</w:t>
        </w:r>
        <w:r w:rsidRPr="005107DB">
          <w:rPr>
            <w:rFonts w:ascii="Times New Roman" w:hAnsi="Times New Roman" w:cs="Times New Roman"/>
            <w:noProof/>
            <w:webHidden/>
            <w:sz w:val="24"/>
          </w:rPr>
          <w:tab/>
        </w:r>
        <w:r w:rsidRPr="005107DB">
          <w:rPr>
            <w:rFonts w:ascii="Times New Roman" w:hAnsi="Times New Roman" w:cs="Times New Roman"/>
            <w:noProof/>
            <w:webHidden/>
            <w:sz w:val="24"/>
          </w:rPr>
          <w:fldChar w:fldCharType="begin"/>
        </w:r>
        <w:r w:rsidRPr="005107DB">
          <w:rPr>
            <w:rFonts w:ascii="Times New Roman" w:hAnsi="Times New Roman" w:cs="Times New Roman"/>
            <w:noProof/>
            <w:webHidden/>
            <w:sz w:val="24"/>
          </w:rPr>
          <w:instrText xml:space="preserve"> PAGEREF _Toc230578733 \h </w:instrText>
        </w:r>
        <w:r w:rsidRPr="005107DB">
          <w:rPr>
            <w:rFonts w:ascii="Times New Roman" w:hAnsi="Times New Roman" w:cs="Times New Roman"/>
            <w:noProof/>
            <w:webHidden/>
            <w:sz w:val="24"/>
          </w:rPr>
        </w:r>
        <w:r w:rsidRPr="005107DB">
          <w:rPr>
            <w:rFonts w:ascii="Times New Roman" w:hAnsi="Times New Roman" w:cs="Times New Roman"/>
            <w:noProof/>
            <w:webHidden/>
            <w:sz w:val="24"/>
          </w:rPr>
          <w:fldChar w:fldCharType="separate"/>
        </w:r>
        <w:r w:rsidR="004932BC">
          <w:rPr>
            <w:rFonts w:ascii="Times New Roman" w:hAnsi="Times New Roman" w:cs="Times New Roman"/>
            <w:noProof/>
            <w:webHidden/>
            <w:sz w:val="24"/>
          </w:rPr>
          <w:t>14</w:t>
        </w:r>
        <w:r w:rsidRPr="005107DB">
          <w:rPr>
            <w:rFonts w:ascii="Times New Roman" w:hAnsi="Times New Roman" w:cs="Times New Roman"/>
            <w:noProof/>
            <w:webHidden/>
            <w:sz w:val="24"/>
          </w:rPr>
          <w:fldChar w:fldCharType="end"/>
        </w:r>
      </w:hyperlink>
    </w:p>
    <w:p w14:paraId="5132A8F4" w14:textId="1A2332C6" w:rsidR="00DD2FA1" w:rsidRPr="005107DB" w:rsidRDefault="00DD2FA1" w:rsidP="00502470">
      <w:pPr>
        <w:pStyle w:val="TOC1"/>
        <w:tabs>
          <w:tab w:val="right" w:leader="dot" w:pos="9060"/>
        </w:tabs>
        <w:spacing w:line="360" w:lineRule="auto"/>
        <w:rPr>
          <w:rFonts w:ascii="Times New Roman" w:hAnsi="Times New Roman" w:cs="Times New Roman"/>
          <w:b/>
          <w:bCs/>
          <w:noProof/>
          <w:sz w:val="24"/>
          <w:lang w:val="en-US"/>
        </w:rPr>
      </w:pPr>
      <w:hyperlink w:anchor="_Toc230578734" w:history="1">
        <w:r w:rsidRPr="005107DB">
          <w:rPr>
            <w:rStyle w:val="af2"/>
            <w:rFonts w:ascii="Times New Roman" w:hAnsi="Times New Roman" w:cs="Times New Roman"/>
            <w:b/>
            <w:bCs/>
            <w:noProof/>
            <w:sz w:val="24"/>
          </w:rPr>
          <w:t>Section 3: Non</w:t>
        </w:r>
        <w:r w:rsidR="00393F7D">
          <w:rPr>
            <w:rStyle w:val="af2"/>
            <w:rFonts w:ascii="Times New Roman" w:hAnsi="Times New Roman" w:cs="Times New Roman"/>
            <w:b/>
            <w:bCs/>
            <w:noProof/>
            <w:sz w:val="24"/>
          </w:rPr>
          <w:t>-</w:t>
        </w:r>
        <w:r w:rsidRPr="005107DB">
          <w:rPr>
            <w:rStyle w:val="af2"/>
            <w:rFonts w:ascii="Times New Roman" w:hAnsi="Times New Roman" w:cs="Times New Roman"/>
            <w:b/>
            <w:bCs/>
            <w:noProof/>
            <w:sz w:val="24"/>
          </w:rPr>
          <w:t>Financial (ESG) Performance Analysis</w:t>
        </w:r>
        <w:r w:rsidRPr="005107DB">
          <w:rPr>
            <w:rFonts w:ascii="Times New Roman" w:hAnsi="Times New Roman" w:cs="Times New Roman"/>
            <w:noProof/>
            <w:webHidden/>
            <w:sz w:val="24"/>
          </w:rPr>
          <w:tab/>
        </w:r>
        <w:r w:rsidRPr="005107DB">
          <w:rPr>
            <w:rFonts w:ascii="Times New Roman" w:hAnsi="Times New Roman" w:cs="Times New Roman"/>
            <w:noProof/>
            <w:webHidden/>
            <w:sz w:val="24"/>
          </w:rPr>
          <w:fldChar w:fldCharType="begin"/>
        </w:r>
        <w:r w:rsidRPr="005107DB">
          <w:rPr>
            <w:rFonts w:ascii="Times New Roman" w:hAnsi="Times New Roman" w:cs="Times New Roman"/>
            <w:noProof/>
            <w:webHidden/>
            <w:sz w:val="24"/>
          </w:rPr>
          <w:instrText xml:space="preserve"> PAGEREF _Toc230578734 \h </w:instrText>
        </w:r>
        <w:r w:rsidRPr="005107DB">
          <w:rPr>
            <w:rFonts w:ascii="Times New Roman" w:hAnsi="Times New Roman" w:cs="Times New Roman"/>
            <w:noProof/>
            <w:webHidden/>
            <w:sz w:val="24"/>
          </w:rPr>
        </w:r>
        <w:r w:rsidRPr="005107DB">
          <w:rPr>
            <w:rFonts w:ascii="Times New Roman" w:hAnsi="Times New Roman" w:cs="Times New Roman"/>
            <w:noProof/>
            <w:webHidden/>
            <w:sz w:val="24"/>
          </w:rPr>
          <w:fldChar w:fldCharType="separate"/>
        </w:r>
        <w:r w:rsidR="004932BC">
          <w:rPr>
            <w:rFonts w:ascii="Times New Roman" w:hAnsi="Times New Roman" w:cs="Times New Roman"/>
            <w:noProof/>
            <w:webHidden/>
            <w:sz w:val="24"/>
          </w:rPr>
          <w:t>15</w:t>
        </w:r>
        <w:r w:rsidRPr="005107DB">
          <w:rPr>
            <w:rFonts w:ascii="Times New Roman" w:hAnsi="Times New Roman" w:cs="Times New Roman"/>
            <w:noProof/>
            <w:webHidden/>
            <w:sz w:val="24"/>
          </w:rPr>
          <w:fldChar w:fldCharType="end"/>
        </w:r>
      </w:hyperlink>
    </w:p>
    <w:p w14:paraId="1F887854" w14:textId="55283AED" w:rsidR="00DD2FA1" w:rsidRPr="005107DB" w:rsidRDefault="00DD2FA1" w:rsidP="00502470">
      <w:pPr>
        <w:pStyle w:val="TOC2"/>
        <w:tabs>
          <w:tab w:val="right" w:leader="dot" w:pos="9060"/>
        </w:tabs>
        <w:spacing w:line="360" w:lineRule="auto"/>
        <w:ind w:left="440"/>
        <w:rPr>
          <w:rFonts w:ascii="Times New Roman" w:hAnsi="Times New Roman" w:cs="Times New Roman"/>
          <w:noProof/>
          <w:sz w:val="24"/>
          <w:lang w:val="en-US"/>
        </w:rPr>
      </w:pPr>
      <w:hyperlink w:anchor="_Toc230578735" w:history="1">
        <w:r w:rsidRPr="005107DB">
          <w:rPr>
            <w:rStyle w:val="af2"/>
            <w:rFonts w:ascii="Times New Roman" w:hAnsi="Times New Roman" w:cs="Times New Roman"/>
            <w:noProof/>
            <w:sz w:val="24"/>
          </w:rPr>
          <w:t>3.1 Environmental (E)</w:t>
        </w:r>
        <w:r w:rsidRPr="005107DB">
          <w:rPr>
            <w:rFonts w:ascii="Times New Roman" w:hAnsi="Times New Roman" w:cs="Times New Roman"/>
            <w:noProof/>
            <w:webHidden/>
            <w:sz w:val="24"/>
          </w:rPr>
          <w:tab/>
        </w:r>
        <w:r w:rsidRPr="005107DB">
          <w:rPr>
            <w:rFonts w:ascii="Times New Roman" w:hAnsi="Times New Roman" w:cs="Times New Roman"/>
            <w:noProof/>
            <w:webHidden/>
            <w:sz w:val="24"/>
          </w:rPr>
          <w:fldChar w:fldCharType="begin"/>
        </w:r>
        <w:r w:rsidRPr="005107DB">
          <w:rPr>
            <w:rFonts w:ascii="Times New Roman" w:hAnsi="Times New Roman" w:cs="Times New Roman"/>
            <w:noProof/>
            <w:webHidden/>
            <w:sz w:val="24"/>
          </w:rPr>
          <w:instrText xml:space="preserve"> PAGEREF _Toc230578735 \h </w:instrText>
        </w:r>
        <w:r w:rsidRPr="005107DB">
          <w:rPr>
            <w:rFonts w:ascii="Times New Roman" w:hAnsi="Times New Roman" w:cs="Times New Roman"/>
            <w:noProof/>
            <w:webHidden/>
            <w:sz w:val="24"/>
          </w:rPr>
        </w:r>
        <w:r w:rsidRPr="005107DB">
          <w:rPr>
            <w:rFonts w:ascii="Times New Roman" w:hAnsi="Times New Roman" w:cs="Times New Roman"/>
            <w:noProof/>
            <w:webHidden/>
            <w:sz w:val="24"/>
          </w:rPr>
          <w:fldChar w:fldCharType="separate"/>
        </w:r>
        <w:r w:rsidR="004932BC">
          <w:rPr>
            <w:rFonts w:ascii="Times New Roman" w:hAnsi="Times New Roman" w:cs="Times New Roman"/>
            <w:noProof/>
            <w:webHidden/>
            <w:sz w:val="24"/>
          </w:rPr>
          <w:t>15</w:t>
        </w:r>
        <w:r w:rsidRPr="005107DB">
          <w:rPr>
            <w:rFonts w:ascii="Times New Roman" w:hAnsi="Times New Roman" w:cs="Times New Roman"/>
            <w:noProof/>
            <w:webHidden/>
            <w:sz w:val="24"/>
          </w:rPr>
          <w:fldChar w:fldCharType="end"/>
        </w:r>
      </w:hyperlink>
    </w:p>
    <w:p w14:paraId="517CE044" w14:textId="246D087D" w:rsidR="00DD2FA1" w:rsidRPr="005107DB" w:rsidRDefault="00DD2FA1" w:rsidP="00502470">
      <w:pPr>
        <w:pStyle w:val="TOC2"/>
        <w:tabs>
          <w:tab w:val="right" w:leader="dot" w:pos="9060"/>
        </w:tabs>
        <w:spacing w:line="360" w:lineRule="auto"/>
        <w:ind w:left="440"/>
        <w:rPr>
          <w:rFonts w:ascii="Times New Roman" w:hAnsi="Times New Roman" w:cs="Times New Roman"/>
          <w:noProof/>
          <w:sz w:val="24"/>
          <w:lang w:val="en-US"/>
        </w:rPr>
      </w:pPr>
      <w:hyperlink w:anchor="_Toc230578736" w:history="1">
        <w:r w:rsidRPr="005107DB">
          <w:rPr>
            <w:rStyle w:val="af2"/>
            <w:rFonts w:ascii="Times New Roman" w:hAnsi="Times New Roman" w:cs="Times New Roman"/>
            <w:noProof/>
            <w:sz w:val="24"/>
          </w:rPr>
          <w:t>3.2 Social (S)</w:t>
        </w:r>
        <w:r w:rsidRPr="005107DB">
          <w:rPr>
            <w:rFonts w:ascii="Times New Roman" w:hAnsi="Times New Roman" w:cs="Times New Roman"/>
            <w:noProof/>
            <w:webHidden/>
            <w:sz w:val="24"/>
          </w:rPr>
          <w:tab/>
        </w:r>
        <w:r w:rsidRPr="005107DB">
          <w:rPr>
            <w:rFonts w:ascii="Times New Roman" w:hAnsi="Times New Roman" w:cs="Times New Roman"/>
            <w:noProof/>
            <w:webHidden/>
            <w:sz w:val="24"/>
          </w:rPr>
          <w:fldChar w:fldCharType="begin"/>
        </w:r>
        <w:r w:rsidRPr="005107DB">
          <w:rPr>
            <w:rFonts w:ascii="Times New Roman" w:hAnsi="Times New Roman" w:cs="Times New Roman"/>
            <w:noProof/>
            <w:webHidden/>
            <w:sz w:val="24"/>
          </w:rPr>
          <w:instrText xml:space="preserve"> PAGEREF _Toc230578736 \h </w:instrText>
        </w:r>
        <w:r w:rsidRPr="005107DB">
          <w:rPr>
            <w:rFonts w:ascii="Times New Roman" w:hAnsi="Times New Roman" w:cs="Times New Roman"/>
            <w:noProof/>
            <w:webHidden/>
            <w:sz w:val="24"/>
          </w:rPr>
        </w:r>
        <w:r w:rsidRPr="005107DB">
          <w:rPr>
            <w:rFonts w:ascii="Times New Roman" w:hAnsi="Times New Roman" w:cs="Times New Roman"/>
            <w:noProof/>
            <w:webHidden/>
            <w:sz w:val="24"/>
          </w:rPr>
          <w:fldChar w:fldCharType="separate"/>
        </w:r>
        <w:r w:rsidR="004932BC">
          <w:rPr>
            <w:rFonts w:ascii="Times New Roman" w:hAnsi="Times New Roman" w:cs="Times New Roman"/>
            <w:noProof/>
            <w:webHidden/>
            <w:sz w:val="24"/>
          </w:rPr>
          <w:t>18</w:t>
        </w:r>
        <w:r w:rsidRPr="005107DB">
          <w:rPr>
            <w:rFonts w:ascii="Times New Roman" w:hAnsi="Times New Roman" w:cs="Times New Roman"/>
            <w:noProof/>
            <w:webHidden/>
            <w:sz w:val="24"/>
          </w:rPr>
          <w:fldChar w:fldCharType="end"/>
        </w:r>
      </w:hyperlink>
    </w:p>
    <w:p w14:paraId="3EB481EC" w14:textId="0634C826" w:rsidR="00DD2FA1" w:rsidRPr="005107DB" w:rsidRDefault="00DD2FA1" w:rsidP="00502470">
      <w:pPr>
        <w:pStyle w:val="TOC2"/>
        <w:tabs>
          <w:tab w:val="right" w:leader="dot" w:pos="9060"/>
        </w:tabs>
        <w:spacing w:line="360" w:lineRule="auto"/>
        <w:ind w:left="440"/>
        <w:rPr>
          <w:rFonts w:ascii="Times New Roman" w:hAnsi="Times New Roman" w:cs="Times New Roman"/>
          <w:noProof/>
          <w:sz w:val="24"/>
          <w:lang w:val="en-US"/>
        </w:rPr>
      </w:pPr>
      <w:hyperlink w:anchor="_Toc230578737" w:history="1">
        <w:r w:rsidRPr="005107DB">
          <w:rPr>
            <w:rStyle w:val="af2"/>
            <w:rFonts w:ascii="Times New Roman" w:hAnsi="Times New Roman" w:cs="Times New Roman"/>
            <w:noProof/>
            <w:sz w:val="24"/>
          </w:rPr>
          <w:t>3.3 Governance (G)</w:t>
        </w:r>
        <w:r w:rsidRPr="005107DB">
          <w:rPr>
            <w:rFonts w:ascii="Times New Roman" w:hAnsi="Times New Roman" w:cs="Times New Roman"/>
            <w:noProof/>
            <w:webHidden/>
            <w:sz w:val="24"/>
          </w:rPr>
          <w:tab/>
        </w:r>
        <w:r w:rsidRPr="005107DB">
          <w:rPr>
            <w:rFonts w:ascii="Times New Roman" w:hAnsi="Times New Roman" w:cs="Times New Roman"/>
            <w:noProof/>
            <w:webHidden/>
            <w:sz w:val="24"/>
          </w:rPr>
          <w:fldChar w:fldCharType="begin"/>
        </w:r>
        <w:r w:rsidRPr="005107DB">
          <w:rPr>
            <w:rFonts w:ascii="Times New Roman" w:hAnsi="Times New Roman" w:cs="Times New Roman"/>
            <w:noProof/>
            <w:webHidden/>
            <w:sz w:val="24"/>
          </w:rPr>
          <w:instrText xml:space="preserve"> PAGEREF _Toc230578737 \h </w:instrText>
        </w:r>
        <w:r w:rsidRPr="005107DB">
          <w:rPr>
            <w:rFonts w:ascii="Times New Roman" w:hAnsi="Times New Roman" w:cs="Times New Roman"/>
            <w:noProof/>
            <w:webHidden/>
            <w:sz w:val="24"/>
          </w:rPr>
        </w:r>
        <w:r w:rsidRPr="005107DB">
          <w:rPr>
            <w:rFonts w:ascii="Times New Roman" w:hAnsi="Times New Roman" w:cs="Times New Roman"/>
            <w:noProof/>
            <w:webHidden/>
            <w:sz w:val="24"/>
          </w:rPr>
          <w:fldChar w:fldCharType="separate"/>
        </w:r>
        <w:r w:rsidR="004932BC">
          <w:rPr>
            <w:rFonts w:ascii="Times New Roman" w:hAnsi="Times New Roman" w:cs="Times New Roman"/>
            <w:noProof/>
            <w:webHidden/>
            <w:sz w:val="24"/>
          </w:rPr>
          <w:t>19</w:t>
        </w:r>
        <w:r w:rsidRPr="005107DB">
          <w:rPr>
            <w:rFonts w:ascii="Times New Roman" w:hAnsi="Times New Roman" w:cs="Times New Roman"/>
            <w:noProof/>
            <w:webHidden/>
            <w:sz w:val="24"/>
          </w:rPr>
          <w:fldChar w:fldCharType="end"/>
        </w:r>
      </w:hyperlink>
    </w:p>
    <w:p w14:paraId="2DE8FFD2" w14:textId="6F15E685" w:rsidR="00DD2FA1" w:rsidRPr="005107DB" w:rsidRDefault="00DD2FA1" w:rsidP="00502470">
      <w:pPr>
        <w:pStyle w:val="TOC2"/>
        <w:tabs>
          <w:tab w:val="right" w:leader="dot" w:pos="9060"/>
        </w:tabs>
        <w:spacing w:line="360" w:lineRule="auto"/>
        <w:ind w:left="440"/>
        <w:rPr>
          <w:rFonts w:ascii="Times New Roman" w:hAnsi="Times New Roman" w:cs="Times New Roman"/>
          <w:noProof/>
          <w:sz w:val="24"/>
          <w:lang w:val="en-US"/>
        </w:rPr>
      </w:pPr>
      <w:hyperlink w:anchor="_Toc230578738" w:history="1">
        <w:r w:rsidRPr="005107DB">
          <w:rPr>
            <w:rStyle w:val="af2"/>
            <w:rFonts w:ascii="Times New Roman" w:hAnsi="Times New Roman" w:cs="Times New Roman"/>
            <w:noProof/>
            <w:sz w:val="24"/>
          </w:rPr>
          <w:t>3.4 Integrated ESG Summary</w:t>
        </w:r>
        <w:r w:rsidRPr="005107DB">
          <w:rPr>
            <w:rFonts w:ascii="Times New Roman" w:hAnsi="Times New Roman" w:cs="Times New Roman"/>
            <w:noProof/>
            <w:webHidden/>
            <w:sz w:val="24"/>
          </w:rPr>
          <w:tab/>
        </w:r>
        <w:r w:rsidRPr="005107DB">
          <w:rPr>
            <w:rFonts w:ascii="Times New Roman" w:hAnsi="Times New Roman" w:cs="Times New Roman"/>
            <w:noProof/>
            <w:webHidden/>
            <w:sz w:val="24"/>
          </w:rPr>
          <w:fldChar w:fldCharType="begin"/>
        </w:r>
        <w:r w:rsidRPr="005107DB">
          <w:rPr>
            <w:rFonts w:ascii="Times New Roman" w:hAnsi="Times New Roman" w:cs="Times New Roman"/>
            <w:noProof/>
            <w:webHidden/>
            <w:sz w:val="24"/>
          </w:rPr>
          <w:instrText xml:space="preserve"> PAGEREF _Toc230578738 \h </w:instrText>
        </w:r>
        <w:r w:rsidRPr="005107DB">
          <w:rPr>
            <w:rFonts w:ascii="Times New Roman" w:hAnsi="Times New Roman" w:cs="Times New Roman"/>
            <w:noProof/>
            <w:webHidden/>
            <w:sz w:val="24"/>
          </w:rPr>
        </w:r>
        <w:r w:rsidRPr="005107DB">
          <w:rPr>
            <w:rFonts w:ascii="Times New Roman" w:hAnsi="Times New Roman" w:cs="Times New Roman"/>
            <w:noProof/>
            <w:webHidden/>
            <w:sz w:val="24"/>
          </w:rPr>
          <w:fldChar w:fldCharType="separate"/>
        </w:r>
        <w:r w:rsidR="004932BC">
          <w:rPr>
            <w:rFonts w:ascii="Times New Roman" w:hAnsi="Times New Roman" w:cs="Times New Roman"/>
            <w:noProof/>
            <w:webHidden/>
            <w:sz w:val="24"/>
          </w:rPr>
          <w:t>21</w:t>
        </w:r>
        <w:r w:rsidRPr="005107DB">
          <w:rPr>
            <w:rFonts w:ascii="Times New Roman" w:hAnsi="Times New Roman" w:cs="Times New Roman"/>
            <w:noProof/>
            <w:webHidden/>
            <w:sz w:val="24"/>
          </w:rPr>
          <w:fldChar w:fldCharType="end"/>
        </w:r>
      </w:hyperlink>
    </w:p>
    <w:p w14:paraId="5EAAE0E5" w14:textId="2916E561" w:rsidR="00DD2FA1" w:rsidRPr="005107DB" w:rsidRDefault="00DD2FA1" w:rsidP="00502470">
      <w:pPr>
        <w:pStyle w:val="TOC1"/>
        <w:tabs>
          <w:tab w:val="right" w:leader="dot" w:pos="9060"/>
        </w:tabs>
        <w:spacing w:line="360" w:lineRule="auto"/>
        <w:rPr>
          <w:rFonts w:ascii="Times New Roman" w:hAnsi="Times New Roman" w:cs="Times New Roman"/>
          <w:b/>
          <w:bCs/>
          <w:noProof/>
          <w:sz w:val="24"/>
          <w:lang w:val="en-US"/>
        </w:rPr>
      </w:pPr>
      <w:hyperlink w:anchor="_Toc230578739" w:history="1">
        <w:r w:rsidRPr="005107DB">
          <w:rPr>
            <w:rStyle w:val="af2"/>
            <w:rFonts w:ascii="Times New Roman" w:hAnsi="Times New Roman" w:cs="Times New Roman"/>
            <w:b/>
            <w:bCs/>
            <w:noProof/>
            <w:sz w:val="24"/>
          </w:rPr>
          <w:t>Section 4: Synthesis and Integrated Conclusion</w:t>
        </w:r>
        <w:r w:rsidRPr="005107DB">
          <w:rPr>
            <w:rFonts w:ascii="Times New Roman" w:hAnsi="Times New Roman" w:cs="Times New Roman"/>
            <w:noProof/>
            <w:webHidden/>
            <w:sz w:val="24"/>
          </w:rPr>
          <w:tab/>
        </w:r>
        <w:r w:rsidRPr="005107DB">
          <w:rPr>
            <w:rFonts w:ascii="Times New Roman" w:hAnsi="Times New Roman" w:cs="Times New Roman"/>
            <w:noProof/>
            <w:webHidden/>
            <w:sz w:val="24"/>
          </w:rPr>
          <w:fldChar w:fldCharType="begin"/>
        </w:r>
        <w:r w:rsidRPr="005107DB">
          <w:rPr>
            <w:rFonts w:ascii="Times New Roman" w:hAnsi="Times New Roman" w:cs="Times New Roman"/>
            <w:noProof/>
            <w:webHidden/>
            <w:sz w:val="24"/>
          </w:rPr>
          <w:instrText xml:space="preserve"> PAGEREF _Toc230578739 \h </w:instrText>
        </w:r>
        <w:r w:rsidRPr="005107DB">
          <w:rPr>
            <w:rFonts w:ascii="Times New Roman" w:hAnsi="Times New Roman" w:cs="Times New Roman"/>
            <w:noProof/>
            <w:webHidden/>
            <w:sz w:val="24"/>
          </w:rPr>
        </w:r>
        <w:r w:rsidRPr="005107DB">
          <w:rPr>
            <w:rFonts w:ascii="Times New Roman" w:hAnsi="Times New Roman" w:cs="Times New Roman"/>
            <w:noProof/>
            <w:webHidden/>
            <w:sz w:val="24"/>
          </w:rPr>
          <w:fldChar w:fldCharType="separate"/>
        </w:r>
        <w:r w:rsidR="004932BC">
          <w:rPr>
            <w:rFonts w:ascii="Times New Roman" w:hAnsi="Times New Roman" w:cs="Times New Roman"/>
            <w:noProof/>
            <w:webHidden/>
            <w:sz w:val="24"/>
          </w:rPr>
          <w:t>22</w:t>
        </w:r>
        <w:r w:rsidRPr="005107DB">
          <w:rPr>
            <w:rFonts w:ascii="Times New Roman" w:hAnsi="Times New Roman" w:cs="Times New Roman"/>
            <w:noProof/>
            <w:webHidden/>
            <w:sz w:val="24"/>
          </w:rPr>
          <w:fldChar w:fldCharType="end"/>
        </w:r>
      </w:hyperlink>
    </w:p>
    <w:p w14:paraId="5C82A794" w14:textId="3DD067F4" w:rsidR="00DD2FA1" w:rsidRPr="005107DB" w:rsidRDefault="00DD2FA1" w:rsidP="00502470">
      <w:pPr>
        <w:pStyle w:val="TOC2"/>
        <w:tabs>
          <w:tab w:val="right" w:leader="dot" w:pos="9060"/>
        </w:tabs>
        <w:spacing w:line="360" w:lineRule="auto"/>
        <w:ind w:left="440"/>
        <w:rPr>
          <w:rFonts w:ascii="Times New Roman" w:hAnsi="Times New Roman" w:cs="Times New Roman"/>
          <w:noProof/>
          <w:sz w:val="24"/>
          <w:lang w:val="en-US"/>
        </w:rPr>
      </w:pPr>
      <w:hyperlink w:anchor="_Toc230578740" w:history="1">
        <w:r w:rsidRPr="005107DB">
          <w:rPr>
            <w:rStyle w:val="af2"/>
            <w:rFonts w:ascii="Times New Roman" w:hAnsi="Times New Roman" w:cs="Times New Roman"/>
            <w:noProof/>
            <w:sz w:val="24"/>
          </w:rPr>
          <w:t>4.1 Overall Assessment</w:t>
        </w:r>
        <w:r w:rsidRPr="005107DB">
          <w:rPr>
            <w:rFonts w:ascii="Times New Roman" w:hAnsi="Times New Roman" w:cs="Times New Roman"/>
            <w:noProof/>
            <w:webHidden/>
            <w:sz w:val="24"/>
          </w:rPr>
          <w:tab/>
        </w:r>
        <w:r w:rsidRPr="005107DB">
          <w:rPr>
            <w:rFonts w:ascii="Times New Roman" w:hAnsi="Times New Roman" w:cs="Times New Roman"/>
            <w:noProof/>
            <w:webHidden/>
            <w:sz w:val="24"/>
          </w:rPr>
          <w:fldChar w:fldCharType="begin"/>
        </w:r>
        <w:r w:rsidRPr="005107DB">
          <w:rPr>
            <w:rFonts w:ascii="Times New Roman" w:hAnsi="Times New Roman" w:cs="Times New Roman"/>
            <w:noProof/>
            <w:webHidden/>
            <w:sz w:val="24"/>
          </w:rPr>
          <w:instrText xml:space="preserve"> PAGEREF _Toc230578740 \h </w:instrText>
        </w:r>
        <w:r w:rsidRPr="005107DB">
          <w:rPr>
            <w:rFonts w:ascii="Times New Roman" w:hAnsi="Times New Roman" w:cs="Times New Roman"/>
            <w:noProof/>
            <w:webHidden/>
            <w:sz w:val="24"/>
          </w:rPr>
        </w:r>
        <w:r w:rsidRPr="005107DB">
          <w:rPr>
            <w:rFonts w:ascii="Times New Roman" w:hAnsi="Times New Roman" w:cs="Times New Roman"/>
            <w:noProof/>
            <w:webHidden/>
            <w:sz w:val="24"/>
          </w:rPr>
          <w:fldChar w:fldCharType="separate"/>
        </w:r>
        <w:r w:rsidR="004932BC">
          <w:rPr>
            <w:rFonts w:ascii="Times New Roman" w:hAnsi="Times New Roman" w:cs="Times New Roman"/>
            <w:noProof/>
            <w:webHidden/>
            <w:sz w:val="24"/>
          </w:rPr>
          <w:t>22</w:t>
        </w:r>
        <w:r w:rsidRPr="005107DB">
          <w:rPr>
            <w:rFonts w:ascii="Times New Roman" w:hAnsi="Times New Roman" w:cs="Times New Roman"/>
            <w:noProof/>
            <w:webHidden/>
            <w:sz w:val="24"/>
          </w:rPr>
          <w:fldChar w:fldCharType="end"/>
        </w:r>
      </w:hyperlink>
    </w:p>
    <w:p w14:paraId="1B63B24F" w14:textId="636369F3" w:rsidR="00DD2FA1" w:rsidRPr="005107DB" w:rsidRDefault="00DD2FA1" w:rsidP="00502470">
      <w:pPr>
        <w:pStyle w:val="TOC2"/>
        <w:tabs>
          <w:tab w:val="right" w:leader="dot" w:pos="9060"/>
        </w:tabs>
        <w:spacing w:line="360" w:lineRule="auto"/>
        <w:ind w:left="440"/>
        <w:rPr>
          <w:rFonts w:ascii="Times New Roman" w:hAnsi="Times New Roman" w:cs="Times New Roman"/>
          <w:noProof/>
          <w:sz w:val="24"/>
          <w:lang w:val="en-US"/>
        </w:rPr>
      </w:pPr>
      <w:hyperlink w:anchor="_Toc230578741" w:history="1">
        <w:r w:rsidRPr="005107DB">
          <w:rPr>
            <w:rStyle w:val="af2"/>
            <w:rFonts w:ascii="Times New Roman" w:hAnsi="Times New Roman" w:cs="Times New Roman"/>
            <w:noProof/>
            <w:sz w:val="24"/>
          </w:rPr>
          <w:t>4.2 Financial Strengths and ESG Tensions</w:t>
        </w:r>
        <w:r w:rsidRPr="005107DB">
          <w:rPr>
            <w:rFonts w:ascii="Times New Roman" w:hAnsi="Times New Roman" w:cs="Times New Roman"/>
            <w:noProof/>
            <w:webHidden/>
            <w:sz w:val="24"/>
          </w:rPr>
          <w:tab/>
        </w:r>
        <w:r w:rsidRPr="005107DB">
          <w:rPr>
            <w:rFonts w:ascii="Times New Roman" w:hAnsi="Times New Roman" w:cs="Times New Roman"/>
            <w:noProof/>
            <w:webHidden/>
            <w:sz w:val="24"/>
          </w:rPr>
          <w:fldChar w:fldCharType="begin"/>
        </w:r>
        <w:r w:rsidRPr="005107DB">
          <w:rPr>
            <w:rFonts w:ascii="Times New Roman" w:hAnsi="Times New Roman" w:cs="Times New Roman"/>
            <w:noProof/>
            <w:webHidden/>
            <w:sz w:val="24"/>
          </w:rPr>
          <w:instrText xml:space="preserve"> PAGEREF _Toc230578741 \h </w:instrText>
        </w:r>
        <w:r w:rsidRPr="005107DB">
          <w:rPr>
            <w:rFonts w:ascii="Times New Roman" w:hAnsi="Times New Roman" w:cs="Times New Roman"/>
            <w:noProof/>
            <w:webHidden/>
            <w:sz w:val="24"/>
          </w:rPr>
        </w:r>
        <w:r w:rsidRPr="005107DB">
          <w:rPr>
            <w:rFonts w:ascii="Times New Roman" w:hAnsi="Times New Roman" w:cs="Times New Roman"/>
            <w:noProof/>
            <w:webHidden/>
            <w:sz w:val="24"/>
          </w:rPr>
          <w:fldChar w:fldCharType="separate"/>
        </w:r>
        <w:r w:rsidR="004932BC">
          <w:rPr>
            <w:rFonts w:ascii="Times New Roman" w:hAnsi="Times New Roman" w:cs="Times New Roman"/>
            <w:noProof/>
            <w:webHidden/>
            <w:sz w:val="24"/>
          </w:rPr>
          <w:t>22</w:t>
        </w:r>
        <w:r w:rsidRPr="005107DB">
          <w:rPr>
            <w:rFonts w:ascii="Times New Roman" w:hAnsi="Times New Roman" w:cs="Times New Roman"/>
            <w:noProof/>
            <w:webHidden/>
            <w:sz w:val="24"/>
          </w:rPr>
          <w:fldChar w:fldCharType="end"/>
        </w:r>
      </w:hyperlink>
    </w:p>
    <w:p w14:paraId="5ABC367F" w14:textId="20A11F58" w:rsidR="00DD2FA1" w:rsidRPr="005107DB" w:rsidRDefault="00DD2FA1" w:rsidP="00502470">
      <w:pPr>
        <w:pStyle w:val="TOC2"/>
        <w:tabs>
          <w:tab w:val="right" w:leader="dot" w:pos="9060"/>
        </w:tabs>
        <w:spacing w:line="360" w:lineRule="auto"/>
        <w:ind w:left="440"/>
        <w:rPr>
          <w:rFonts w:ascii="Times New Roman" w:hAnsi="Times New Roman" w:cs="Times New Roman"/>
          <w:noProof/>
          <w:sz w:val="24"/>
          <w:lang w:val="en-US"/>
        </w:rPr>
      </w:pPr>
      <w:hyperlink w:anchor="_Toc230578742" w:history="1">
        <w:r w:rsidRPr="005107DB">
          <w:rPr>
            <w:rStyle w:val="af2"/>
            <w:rFonts w:ascii="Times New Roman" w:hAnsi="Times New Roman" w:cs="Times New Roman"/>
            <w:noProof/>
            <w:sz w:val="24"/>
          </w:rPr>
          <w:t>4.3 Forward</w:t>
        </w:r>
        <w:r w:rsidR="00393F7D">
          <w:rPr>
            <w:rStyle w:val="af2"/>
            <w:rFonts w:ascii="Times New Roman" w:hAnsi="Times New Roman" w:cs="Times New Roman"/>
            <w:noProof/>
            <w:sz w:val="24"/>
          </w:rPr>
          <w:t>-</w:t>
        </w:r>
        <w:r w:rsidRPr="005107DB">
          <w:rPr>
            <w:rStyle w:val="af2"/>
            <w:rFonts w:ascii="Times New Roman" w:hAnsi="Times New Roman" w:cs="Times New Roman"/>
            <w:noProof/>
            <w:sz w:val="24"/>
          </w:rPr>
          <w:t>looking Recommendation</w:t>
        </w:r>
        <w:r w:rsidRPr="005107DB">
          <w:rPr>
            <w:rFonts w:ascii="Times New Roman" w:hAnsi="Times New Roman" w:cs="Times New Roman"/>
            <w:noProof/>
            <w:webHidden/>
            <w:sz w:val="24"/>
          </w:rPr>
          <w:tab/>
        </w:r>
        <w:r w:rsidRPr="005107DB">
          <w:rPr>
            <w:rFonts w:ascii="Times New Roman" w:hAnsi="Times New Roman" w:cs="Times New Roman"/>
            <w:noProof/>
            <w:webHidden/>
            <w:sz w:val="24"/>
          </w:rPr>
          <w:fldChar w:fldCharType="begin"/>
        </w:r>
        <w:r w:rsidRPr="005107DB">
          <w:rPr>
            <w:rFonts w:ascii="Times New Roman" w:hAnsi="Times New Roman" w:cs="Times New Roman"/>
            <w:noProof/>
            <w:webHidden/>
            <w:sz w:val="24"/>
          </w:rPr>
          <w:instrText xml:space="preserve"> PAGEREF _Toc230578742 \h </w:instrText>
        </w:r>
        <w:r w:rsidRPr="005107DB">
          <w:rPr>
            <w:rFonts w:ascii="Times New Roman" w:hAnsi="Times New Roman" w:cs="Times New Roman"/>
            <w:noProof/>
            <w:webHidden/>
            <w:sz w:val="24"/>
          </w:rPr>
        </w:r>
        <w:r w:rsidRPr="005107DB">
          <w:rPr>
            <w:rFonts w:ascii="Times New Roman" w:hAnsi="Times New Roman" w:cs="Times New Roman"/>
            <w:noProof/>
            <w:webHidden/>
            <w:sz w:val="24"/>
          </w:rPr>
          <w:fldChar w:fldCharType="separate"/>
        </w:r>
        <w:r w:rsidR="004932BC">
          <w:rPr>
            <w:rFonts w:ascii="Times New Roman" w:hAnsi="Times New Roman" w:cs="Times New Roman"/>
            <w:noProof/>
            <w:webHidden/>
            <w:sz w:val="24"/>
          </w:rPr>
          <w:t>23</w:t>
        </w:r>
        <w:r w:rsidRPr="005107DB">
          <w:rPr>
            <w:rFonts w:ascii="Times New Roman" w:hAnsi="Times New Roman" w:cs="Times New Roman"/>
            <w:noProof/>
            <w:webHidden/>
            <w:sz w:val="24"/>
          </w:rPr>
          <w:fldChar w:fldCharType="end"/>
        </w:r>
      </w:hyperlink>
    </w:p>
    <w:p w14:paraId="01839004" w14:textId="7C4CC642" w:rsidR="00DD2FA1" w:rsidRPr="005107DB" w:rsidRDefault="00DD2FA1" w:rsidP="00502470">
      <w:pPr>
        <w:pStyle w:val="TOC1"/>
        <w:tabs>
          <w:tab w:val="right" w:leader="dot" w:pos="9060"/>
        </w:tabs>
        <w:spacing w:line="360" w:lineRule="auto"/>
        <w:rPr>
          <w:rFonts w:ascii="Times New Roman" w:hAnsi="Times New Roman" w:cs="Times New Roman"/>
          <w:b/>
          <w:bCs/>
          <w:noProof/>
          <w:sz w:val="24"/>
          <w:lang w:val="en-US"/>
        </w:rPr>
      </w:pPr>
      <w:hyperlink w:anchor="_Toc230578743" w:history="1">
        <w:r w:rsidRPr="005107DB">
          <w:rPr>
            <w:rStyle w:val="af2"/>
            <w:rFonts w:ascii="Times New Roman" w:hAnsi="Times New Roman" w:cs="Times New Roman"/>
            <w:b/>
            <w:bCs/>
            <w:noProof/>
            <w:sz w:val="24"/>
          </w:rPr>
          <w:t>References</w:t>
        </w:r>
        <w:r w:rsidRPr="005107DB">
          <w:rPr>
            <w:rFonts w:ascii="Times New Roman" w:hAnsi="Times New Roman" w:cs="Times New Roman"/>
            <w:noProof/>
            <w:webHidden/>
            <w:sz w:val="24"/>
          </w:rPr>
          <w:tab/>
        </w:r>
        <w:r w:rsidRPr="005107DB">
          <w:rPr>
            <w:rFonts w:ascii="Times New Roman" w:hAnsi="Times New Roman" w:cs="Times New Roman"/>
            <w:noProof/>
            <w:webHidden/>
            <w:sz w:val="24"/>
          </w:rPr>
          <w:fldChar w:fldCharType="begin"/>
        </w:r>
        <w:r w:rsidRPr="005107DB">
          <w:rPr>
            <w:rFonts w:ascii="Times New Roman" w:hAnsi="Times New Roman" w:cs="Times New Roman"/>
            <w:noProof/>
            <w:webHidden/>
            <w:sz w:val="24"/>
          </w:rPr>
          <w:instrText xml:space="preserve"> PAGEREF _Toc230578743 \h </w:instrText>
        </w:r>
        <w:r w:rsidRPr="005107DB">
          <w:rPr>
            <w:rFonts w:ascii="Times New Roman" w:hAnsi="Times New Roman" w:cs="Times New Roman"/>
            <w:noProof/>
            <w:webHidden/>
            <w:sz w:val="24"/>
          </w:rPr>
        </w:r>
        <w:r w:rsidRPr="005107DB">
          <w:rPr>
            <w:rFonts w:ascii="Times New Roman" w:hAnsi="Times New Roman" w:cs="Times New Roman"/>
            <w:noProof/>
            <w:webHidden/>
            <w:sz w:val="24"/>
          </w:rPr>
          <w:fldChar w:fldCharType="separate"/>
        </w:r>
        <w:r w:rsidR="004932BC">
          <w:rPr>
            <w:rFonts w:ascii="Times New Roman" w:hAnsi="Times New Roman" w:cs="Times New Roman"/>
            <w:noProof/>
            <w:webHidden/>
            <w:sz w:val="24"/>
          </w:rPr>
          <w:t>24</w:t>
        </w:r>
        <w:r w:rsidRPr="005107DB">
          <w:rPr>
            <w:rFonts w:ascii="Times New Roman" w:hAnsi="Times New Roman" w:cs="Times New Roman"/>
            <w:noProof/>
            <w:webHidden/>
            <w:sz w:val="24"/>
          </w:rPr>
          <w:fldChar w:fldCharType="end"/>
        </w:r>
      </w:hyperlink>
    </w:p>
    <w:p w14:paraId="762236BD" w14:textId="229B5656" w:rsidR="0080621F" w:rsidRPr="00815660" w:rsidRDefault="009221EE" w:rsidP="00502470">
      <w:pPr>
        <w:tabs>
          <w:tab w:val="left" w:pos="4536"/>
        </w:tabs>
        <w:spacing w:line="360" w:lineRule="auto"/>
        <w:rPr>
          <w:rFonts w:ascii="Times New Roman" w:hAnsi="Times New Roman" w:cs="Times New Roman"/>
          <w:b/>
          <w:bCs/>
          <w:sz w:val="24"/>
        </w:rPr>
      </w:pPr>
      <w:r w:rsidRPr="005107DB">
        <w:rPr>
          <w:rFonts w:ascii="Times New Roman" w:hAnsi="Times New Roman" w:cs="Times New Roman"/>
          <w:b/>
          <w:bCs/>
          <w:sz w:val="24"/>
        </w:rPr>
        <w:fldChar w:fldCharType="end"/>
      </w:r>
    </w:p>
    <w:p w14:paraId="675F284F" w14:textId="77777777" w:rsidR="0080621F" w:rsidRPr="00815660" w:rsidRDefault="0080621F" w:rsidP="00502470">
      <w:pPr>
        <w:tabs>
          <w:tab w:val="left" w:pos="4536"/>
        </w:tabs>
        <w:spacing w:line="360" w:lineRule="auto"/>
        <w:rPr>
          <w:rFonts w:ascii="Times New Roman" w:hAnsi="Times New Roman" w:cs="Times New Roman"/>
          <w:b/>
          <w:bCs/>
          <w:sz w:val="24"/>
        </w:rPr>
      </w:pPr>
    </w:p>
    <w:p w14:paraId="35821D58" w14:textId="77777777" w:rsidR="0080621F" w:rsidRPr="00815660" w:rsidRDefault="0080621F" w:rsidP="00502470">
      <w:pPr>
        <w:tabs>
          <w:tab w:val="left" w:pos="4536"/>
        </w:tabs>
        <w:spacing w:line="360" w:lineRule="auto"/>
        <w:rPr>
          <w:rFonts w:ascii="Times New Roman" w:hAnsi="Times New Roman" w:cs="Times New Roman"/>
          <w:b/>
          <w:bCs/>
          <w:sz w:val="24"/>
        </w:rPr>
      </w:pPr>
    </w:p>
    <w:p w14:paraId="2AF566CE" w14:textId="0D89DE23" w:rsidR="00D117EF" w:rsidRPr="00815660" w:rsidRDefault="00D117EF" w:rsidP="00502470">
      <w:pPr>
        <w:tabs>
          <w:tab w:val="left" w:pos="4536"/>
        </w:tabs>
        <w:spacing w:line="360" w:lineRule="auto"/>
        <w:jc w:val="center"/>
        <w:rPr>
          <w:rFonts w:ascii="Times New Roman" w:hAnsi="Times New Roman" w:cs="Times New Roman"/>
          <w:b/>
          <w:bCs/>
          <w:sz w:val="28"/>
          <w:szCs w:val="28"/>
        </w:rPr>
      </w:pPr>
      <w:r w:rsidRPr="00815660">
        <w:rPr>
          <w:rFonts w:ascii="Times New Roman" w:hAnsi="Times New Roman" w:cs="Times New Roman" w:hint="eastAsia"/>
          <w:b/>
          <w:bCs/>
          <w:sz w:val="28"/>
          <w:szCs w:val="28"/>
        </w:rPr>
        <w:lastRenderedPageBreak/>
        <w:t>Table of Tables</w:t>
      </w:r>
    </w:p>
    <w:p w14:paraId="66BE2F05" w14:textId="7D523059" w:rsidR="00D746B3" w:rsidRPr="00D746B3" w:rsidRDefault="00E07213" w:rsidP="00502470">
      <w:pPr>
        <w:pStyle w:val="af5"/>
        <w:tabs>
          <w:tab w:val="right" w:leader="dot" w:pos="9060"/>
        </w:tabs>
        <w:spacing w:line="360" w:lineRule="auto"/>
        <w:ind w:leftChars="43" w:left="294" w:hangingChars="83" w:hanging="199"/>
        <w:jc w:val="both"/>
        <w:rPr>
          <w:rFonts w:ascii="Times New Roman" w:hAnsi="Times New Roman" w:cs="Times New Roman"/>
          <w:noProof/>
          <w:sz w:val="24"/>
          <w:lang w:val="en-US"/>
        </w:rPr>
      </w:pPr>
      <w:r w:rsidRPr="00D746B3">
        <w:rPr>
          <w:rFonts w:ascii="Times New Roman" w:hAnsi="Times New Roman" w:cs="Times New Roman"/>
          <w:b/>
          <w:bCs/>
          <w:sz w:val="24"/>
        </w:rPr>
        <w:fldChar w:fldCharType="begin"/>
      </w:r>
      <w:r w:rsidRPr="00D746B3">
        <w:rPr>
          <w:rFonts w:ascii="Times New Roman" w:hAnsi="Times New Roman" w:cs="Times New Roman"/>
          <w:b/>
          <w:bCs/>
          <w:sz w:val="24"/>
        </w:rPr>
        <w:instrText xml:space="preserve"> TOC \h \z \c "Table" </w:instrText>
      </w:r>
      <w:r w:rsidRPr="00D746B3">
        <w:rPr>
          <w:rFonts w:ascii="Times New Roman" w:hAnsi="Times New Roman" w:cs="Times New Roman"/>
          <w:b/>
          <w:bCs/>
          <w:sz w:val="24"/>
        </w:rPr>
        <w:fldChar w:fldCharType="separate"/>
      </w:r>
      <w:hyperlink w:anchor="_Toc230654739" w:history="1">
        <w:r w:rsidR="00D746B3" w:rsidRPr="00D746B3">
          <w:rPr>
            <w:rStyle w:val="af2"/>
            <w:rFonts w:ascii="Times New Roman" w:hAnsi="Times New Roman" w:cs="Times New Roman"/>
            <w:b/>
            <w:bCs/>
            <w:noProof/>
            <w:sz w:val="24"/>
          </w:rPr>
          <w:t xml:space="preserve">Table 1. </w:t>
        </w:r>
        <w:r w:rsidR="00D746B3" w:rsidRPr="00D746B3">
          <w:rPr>
            <w:rStyle w:val="af2"/>
            <w:rFonts w:ascii="Times New Roman" w:hAnsi="Times New Roman" w:cs="Times New Roman"/>
            <w:noProof/>
            <w:sz w:val="24"/>
          </w:rPr>
          <w:t>Profitability Ratios of Sinopec and CNOOC, 2020-2024</w:t>
        </w:r>
        <w:r w:rsidR="00D746B3" w:rsidRPr="00D746B3">
          <w:rPr>
            <w:rFonts w:ascii="Times New Roman" w:hAnsi="Times New Roman" w:cs="Times New Roman"/>
            <w:noProof/>
            <w:webHidden/>
            <w:sz w:val="24"/>
          </w:rPr>
          <w:tab/>
        </w:r>
        <w:r w:rsidR="00D746B3" w:rsidRPr="00D746B3">
          <w:rPr>
            <w:rFonts w:ascii="Times New Roman" w:hAnsi="Times New Roman" w:cs="Times New Roman"/>
            <w:noProof/>
            <w:webHidden/>
            <w:sz w:val="24"/>
          </w:rPr>
          <w:fldChar w:fldCharType="begin"/>
        </w:r>
        <w:r w:rsidR="00D746B3" w:rsidRPr="00D746B3">
          <w:rPr>
            <w:rFonts w:ascii="Times New Roman" w:hAnsi="Times New Roman" w:cs="Times New Roman"/>
            <w:noProof/>
            <w:webHidden/>
            <w:sz w:val="24"/>
          </w:rPr>
          <w:instrText xml:space="preserve"> PAGEREF _Toc230654739 \h </w:instrText>
        </w:r>
        <w:r w:rsidR="00D746B3" w:rsidRPr="00D746B3">
          <w:rPr>
            <w:rFonts w:ascii="Times New Roman" w:hAnsi="Times New Roman" w:cs="Times New Roman"/>
            <w:noProof/>
            <w:webHidden/>
            <w:sz w:val="24"/>
          </w:rPr>
        </w:r>
        <w:r w:rsidR="00D746B3" w:rsidRPr="00D746B3">
          <w:rPr>
            <w:rFonts w:ascii="Times New Roman" w:hAnsi="Times New Roman" w:cs="Times New Roman"/>
            <w:noProof/>
            <w:webHidden/>
            <w:sz w:val="24"/>
          </w:rPr>
          <w:fldChar w:fldCharType="separate"/>
        </w:r>
        <w:r w:rsidR="004932BC">
          <w:rPr>
            <w:rFonts w:ascii="Times New Roman" w:hAnsi="Times New Roman" w:cs="Times New Roman"/>
            <w:noProof/>
            <w:webHidden/>
            <w:sz w:val="24"/>
          </w:rPr>
          <w:t>8</w:t>
        </w:r>
        <w:r w:rsidR="00D746B3" w:rsidRPr="00D746B3">
          <w:rPr>
            <w:rFonts w:ascii="Times New Roman" w:hAnsi="Times New Roman" w:cs="Times New Roman"/>
            <w:noProof/>
            <w:webHidden/>
            <w:sz w:val="24"/>
          </w:rPr>
          <w:fldChar w:fldCharType="end"/>
        </w:r>
      </w:hyperlink>
    </w:p>
    <w:p w14:paraId="291EBCEB" w14:textId="65887743" w:rsidR="00D746B3" w:rsidRPr="00D746B3" w:rsidRDefault="00D746B3" w:rsidP="00502470">
      <w:pPr>
        <w:pStyle w:val="af5"/>
        <w:tabs>
          <w:tab w:val="right" w:leader="dot" w:pos="9060"/>
        </w:tabs>
        <w:spacing w:line="360" w:lineRule="auto"/>
        <w:ind w:leftChars="45" w:left="297" w:hangingChars="90" w:hanging="198"/>
        <w:jc w:val="both"/>
        <w:rPr>
          <w:rFonts w:ascii="Times New Roman" w:hAnsi="Times New Roman" w:cs="Times New Roman"/>
          <w:noProof/>
          <w:sz w:val="24"/>
          <w:lang w:val="en-US"/>
        </w:rPr>
      </w:pPr>
      <w:hyperlink w:anchor="_Toc230654740" w:history="1">
        <w:r w:rsidRPr="00D746B3">
          <w:rPr>
            <w:rStyle w:val="af2"/>
            <w:rFonts w:ascii="Times New Roman" w:hAnsi="Times New Roman" w:cs="Times New Roman"/>
            <w:b/>
            <w:bCs/>
            <w:noProof/>
            <w:sz w:val="24"/>
          </w:rPr>
          <w:t>Table 2.</w:t>
        </w:r>
        <w:r w:rsidRPr="00D746B3">
          <w:rPr>
            <w:rStyle w:val="af2"/>
            <w:rFonts w:ascii="Times New Roman" w:hAnsi="Times New Roman" w:cs="Times New Roman"/>
            <w:noProof/>
            <w:sz w:val="24"/>
          </w:rPr>
          <w:t xml:space="preserve"> Liquidity Ratios and Net Working Capital of Sinopec and CNOOC, 2020-2024</w:t>
        </w:r>
        <w:r w:rsidRPr="00D746B3">
          <w:rPr>
            <w:rFonts w:ascii="Times New Roman" w:hAnsi="Times New Roman" w:cs="Times New Roman"/>
            <w:noProof/>
            <w:webHidden/>
            <w:sz w:val="24"/>
          </w:rPr>
          <w:tab/>
        </w:r>
        <w:r w:rsidRPr="00D746B3">
          <w:rPr>
            <w:rFonts w:ascii="Times New Roman" w:hAnsi="Times New Roman" w:cs="Times New Roman"/>
            <w:noProof/>
            <w:webHidden/>
            <w:sz w:val="24"/>
          </w:rPr>
          <w:fldChar w:fldCharType="begin"/>
        </w:r>
        <w:r w:rsidRPr="00D746B3">
          <w:rPr>
            <w:rFonts w:ascii="Times New Roman" w:hAnsi="Times New Roman" w:cs="Times New Roman"/>
            <w:noProof/>
            <w:webHidden/>
            <w:sz w:val="24"/>
          </w:rPr>
          <w:instrText xml:space="preserve"> PAGEREF _Toc230654740 \h </w:instrText>
        </w:r>
        <w:r w:rsidRPr="00D746B3">
          <w:rPr>
            <w:rFonts w:ascii="Times New Roman" w:hAnsi="Times New Roman" w:cs="Times New Roman"/>
            <w:noProof/>
            <w:webHidden/>
            <w:sz w:val="24"/>
          </w:rPr>
        </w:r>
        <w:r w:rsidRPr="00D746B3">
          <w:rPr>
            <w:rFonts w:ascii="Times New Roman" w:hAnsi="Times New Roman" w:cs="Times New Roman"/>
            <w:noProof/>
            <w:webHidden/>
            <w:sz w:val="24"/>
          </w:rPr>
          <w:fldChar w:fldCharType="separate"/>
        </w:r>
        <w:r w:rsidR="004932BC">
          <w:rPr>
            <w:rFonts w:ascii="Times New Roman" w:hAnsi="Times New Roman" w:cs="Times New Roman"/>
            <w:noProof/>
            <w:webHidden/>
            <w:sz w:val="24"/>
          </w:rPr>
          <w:t>9</w:t>
        </w:r>
        <w:r w:rsidRPr="00D746B3">
          <w:rPr>
            <w:rFonts w:ascii="Times New Roman" w:hAnsi="Times New Roman" w:cs="Times New Roman"/>
            <w:noProof/>
            <w:webHidden/>
            <w:sz w:val="24"/>
          </w:rPr>
          <w:fldChar w:fldCharType="end"/>
        </w:r>
      </w:hyperlink>
    </w:p>
    <w:p w14:paraId="1B423EA4" w14:textId="363EE730" w:rsidR="00D746B3" w:rsidRPr="00D746B3" w:rsidRDefault="00D746B3" w:rsidP="00502470">
      <w:pPr>
        <w:pStyle w:val="af5"/>
        <w:tabs>
          <w:tab w:val="right" w:leader="dot" w:pos="9060"/>
        </w:tabs>
        <w:spacing w:line="360" w:lineRule="auto"/>
        <w:ind w:leftChars="45" w:left="297" w:hangingChars="90" w:hanging="198"/>
        <w:jc w:val="both"/>
        <w:rPr>
          <w:rFonts w:ascii="Times New Roman" w:hAnsi="Times New Roman" w:cs="Times New Roman"/>
          <w:noProof/>
          <w:sz w:val="24"/>
          <w:lang w:val="en-US"/>
        </w:rPr>
      </w:pPr>
      <w:hyperlink w:anchor="_Toc230654741" w:history="1">
        <w:r w:rsidRPr="00D746B3">
          <w:rPr>
            <w:rStyle w:val="af2"/>
            <w:rFonts w:ascii="Times New Roman" w:hAnsi="Times New Roman" w:cs="Times New Roman"/>
            <w:b/>
            <w:bCs/>
            <w:noProof/>
            <w:sz w:val="24"/>
          </w:rPr>
          <w:t xml:space="preserve">Table 3. </w:t>
        </w:r>
        <w:r w:rsidRPr="00D746B3">
          <w:rPr>
            <w:rStyle w:val="af2"/>
            <w:rFonts w:ascii="Times New Roman" w:hAnsi="Times New Roman" w:cs="Times New Roman"/>
            <w:noProof/>
            <w:sz w:val="24"/>
          </w:rPr>
          <w:t>Solvency Ratios of Sinopec and CNOOC, 2020-2024</w:t>
        </w:r>
        <w:r w:rsidRPr="00D746B3">
          <w:rPr>
            <w:rFonts w:ascii="Times New Roman" w:hAnsi="Times New Roman" w:cs="Times New Roman"/>
            <w:noProof/>
            <w:webHidden/>
            <w:sz w:val="24"/>
          </w:rPr>
          <w:tab/>
        </w:r>
        <w:r w:rsidRPr="00D746B3">
          <w:rPr>
            <w:rFonts w:ascii="Times New Roman" w:hAnsi="Times New Roman" w:cs="Times New Roman"/>
            <w:noProof/>
            <w:webHidden/>
            <w:sz w:val="24"/>
          </w:rPr>
          <w:fldChar w:fldCharType="begin"/>
        </w:r>
        <w:r w:rsidRPr="00D746B3">
          <w:rPr>
            <w:rFonts w:ascii="Times New Roman" w:hAnsi="Times New Roman" w:cs="Times New Roman"/>
            <w:noProof/>
            <w:webHidden/>
            <w:sz w:val="24"/>
          </w:rPr>
          <w:instrText xml:space="preserve"> PAGEREF _Toc230654741 \h </w:instrText>
        </w:r>
        <w:r w:rsidRPr="00D746B3">
          <w:rPr>
            <w:rFonts w:ascii="Times New Roman" w:hAnsi="Times New Roman" w:cs="Times New Roman"/>
            <w:noProof/>
            <w:webHidden/>
            <w:sz w:val="24"/>
          </w:rPr>
        </w:r>
        <w:r w:rsidRPr="00D746B3">
          <w:rPr>
            <w:rFonts w:ascii="Times New Roman" w:hAnsi="Times New Roman" w:cs="Times New Roman"/>
            <w:noProof/>
            <w:webHidden/>
            <w:sz w:val="24"/>
          </w:rPr>
          <w:fldChar w:fldCharType="separate"/>
        </w:r>
        <w:r w:rsidR="004932BC">
          <w:rPr>
            <w:rFonts w:ascii="Times New Roman" w:hAnsi="Times New Roman" w:cs="Times New Roman"/>
            <w:noProof/>
            <w:webHidden/>
            <w:sz w:val="24"/>
          </w:rPr>
          <w:t>11</w:t>
        </w:r>
        <w:r w:rsidRPr="00D746B3">
          <w:rPr>
            <w:rFonts w:ascii="Times New Roman" w:hAnsi="Times New Roman" w:cs="Times New Roman"/>
            <w:noProof/>
            <w:webHidden/>
            <w:sz w:val="24"/>
          </w:rPr>
          <w:fldChar w:fldCharType="end"/>
        </w:r>
      </w:hyperlink>
    </w:p>
    <w:p w14:paraId="5769E70E" w14:textId="318664F6" w:rsidR="00D746B3" w:rsidRPr="00D746B3" w:rsidRDefault="00D746B3" w:rsidP="00502470">
      <w:pPr>
        <w:pStyle w:val="af5"/>
        <w:tabs>
          <w:tab w:val="right" w:leader="dot" w:pos="9060"/>
        </w:tabs>
        <w:spacing w:line="360" w:lineRule="auto"/>
        <w:ind w:leftChars="45" w:left="297" w:hangingChars="90" w:hanging="198"/>
        <w:jc w:val="both"/>
        <w:rPr>
          <w:rFonts w:ascii="Times New Roman" w:hAnsi="Times New Roman" w:cs="Times New Roman"/>
          <w:noProof/>
          <w:sz w:val="24"/>
          <w:lang w:val="en-US"/>
        </w:rPr>
      </w:pPr>
      <w:hyperlink w:anchor="_Toc230654742" w:history="1">
        <w:r w:rsidRPr="00D746B3">
          <w:rPr>
            <w:rStyle w:val="af2"/>
            <w:rFonts w:ascii="Times New Roman" w:hAnsi="Times New Roman" w:cs="Times New Roman"/>
            <w:b/>
            <w:bCs/>
            <w:noProof/>
            <w:sz w:val="24"/>
          </w:rPr>
          <w:t>Table 4.</w:t>
        </w:r>
        <w:r w:rsidRPr="00D746B3">
          <w:rPr>
            <w:rStyle w:val="af2"/>
            <w:rFonts w:ascii="Times New Roman" w:hAnsi="Times New Roman" w:cs="Times New Roman"/>
            <w:noProof/>
            <w:sz w:val="24"/>
          </w:rPr>
          <w:t xml:space="preserve"> Efficiency Ratios of Sinopec and CNOOC, 2020-2024</w:t>
        </w:r>
        <w:r w:rsidRPr="00D746B3">
          <w:rPr>
            <w:rFonts w:ascii="Times New Roman" w:hAnsi="Times New Roman" w:cs="Times New Roman"/>
            <w:noProof/>
            <w:webHidden/>
            <w:sz w:val="24"/>
          </w:rPr>
          <w:tab/>
        </w:r>
        <w:r w:rsidRPr="00D746B3">
          <w:rPr>
            <w:rFonts w:ascii="Times New Roman" w:hAnsi="Times New Roman" w:cs="Times New Roman"/>
            <w:noProof/>
            <w:webHidden/>
            <w:sz w:val="24"/>
          </w:rPr>
          <w:fldChar w:fldCharType="begin"/>
        </w:r>
        <w:r w:rsidRPr="00D746B3">
          <w:rPr>
            <w:rFonts w:ascii="Times New Roman" w:hAnsi="Times New Roman" w:cs="Times New Roman"/>
            <w:noProof/>
            <w:webHidden/>
            <w:sz w:val="24"/>
          </w:rPr>
          <w:instrText xml:space="preserve"> PAGEREF _Toc230654742 \h </w:instrText>
        </w:r>
        <w:r w:rsidRPr="00D746B3">
          <w:rPr>
            <w:rFonts w:ascii="Times New Roman" w:hAnsi="Times New Roman" w:cs="Times New Roman"/>
            <w:noProof/>
            <w:webHidden/>
            <w:sz w:val="24"/>
          </w:rPr>
        </w:r>
        <w:r w:rsidRPr="00D746B3">
          <w:rPr>
            <w:rFonts w:ascii="Times New Roman" w:hAnsi="Times New Roman" w:cs="Times New Roman"/>
            <w:noProof/>
            <w:webHidden/>
            <w:sz w:val="24"/>
          </w:rPr>
          <w:fldChar w:fldCharType="separate"/>
        </w:r>
        <w:r w:rsidR="004932BC">
          <w:rPr>
            <w:rFonts w:ascii="Times New Roman" w:hAnsi="Times New Roman" w:cs="Times New Roman"/>
            <w:noProof/>
            <w:webHidden/>
            <w:sz w:val="24"/>
          </w:rPr>
          <w:t>13</w:t>
        </w:r>
        <w:r w:rsidRPr="00D746B3">
          <w:rPr>
            <w:rFonts w:ascii="Times New Roman" w:hAnsi="Times New Roman" w:cs="Times New Roman"/>
            <w:noProof/>
            <w:webHidden/>
            <w:sz w:val="24"/>
          </w:rPr>
          <w:fldChar w:fldCharType="end"/>
        </w:r>
      </w:hyperlink>
    </w:p>
    <w:p w14:paraId="14D1D6E2" w14:textId="7391F11E" w:rsidR="00D746B3" w:rsidRPr="00D746B3" w:rsidRDefault="00D746B3" w:rsidP="00502470">
      <w:pPr>
        <w:pStyle w:val="af5"/>
        <w:tabs>
          <w:tab w:val="right" w:leader="dot" w:pos="9060"/>
        </w:tabs>
        <w:spacing w:line="360" w:lineRule="auto"/>
        <w:ind w:leftChars="45" w:left="297" w:hangingChars="90" w:hanging="198"/>
        <w:jc w:val="both"/>
        <w:rPr>
          <w:rFonts w:ascii="Times New Roman" w:hAnsi="Times New Roman" w:cs="Times New Roman"/>
          <w:noProof/>
          <w:sz w:val="24"/>
          <w:lang w:val="en-US"/>
        </w:rPr>
      </w:pPr>
      <w:hyperlink w:anchor="_Toc230654743" w:history="1">
        <w:r w:rsidRPr="00D746B3">
          <w:rPr>
            <w:rStyle w:val="af2"/>
            <w:rFonts w:ascii="Times New Roman" w:hAnsi="Times New Roman" w:cs="Times New Roman"/>
            <w:b/>
            <w:bCs/>
            <w:noProof/>
            <w:sz w:val="24"/>
          </w:rPr>
          <w:t>Table 5.</w:t>
        </w:r>
        <w:r w:rsidRPr="00D746B3">
          <w:rPr>
            <w:rStyle w:val="af2"/>
            <w:rFonts w:ascii="Times New Roman" w:hAnsi="Times New Roman" w:cs="Times New Roman"/>
            <w:noProof/>
            <w:sz w:val="24"/>
          </w:rPr>
          <w:t xml:space="preserve"> ESG Rating Heatmap of Sinopec and CNOOC, 2020-2024</w:t>
        </w:r>
        <w:r w:rsidRPr="00D746B3">
          <w:rPr>
            <w:rFonts w:ascii="Times New Roman" w:hAnsi="Times New Roman" w:cs="Times New Roman"/>
            <w:noProof/>
            <w:webHidden/>
            <w:sz w:val="24"/>
          </w:rPr>
          <w:tab/>
        </w:r>
        <w:r w:rsidRPr="00D746B3">
          <w:rPr>
            <w:rFonts w:ascii="Times New Roman" w:hAnsi="Times New Roman" w:cs="Times New Roman"/>
            <w:noProof/>
            <w:webHidden/>
            <w:sz w:val="24"/>
          </w:rPr>
          <w:fldChar w:fldCharType="begin"/>
        </w:r>
        <w:r w:rsidRPr="00D746B3">
          <w:rPr>
            <w:rFonts w:ascii="Times New Roman" w:hAnsi="Times New Roman" w:cs="Times New Roman"/>
            <w:noProof/>
            <w:webHidden/>
            <w:sz w:val="24"/>
          </w:rPr>
          <w:instrText xml:space="preserve"> PAGEREF _Toc230654743 \h </w:instrText>
        </w:r>
        <w:r w:rsidRPr="00D746B3">
          <w:rPr>
            <w:rFonts w:ascii="Times New Roman" w:hAnsi="Times New Roman" w:cs="Times New Roman"/>
            <w:noProof/>
            <w:webHidden/>
            <w:sz w:val="24"/>
          </w:rPr>
        </w:r>
        <w:r w:rsidRPr="00D746B3">
          <w:rPr>
            <w:rFonts w:ascii="Times New Roman" w:hAnsi="Times New Roman" w:cs="Times New Roman"/>
            <w:noProof/>
            <w:webHidden/>
            <w:sz w:val="24"/>
          </w:rPr>
          <w:fldChar w:fldCharType="separate"/>
        </w:r>
        <w:r w:rsidR="004932BC">
          <w:rPr>
            <w:rFonts w:ascii="Times New Roman" w:hAnsi="Times New Roman" w:cs="Times New Roman"/>
            <w:noProof/>
            <w:webHidden/>
            <w:sz w:val="24"/>
          </w:rPr>
          <w:t>15</w:t>
        </w:r>
        <w:r w:rsidRPr="00D746B3">
          <w:rPr>
            <w:rFonts w:ascii="Times New Roman" w:hAnsi="Times New Roman" w:cs="Times New Roman"/>
            <w:noProof/>
            <w:webHidden/>
            <w:sz w:val="24"/>
          </w:rPr>
          <w:fldChar w:fldCharType="end"/>
        </w:r>
      </w:hyperlink>
    </w:p>
    <w:p w14:paraId="512D6AED" w14:textId="64833EE6" w:rsidR="00D746B3" w:rsidRPr="00D746B3" w:rsidRDefault="00D746B3" w:rsidP="00502470">
      <w:pPr>
        <w:pStyle w:val="af5"/>
        <w:tabs>
          <w:tab w:val="right" w:leader="dot" w:pos="9060"/>
        </w:tabs>
        <w:spacing w:line="360" w:lineRule="auto"/>
        <w:ind w:leftChars="45" w:left="297" w:hangingChars="90" w:hanging="198"/>
        <w:jc w:val="both"/>
        <w:rPr>
          <w:rFonts w:ascii="Times New Roman" w:hAnsi="Times New Roman" w:cs="Times New Roman"/>
          <w:noProof/>
          <w:sz w:val="24"/>
          <w:lang w:val="en-US"/>
        </w:rPr>
      </w:pPr>
      <w:hyperlink w:anchor="_Toc230654744" w:history="1">
        <w:r w:rsidRPr="00D746B3">
          <w:rPr>
            <w:rStyle w:val="af2"/>
            <w:rFonts w:ascii="Times New Roman" w:hAnsi="Times New Roman" w:cs="Times New Roman"/>
            <w:b/>
            <w:bCs/>
            <w:noProof/>
            <w:sz w:val="24"/>
          </w:rPr>
          <w:t>Table 6.</w:t>
        </w:r>
        <w:r w:rsidRPr="00D746B3">
          <w:rPr>
            <w:rStyle w:val="af2"/>
            <w:rFonts w:ascii="Times New Roman" w:hAnsi="Times New Roman" w:cs="Times New Roman"/>
            <w:noProof/>
            <w:sz w:val="24"/>
          </w:rPr>
          <w:t xml:space="preserve"> Shareholder Governance Signals of Sinopec and CNOOC, 2020-2024</w:t>
        </w:r>
        <w:r w:rsidRPr="00D746B3">
          <w:rPr>
            <w:rFonts w:ascii="Times New Roman" w:hAnsi="Times New Roman" w:cs="Times New Roman"/>
            <w:noProof/>
            <w:webHidden/>
            <w:sz w:val="24"/>
          </w:rPr>
          <w:tab/>
        </w:r>
        <w:r w:rsidRPr="00D746B3">
          <w:rPr>
            <w:rFonts w:ascii="Times New Roman" w:hAnsi="Times New Roman" w:cs="Times New Roman"/>
            <w:noProof/>
            <w:webHidden/>
            <w:sz w:val="24"/>
          </w:rPr>
          <w:fldChar w:fldCharType="begin"/>
        </w:r>
        <w:r w:rsidRPr="00D746B3">
          <w:rPr>
            <w:rFonts w:ascii="Times New Roman" w:hAnsi="Times New Roman" w:cs="Times New Roman"/>
            <w:noProof/>
            <w:webHidden/>
            <w:sz w:val="24"/>
          </w:rPr>
          <w:instrText xml:space="preserve"> PAGEREF _Toc230654744 \h </w:instrText>
        </w:r>
        <w:r w:rsidRPr="00D746B3">
          <w:rPr>
            <w:rFonts w:ascii="Times New Roman" w:hAnsi="Times New Roman" w:cs="Times New Roman"/>
            <w:noProof/>
            <w:webHidden/>
            <w:sz w:val="24"/>
          </w:rPr>
        </w:r>
        <w:r w:rsidRPr="00D746B3">
          <w:rPr>
            <w:rFonts w:ascii="Times New Roman" w:hAnsi="Times New Roman" w:cs="Times New Roman"/>
            <w:noProof/>
            <w:webHidden/>
            <w:sz w:val="24"/>
          </w:rPr>
          <w:fldChar w:fldCharType="separate"/>
        </w:r>
        <w:r w:rsidR="004932BC">
          <w:rPr>
            <w:rFonts w:ascii="Times New Roman" w:hAnsi="Times New Roman" w:cs="Times New Roman"/>
            <w:noProof/>
            <w:webHidden/>
            <w:sz w:val="24"/>
          </w:rPr>
          <w:t>20</w:t>
        </w:r>
        <w:r w:rsidRPr="00D746B3">
          <w:rPr>
            <w:rFonts w:ascii="Times New Roman" w:hAnsi="Times New Roman" w:cs="Times New Roman"/>
            <w:noProof/>
            <w:webHidden/>
            <w:sz w:val="24"/>
          </w:rPr>
          <w:fldChar w:fldCharType="end"/>
        </w:r>
      </w:hyperlink>
    </w:p>
    <w:p w14:paraId="566BE33C" w14:textId="625FB912" w:rsidR="00D746B3" w:rsidRPr="00D746B3" w:rsidRDefault="00D746B3" w:rsidP="00502470">
      <w:pPr>
        <w:pStyle w:val="af5"/>
        <w:tabs>
          <w:tab w:val="right" w:leader="dot" w:pos="9060"/>
        </w:tabs>
        <w:spacing w:line="360" w:lineRule="auto"/>
        <w:ind w:leftChars="45" w:left="297" w:hangingChars="90" w:hanging="198"/>
        <w:jc w:val="both"/>
        <w:rPr>
          <w:rFonts w:ascii="Times New Roman" w:hAnsi="Times New Roman" w:cs="Times New Roman"/>
          <w:noProof/>
          <w:sz w:val="24"/>
          <w:lang w:val="en-US"/>
        </w:rPr>
      </w:pPr>
      <w:hyperlink w:anchor="_Toc230654745" w:history="1">
        <w:r w:rsidRPr="00D746B3">
          <w:rPr>
            <w:rStyle w:val="af2"/>
            <w:rFonts w:ascii="Times New Roman" w:hAnsi="Times New Roman" w:cs="Times New Roman"/>
            <w:b/>
            <w:bCs/>
            <w:noProof/>
            <w:sz w:val="24"/>
          </w:rPr>
          <w:t xml:space="preserve">Table 7. </w:t>
        </w:r>
        <w:r w:rsidRPr="00D746B3">
          <w:rPr>
            <w:rStyle w:val="af2"/>
            <w:rFonts w:ascii="Times New Roman" w:hAnsi="Times New Roman" w:cs="Times New Roman"/>
            <w:noProof/>
            <w:sz w:val="24"/>
          </w:rPr>
          <w:t>Sustainability Reporting Quality Checklist of Sinopec and CNOOC, 2024</w:t>
        </w:r>
        <w:r w:rsidRPr="00D746B3">
          <w:rPr>
            <w:rFonts w:ascii="Times New Roman" w:hAnsi="Times New Roman" w:cs="Times New Roman"/>
            <w:noProof/>
            <w:webHidden/>
            <w:sz w:val="24"/>
          </w:rPr>
          <w:tab/>
        </w:r>
        <w:r w:rsidRPr="00D746B3">
          <w:rPr>
            <w:rFonts w:ascii="Times New Roman" w:hAnsi="Times New Roman" w:cs="Times New Roman"/>
            <w:noProof/>
            <w:webHidden/>
            <w:sz w:val="24"/>
          </w:rPr>
          <w:fldChar w:fldCharType="begin"/>
        </w:r>
        <w:r w:rsidRPr="00D746B3">
          <w:rPr>
            <w:rFonts w:ascii="Times New Roman" w:hAnsi="Times New Roman" w:cs="Times New Roman"/>
            <w:noProof/>
            <w:webHidden/>
            <w:sz w:val="24"/>
          </w:rPr>
          <w:instrText xml:space="preserve"> PAGEREF _Toc230654745 \h </w:instrText>
        </w:r>
        <w:r w:rsidRPr="00D746B3">
          <w:rPr>
            <w:rFonts w:ascii="Times New Roman" w:hAnsi="Times New Roman" w:cs="Times New Roman"/>
            <w:noProof/>
            <w:webHidden/>
            <w:sz w:val="24"/>
          </w:rPr>
        </w:r>
        <w:r w:rsidRPr="00D746B3">
          <w:rPr>
            <w:rFonts w:ascii="Times New Roman" w:hAnsi="Times New Roman" w:cs="Times New Roman"/>
            <w:noProof/>
            <w:webHidden/>
            <w:sz w:val="24"/>
          </w:rPr>
          <w:fldChar w:fldCharType="separate"/>
        </w:r>
        <w:r w:rsidR="004932BC">
          <w:rPr>
            <w:rFonts w:ascii="Times New Roman" w:hAnsi="Times New Roman" w:cs="Times New Roman"/>
            <w:noProof/>
            <w:webHidden/>
            <w:sz w:val="24"/>
          </w:rPr>
          <w:t>21</w:t>
        </w:r>
        <w:r w:rsidRPr="00D746B3">
          <w:rPr>
            <w:rFonts w:ascii="Times New Roman" w:hAnsi="Times New Roman" w:cs="Times New Roman"/>
            <w:noProof/>
            <w:webHidden/>
            <w:sz w:val="24"/>
          </w:rPr>
          <w:fldChar w:fldCharType="end"/>
        </w:r>
      </w:hyperlink>
    </w:p>
    <w:p w14:paraId="28E9479C" w14:textId="03F9462C" w:rsidR="00D117EF" w:rsidRPr="00815660" w:rsidRDefault="00E07213" w:rsidP="00502470">
      <w:pPr>
        <w:tabs>
          <w:tab w:val="left" w:pos="4536"/>
        </w:tabs>
        <w:spacing w:line="360" w:lineRule="auto"/>
        <w:jc w:val="both"/>
        <w:rPr>
          <w:rFonts w:ascii="Times New Roman" w:hAnsi="Times New Roman" w:cs="Times New Roman"/>
          <w:b/>
          <w:bCs/>
          <w:sz w:val="24"/>
        </w:rPr>
      </w:pPr>
      <w:r w:rsidRPr="00D746B3">
        <w:rPr>
          <w:rFonts w:ascii="Times New Roman" w:hAnsi="Times New Roman" w:cs="Times New Roman"/>
          <w:b/>
          <w:bCs/>
          <w:sz w:val="24"/>
        </w:rPr>
        <w:fldChar w:fldCharType="end"/>
      </w:r>
    </w:p>
    <w:p w14:paraId="26A4E4DB" w14:textId="77777777" w:rsidR="00D117EF" w:rsidRPr="00815660" w:rsidRDefault="00D117EF" w:rsidP="00502470">
      <w:pPr>
        <w:tabs>
          <w:tab w:val="left" w:pos="4536"/>
        </w:tabs>
        <w:spacing w:line="360" w:lineRule="auto"/>
        <w:rPr>
          <w:rFonts w:ascii="Times New Roman" w:hAnsi="Times New Roman" w:cs="Times New Roman"/>
          <w:b/>
          <w:bCs/>
          <w:sz w:val="24"/>
        </w:rPr>
      </w:pPr>
    </w:p>
    <w:p w14:paraId="6C76BC0F" w14:textId="77777777" w:rsidR="00D117EF" w:rsidRPr="00815660" w:rsidRDefault="00D117EF" w:rsidP="00502470">
      <w:pPr>
        <w:tabs>
          <w:tab w:val="left" w:pos="4536"/>
        </w:tabs>
        <w:spacing w:line="360" w:lineRule="auto"/>
        <w:rPr>
          <w:rFonts w:ascii="Times New Roman" w:hAnsi="Times New Roman" w:cs="Times New Roman"/>
          <w:b/>
          <w:bCs/>
          <w:sz w:val="24"/>
        </w:rPr>
      </w:pPr>
    </w:p>
    <w:p w14:paraId="47B666EF" w14:textId="77777777" w:rsidR="00D117EF" w:rsidRPr="00815660" w:rsidRDefault="00D117EF" w:rsidP="00502470">
      <w:pPr>
        <w:tabs>
          <w:tab w:val="left" w:pos="4536"/>
        </w:tabs>
        <w:spacing w:line="360" w:lineRule="auto"/>
        <w:rPr>
          <w:rFonts w:ascii="Times New Roman" w:hAnsi="Times New Roman" w:cs="Times New Roman"/>
          <w:b/>
          <w:bCs/>
          <w:sz w:val="24"/>
        </w:rPr>
      </w:pPr>
    </w:p>
    <w:p w14:paraId="46ED3F6C" w14:textId="77777777" w:rsidR="00D117EF" w:rsidRPr="00815660" w:rsidRDefault="00D117EF" w:rsidP="00502470">
      <w:pPr>
        <w:tabs>
          <w:tab w:val="left" w:pos="4536"/>
        </w:tabs>
        <w:spacing w:line="360" w:lineRule="auto"/>
        <w:rPr>
          <w:rFonts w:ascii="Times New Roman" w:hAnsi="Times New Roman" w:cs="Times New Roman"/>
          <w:b/>
          <w:bCs/>
          <w:sz w:val="24"/>
        </w:rPr>
      </w:pPr>
    </w:p>
    <w:p w14:paraId="1AC45D35" w14:textId="77777777" w:rsidR="00D117EF" w:rsidRPr="00815660" w:rsidRDefault="00D117EF" w:rsidP="00502470">
      <w:pPr>
        <w:tabs>
          <w:tab w:val="left" w:pos="4536"/>
        </w:tabs>
        <w:spacing w:line="360" w:lineRule="auto"/>
        <w:rPr>
          <w:rFonts w:ascii="Times New Roman" w:hAnsi="Times New Roman" w:cs="Times New Roman"/>
          <w:b/>
          <w:bCs/>
          <w:sz w:val="24"/>
        </w:rPr>
      </w:pPr>
    </w:p>
    <w:p w14:paraId="665CDC7C" w14:textId="77777777" w:rsidR="00D117EF" w:rsidRPr="00815660" w:rsidRDefault="00D117EF" w:rsidP="00502470">
      <w:pPr>
        <w:tabs>
          <w:tab w:val="left" w:pos="4536"/>
        </w:tabs>
        <w:spacing w:line="360" w:lineRule="auto"/>
        <w:rPr>
          <w:rFonts w:ascii="Times New Roman" w:hAnsi="Times New Roman" w:cs="Times New Roman"/>
          <w:b/>
          <w:bCs/>
          <w:sz w:val="24"/>
        </w:rPr>
      </w:pPr>
    </w:p>
    <w:p w14:paraId="354799D7" w14:textId="77777777" w:rsidR="00D117EF" w:rsidRPr="00815660" w:rsidRDefault="00D117EF" w:rsidP="00502470">
      <w:pPr>
        <w:tabs>
          <w:tab w:val="left" w:pos="4536"/>
        </w:tabs>
        <w:spacing w:line="360" w:lineRule="auto"/>
        <w:rPr>
          <w:rFonts w:ascii="Times New Roman" w:hAnsi="Times New Roman" w:cs="Times New Roman"/>
          <w:b/>
          <w:bCs/>
          <w:sz w:val="24"/>
        </w:rPr>
      </w:pPr>
    </w:p>
    <w:p w14:paraId="048BB548" w14:textId="77777777" w:rsidR="005107DB" w:rsidRPr="00815660" w:rsidRDefault="005107DB" w:rsidP="00502470">
      <w:pPr>
        <w:tabs>
          <w:tab w:val="left" w:pos="4536"/>
        </w:tabs>
        <w:spacing w:line="360" w:lineRule="auto"/>
        <w:rPr>
          <w:rFonts w:ascii="Times New Roman" w:hAnsi="Times New Roman" w:cs="Times New Roman"/>
          <w:b/>
          <w:bCs/>
          <w:sz w:val="24"/>
        </w:rPr>
      </w:pPr>
    </w:p>
    <w:p w14:paraId="0D015DAB" w14:textId="77777777" w:rsidR="00D117EF" w:rsidRPr="00815660" w:rsidRDefault="00D117EF" w:rsidP="00502470">
      <w:pPr>
        <w:tabs>
          <w:tab w:val="left" w:pos="4536"/>
        </w:tabs>
        <w:spacing w:line="360" w:lineRule="auto"/>
        <w:rPr>
          <w:rFonts w:ascii="Times New Roman" w:hAnsi="Times New Roman" w:cs="Times New Roman"/>
          <w:b/>
          <w:bCs/>
          <w:sz w:val="24"/>
        </w:rPr>
      </w:pPr>
    </w:p>
    <w:p w14:paraId="42E64DB6" w14:textId="77777777" w:rsidR="00D117EF" w:rsidRPr="00815660" w:rsidRDefault="00D117EF" w:rsidP="00502470">
      <w:pPr>
        <w:tabs>
          <w:tab w:val="left" w:pos="4536"/>
        </w:tabs>
        <w:spacing w:line="360" w:lineRule="auto"/>
        <w:rPr>
          <w:rFonts w:ascii="Times New Roman" w:hAnsi="Times New Roman" w:cs="Times New Roman"/>
          <w:b/>
          <w:bCs/>
          <w:sz w:val="24"/>
        </w:rPr>
      </w:pPr>
    </w:p>
    <w:p w14:paraId="3BEF45E7" w14:textId="77777777" w:rsidR="00D746B3" w:rsidRDefault="00D746B3" w:rsidP="00502470">
      <w:pPr>
        <w:tabs>
          <w:tab w:val="left" w:pos="4536"/>
        </w:tabs>
        <w:spacing w:line="360" w:lineRule="auto"/>
        <w:rPr>
          <w:rFonts w:ascii="Times New Roman" w:hAnsi="Times New Roman" w:cs="Times New Roman"/>
          <w:b/>
          <w:bCs/>
          <w:sz w:val="24"/>
        </w:rPr>
      </w:pPr>
    </w:p>
    <w:p w14:paraId="18006D62" w14:textId="77777777" w:rsidR="00D117EF" w:rsidRPr="00815660" w:rsidRDefault="00D117EF" w:rsidP="00502470">
      <w:pPr>
        <w:tabs>
          <w:tab w:val="left" w:pos="4536"/>
        </w:tabs>
        <w:spacing w:line="360" w:lineRule="auto"/>
        <w:rPr>
          <w:rFonts w:ascii="Times New Roman" w:hAnsi="Times New Roman" w:cs="Times New Roman"/>
          <w:b/>
          <w:bCs/>
          <w:sz w:val="24"/>
        </w:rPr>
      </w:pPr>
    </w:p>
    <w:p w14:paraId="78B3E2C6" w14:textId="057DA06E" w:rsidR="00D117EF" w:rsidRPr="00815660" w:rsidRDefault="00D117EF" w:rsidP="00502470">
      <w:pPr>
        <w:tabs>
          <w:tab w:val="left" w:pos="4536"/>
        </w:tabs>
        <w:spacing w:line="360" w:lineRule="auto"/>
        <w:jc w:val="center"/>
        <w:rPr>
          <w:rFonts w:ascii="Times New Roman" w:hAnsi="Times New Roman" w:cs="Times New Roman"/>
          <w:b/>
          <w:bCs/>
          <w:sz w:val="28"/>
          <w:szCs w:val="28"/>
        </w:rPr>
      </w:pPr>
      <w:r w:rsidRPr="00815660">
        <w:rPr>
          <w:rFonts w:ascii="Times New Roman" w:hAnsi="Times New Roman" w:cs="Times New Roman" w:hint="eastAsia"/>
          <w:b/>
          <w:bCs/>
          <w:sz w:val="28"/>
          <w:szCs w:val="28"/>
        </w:rPr>
        <w:lastRenderedPageBreak/>
        <w:t>Table of Figures</w:t>
      </w:r>
    </w:p>
    <w:p w14:paraId="61D52AE9" w14:textId="79E57E5D" w:rsidR="00D746B3" w:rsidRPr="00D746B3" w:rsidRDefault="00B407E0" w:rsidP="00502470">
      <w:pPr>
        <w:pStyle w:val="af5"/>
        <w:tabs>
          <w:tab w:val="right" w:leader="dot" w:pos="9060"/>
        </w:tabs>
        <w:spacing w:line="360" w:lineRule="auto"/>
        <w:ind w:leftChars="45" w:left="297" w:hangingChars="90" w:hanging="198"/>
        <w:rPr>
          <w:rFonts w:ascii="Times New Roman" w:hAnsi="Times New Roman" w:cs="Times New Roman"/>
          <w:noProof/>
          <w:sz w:val="24"/>
          <w:szCs w:val="28"/>
          <w:lang w:val="en-US"/>
        </w:rPr>
      </w:pPr>
      <w:r w:rsidRPr="00D746B3">
        <w:rPr>
          <w:rFonts w:ascii="Times New Roman" w:hAnsi="Times New Roman" w:cs="Times New Roman"/>
          <w:szCs w:val="22"/>
        </w:rPr>
        <w:fldChar w:fldCharType="begin"/>
      </w:r>
      <w:r w:rsidRPr="00D746B3">
        <w:rPr>
          <w:rFonts w:ascii="Times New Roman" w:hAnsi="Times New Roman" w:cs="Times New Roman"/>
          <w:szCs w:val="22"/>
        </w:rPr>
        <w:instrText xml:space="preserve"> TOC \h \z \c "Figure" </w:instrText>
      </w:r>
      <w:r w:rsidRPr="00D746B3">
        <w:rPr>
          <w:rFonts w:ascii="Times New Roman" w:hAnsi="Times New Roman" w:cs="Times New Roman"/>
          <w:szCs w:val="22"/>
        </w:rPr>
        <w:fldChar w:fldCharType="separate"/>
      </w:r>
      <w:hyperlink w:anchor="_Toc230655266" w:history="1">
        <w:r w:rsidR="00D746B3" w:rsidRPr="00D746B3">
          <w:rPr>
            <w:rStyle w:val="af2"/>
            <w:rFonts w:ascii="Times New Roman" w:hAnsi="Times New Roman" w:cs="Times New Roman"/>
            <w:b/>
            <w:bCs/>
            <w:noProof/>
            <w:sz w:val="24"/>
            <w:szCs w:val="28"/>
          </w:rPr>
          <w:t xml:space="preserve">Figure 1. </w:t>
        </w:r>
        <w:r w:rsidR="00D746B3" w:rsidRPr="00D746B3">
          <w:rPr>
            <w:rStyle w:val="af2"/>
            <w:rFonts w:ascii="Times New Roman" w:hAnsi="Times New Roman" w:cs="Times New Roman"/>
            <w:noProof/>
            <w:sz w:val="24"/>
            <w:szCs w:val="28"/>
          </w:rPr>
          <w:t>Sinopec Segment Revenue and Operating Profit/(Loss), 2024</w:t>
        </w:r>
        <w:r w:rsidR="00D746B3" w:rsidRPr="00D746B3">
          <w:rPr>
            <w:rFonts w:ascii="Times New Roman" w:hAnsi="Times New Roman" w:cs="Times New Roman"/>
            <w:noProof/>
            <w:webHidden/>
            <w:sz w:val="24"/>
            <w:szCs w:val="28"/>
          </w:rPr>
          <w:tab/>
        </w:r>
        <w:r w:rsidR="00D746B3" w:rsidRPr="00D746B3">
          <w:rPr>
            <w:rFonts w:ascii="Times New Roman" w:hAnsi="Times New Roman" w:cs="Times New Roman"/>
            <w:noProof/>
            <w:webHidden/>
            <w:sz w:val="24"/>
            <w:szCs w:val="28"/>
          </w:rPr>
          <w:fldChar w:fldCharType="begin"/>
        </w:r>
        <w:r w:rsidR="00D746B3" w:rsidRPr="00D746B3">
          <w:rPr>
            <w:rFonts w:ascii="Times New Roman" w:hAnsi="Times New Roman" w:cs="Times New Roman"/>
            <w:noProof/>
            <w:webHidden/>
            <w:sz w:val="24"/>
            <w:szCs w:val="28"/>
          </w:rPr>
          <w:instrText xml:space="preserve"> PAGEREF _Toc230655266 \h </w:instrText>
        </w:r>
        <w:r w:rsidR="00D746B3" w:rsidRPr="00D746B3">
          <w:rPr>
            <w:rFonts w:ascii="Times New Roman" w:hAnsi="Times New Roman" w:cs="Times New Roman"/>
            <w:noProof/>
            <w:webHidden/>
            <w:sz w:val="24"/>
            <w:szCs w:val="28"/>
          </w:rPr>
        </w:r>
        <w:r w:rsidR="00D746B3" w:rsidRPr="00D746B3">
          <w:rPr>
            <w:rFonts w:ascii="Times New Roman" w:hAnsi="Times New Roman" w:cs="Times New Roman"/>
            <w:noProof/>
            <w:webHidden/>
            <w:sz w:val="24"/>
            <w:szCs w:val="28"/>
          </w:rPr>
          <w:fldChar w:fldCharType="separate"/>
        </w:r>
        <w:r w:rsidR="004932BC">
          <w:rPr>
            <w:rFonts w:ascii="Times New Roman" w:hAnsi="Times New Roman" w:cs="Times New Roman"/>
            <w:noProof/>
            <w:webHidden/>
            <w:sz w:val="24"/>
            <w:szCs w:val="28"/>
          </w:rPr>
          <w:t>5</w:t>
        </w:r>
        <w:r w:rsidR="00D746B3" w:rsidRPr="00D746B3">
          <w:rPr>
            <w:rFonts w:ascii="Times New Roman" w:hAnsi="Times New Roman" w:cs="Times New Roman"/>
            <w:noProof/>
            <w:webHidden/>
            <w:sz w:val="24"/>
            <w:szCs w:val="28"/>
          </w:rPr>
          <w:fldChar w:fldCharType="end"/>
        </w:r>
      </w:hyperlink>
    </w:p>
    <w:p w14:paraId="49DC0A75" w14:textId="359D7597" w:rsidR="00D746B3" w:rsidRPr="00D746B3" w:rsidRDefault="00D746B3" w:rsidP="00502470">
      <w:pPr>
        <w:pStyle w:val="af5"/>
        <w:tabs>
          <w:tab w:val="right" w:leader="dot" w:pos="9060"/>
        </w:tabs>
        <w:spacing w:line="360" w:lineRule="auto"/>
        <w:ind w:leftChars="43" w:left="278" w:hangingChars="83" w:hanging="183"/>
        <w:rPr>
          <w:rFonts w:ascii="Times New Roman" w:hAnsi="Times New Roman" w:cs="Times New Roman"/>
          <w:noProof/>
          <w:sz w:val="24"/>
          <w:szCs w:val="28"/>
          <w:lang w:val="en-US"/>
        </w:rPr>
      </w:pPr>
      <w:hyperlink w:anchor="_Toc230655267" w:history="1">
        <w:r w:rsidRPr="00D746B3">
          <w:rPr>
            <w:rStyle w:val="af2"/>
            <w:rFonts w:ascii="Times New Roman" w:hAnsi="Times New Roman" w:cs="Times New Roman"/>
            <w:b/>
            <w:bCs/>
            <w:noProof/>
            <w:sz w:val="24"/>
            <w:szCs w:val="28"/>
          </w:rPr>
          <w:t>Figure 2.</w:t>
        </w:r>
        <w:r w:rsidRPr="00D746B3">
          <w:rPr>
            <w:rStyle w:val="af2"/>
            <w:rFonts w:ascii="Times New Roman" w:hAnsi="Times New Roman" w:cs="Times New Roman"/>
            <w:noProof/>
            <w:sz w:val="24"/>
            <w:szCs w:val="28"/>
          </w:rPr>
          <w:t xml:space="preserve"> Profitability Ratio Trends of Sinopec and CNOOC, 2020-2024</w:t>
        </w:r>
        <w:r w:rsidRPr="00D746B3">
          <w:rPr>
            <w:rFonts w:ascii="Times New Roman" w:hAnsi="Times New Roman" w:cs="Times New Roman"/>
            <w:noProof/>
            <w:webHidden/>
            <w:sz w:val="24"/>
            <w:szCs w:val="28"/>
          </w:rPr>
          <w:tab/>
        </w:r>
        <w:r w:rsidRPr="00D746B3">
          <w:rPr>
            <w:rFonts w:ascii="Times New Roman" w:hAnsi="Times New Roman" w:cs="Times New Roman"/>
            <w:noProof/>
            <w:webHidden/>
            <w:sz w:val="24"/>
            <w:szCs w:val="28"/>
          </w:rPr>
          <w:fldChar w:fldCharType="begin"/>
        </w:r>
        <w:r w:rsidRPr="00D746B3">
          <w:rPr>
            <w:rFonts w:ascii="Times New Roman" w:hAnsi="Times New Roman" w:cs="Times New Roman"/>
            <w:noProof/>
            <w:webHidden/>
            <w:sz w:val="24"/>
            <w:szCs w:val="28"/>
          </w:rPr>
          <w:instrText xml:space="preserve"> PAGEREF _Toc230655267 \h </w:instrText>
        </w:r>
        <w:r w:rsidRPr="00D746B3">
          <w:rPr>
            <w:rFonts w:ascii="Times New Roman" w:hAnsi="Times New Roman" w:cs="Times New Roman"/>
            <w:noProof/>
            <w:webHidden/>
            <w:sz w:val="24"/>
            <w:szCs w:val="28"/>
          </w:rPr>
        </w:r>
        <w:r w:rsidRPr="00D746B3">
          <w:rPr>
            <w:rFonts w:ascii="Times New Roman" w:hAnsi="Times New Roman" w:cs="Times New Roman"/>
            <w:noProof/>
            <w:webHidden/>
            <w:sz w:val="24"/>
            <w:szCs w:val="28"/>
          </w:rPr>
          <w:fldChar w:fldCharType="separate"/>
        </w:r>
        <w:r w:rsidR="004932BC">
          <w:rPr>
            <w:rFonts w:ascii="Times New Roman" w:hAnsi="Times New Roman" w:cs="Times New Roman"/>
            <w:noProof/>
            <w:webHidden/>
            <w:sz w:val="24"/>
            <w:szCs w:val="28"/>
          </w:rPr>
          <w:t>8</w:t>
        </w:r>
        <w:r w:rsidRPr="00D746B3">
          <w:rPr>
            <w:rFonts w:ascii="Times New Roman" w:hAnsi="Times New Roman" w:cs="Times New Roman"/>
            <w:noProof/>
            <w:webHidden/>
            <w:sz w:val="24"/>
            <w:szCs w:val="28"/>
          </w:rPr>
          <w:fldChar w:fldCharType="end"/>
        </w:r>
      </w:hyperlink>
    </w:p>
    <w:p w14:paraId="198A04DF" w14:textId="3A764D44" w:rsidR="00D746B3" w:rsidRPr="00D746B3" w:rsidRDefault="00D746B3" w:rsidP="00502470">
      <w:pPr>
        <w:pStyle w:val="af5"/>
        <w:tabs>
          <w:tab w:val="right" w:leader="dot" w:pos="9060"/>
        </w:tabs>
        <w:spacing w:line="360" w:lineRule="auto"/>
        <w:ind w:leftChars="45" w:left="299" w:firstLineChars="0"/>
        <w:rPr>
          <w:rFonts w:ascii="Times New Roman" w:hAnsi="Times New Roman" w:cs="Times New Roman"/>
          <w:noProof/>
          <w:sz w:val="24"/>
          <w:szCs w:val="28"/>
          <w:lang w:val="en-US"/>
        </w:rPr>
      </w:pPr>
      <w:hyperlink w:anchor="_Toc230655268" w:history="1">
        <w:r w:rsidRPr="00D746B3">
          <w:rPr>
            <w:rStyle w:val="af2"/>
            <w:rFonts w:ascii="Times New Roman" w:hAnsi="Times New Roman" w:cs="Times New Roman"/>
            <w:b/>
            <w:bCs/>
            <w:noProof/>
            <w:sz w:val="24"/>
            <w:szCs w:val="28"/>
          </w:rPr>
          <w:t>Figure 3.</w:t>
        </w:r>
        <w:r w:rsidRPr="00D746B3">
          <w:rPr>
            <w:rStyle w:val="af2"/>
            <w:rFonts w:ascii="Times New Roman" w:hAnsi="Times New Roman" w:cs="Times New Roman"/>
            <w:noProof/>
            <w:sz w:val="24"/>
            <w:szCs w:val="28"/>
          </w:rPr>
          <w:t xml:space="preserve"> Liquidity Ratios and Net Working Capital of Sinopec and CNOOC, 2020-2024</w:t>
        </w:r>
        <w:r w:rsidRPr="00D746B3">
          <w:rPr>
            <w:rFonts w:ascii="Times New Roman" w:hAnsi="Times New Roman" w:cs="Times New Roman"/>
            <w:noProof/>
            <w:webHidden/>
            <w:sz w:val="24"/>
            <w:szCs w:val="28"/>
          </w:rPr>
          <w:tab/>
        </w:r>
        <w:r w:rsidRPr="00D746B3">
          <w:rPr>
            <w:rFonts w:ascii="Times New Roman" w:hAnsi="Times New Roman" w:cs="Times New Roman"/>
            <w:noProof/>
            <w:webHidden/>
            <w:sz w:val="24"/>
            <w:szCs w:val="28"/>
          </w:rPr>
          <w:fldChar w:fldCharType="begin"/>
        </w:r>
        <w:r w:rsidRPr="00D746B3">
          <w:rPr>
            <w:rFonts w:ascii="Times New Roman" w:hAnsi="Times New Roman" w:cs="Times New Roman"/>
            <w:noProof/>
            <w:webHidden/>
            <w:sz w:val="24"/>
            <w:szCs w:val="28"/>
          </w:rPr>
          <w:instrText xml:space="preserve"> PAGEREF _Toc230655268 \h </w:instrText>
        </w:r>
        <w:r w:rsidRPr="00D746B3">
          <w:rPr>
            <w:rFonts w:ascii="Times New Roman" w:hAnsi="Times New Roman" w:cs="Times New Roman"/>
            <w:noProof/>
            <w:webHidden/>
            <w:sz w:val="24"/>
            <w:szCs w:val="28"/>
          </w:rPr>
        </w:r>
        <w:r w:rsidRPr="00D746B3">
          <w:rPr>
            <w:rFonts w:ascii="Times New Roman" w:hAnsi="Times New Roman" w:cs="Times New Roman"/>
            <w:noProof/>
            <w:webHidden/>
            <w:sz w:val="24"/>
            <w:szCs w:val="28"/>
          </w:rPr>
          <w:fldChar w:fldCharType="separate"/>
        </w:r>
        <w:r w:rsidR="004932BC">
          <w:rPr>
            <w:rFonts w:ascii="Times New Roman" w:hAnsi="Times New Roman" w:cs="Times New Roman"/>
            <w:noProof/>
            <w:webHidden/>
            <w:sz w:val="24"/>
            <w:szCs w:val="28"/>
          </w:rPr>
          <w:t>10</w:t>
        </w:r>
        <w:r w:rsidRPr="00D746B3">
          <w:rPr>
            <w:rFonts w:ascii="Times New Roman" w:hAnsi="Times New Roman" w:cs="Times New Roman"/>
            <w:noProof/>
            <w:webHidden/>
            <w:sz w:val="24"/>
            <w:szCs w:val="28"/>
          </w:rPr>
          <w:fldChar w:fldCharType="end"/>
        </w:r>
      </w:hyperlink>
    </w:p>
    <w:p w14:paraId="5EE994BC" w14:textId="0E022E34" w:rsidR="00D746B3" w:rsidRPr="00D746B3" w:rsidRDefault="00D746B3" w:rsidP="00502470">
      <w:pPr>
        <w:pStyle w:val="af5"/>
        <w:tabs>
          <w:tab w:val="right" w:leader="dot" w:pos="9060"/>
        </w:tabs>
        <w:spacing w:line="360" w:lineRule="auto"/>
        <w:ind w:leftChars="43" w:left="278" w:hangingChars="83" w:hanging="183"/>
        <w:rPr>
          <w:rFonts w:ascii="Times New Roman" w:hAnsi="Times New Roman" w:cs="Times New Roman"/>
          <w:noProof/>
          <w:sz w:val="24"/>
          <w:szCs w:val="28"/>
          <w:lang w:val="en-US"/>
        </w:rPr>
      </w:pPr>
      <w:hyperlink w:anchor="_Toc230655269" w:history="1">
        <w:r w:rsidRPr="00D746B3">
          <w:rPr>
            <w:rStyle w:val="af2"/>
            <w:rFonts w:ascii="Times New Roman" w:hAnsi="Times New Roman" w:cs="Times New Roman"/>
            <w:b/>
            <w:bCs/>
            <w:noProof/>
            <w:sz w:val="24"/>
            <w:szCs w:val="28"/>
          </w:rPr>
          <w:t xml:space="preserve">Figure 4. </w:t>
        </w:r>
        <w:r w:rsidRPr="00D746B3">
          <w:rPr>
            <w:rStyle w:val="af2"/>
            <w:rFonts w:ascii="Times New Roman" w:hAnsi="Times New Roman" w:cs="Times New Roman"/>
            <w:noProof/>
            <w:sz w:val="24"/>
            <w:szCs w:val="28"/>
          </w:rPr>
          <w:t>Solvency Ratio Trends of Sinopec and CNOOC, 2020-2024</w:t>
        </w:r>
        <w:r w:rsidRPr="00D746B3">
          <w:rPr>
            <w:rFonts w:ascii="Times New Roman" w:hAnsi="Times New Roman" w:cs="Times New Roman"/>
            <w:noProof/>
            <w:webHidden/>
            <w:sz w:val="24"/>
            <w:szCs w:val="28"/>
          </w:rPr>
          <w:tab/>
        </w:r>
        <w:r w:rsidRPr="00D746B3">
          <w:rPr>
            <w:rFonts w:ascii="Times New Roman" w:hAnsi="Times New Roman" w:cs="Times New Roman"/>
            <w:noProof/>
            <w:webHidden/>
            <w:sz w:val="24"/>
            <w:szCs w:val="28"/>
          </w:rPr>
          <w:fldChar w:fldCharType="begin"/>
        </w:r>
        <w:r w:rsidRPr="00D746B3">
          <w:rPr>
            <w:rFonts w:ascii="Times New Roman" w:hAnsi="Times New Roman" w:cs="Times New Roman"/>
            <w:noProof/>
            <w:webHidden/>
            <w:sz w:val="24"/>
            <w:szCs w:val="28"/>
          </w:rPr>
          <w:instrText xml:space="preserve"> PAGEREF _Toc230655269 \h </w:instrText>
        </w:r>
        <w:r w:rsidRPr="00D746B3">
          <w:rPr>
            <w:rFonts w:ascii="Times New Roman" w:hAnsi="Times New Roman" w:cs="Times New Roman"/>
            <w:noProof/>
            <w:webHidden/>
            <w:sz w:val="24"/>
            <w:szCs w:val="28"/>
          </w:rPr>
        </w:r>
        <w:r w:rsidRPr="00D746B3">
          <w:rPr>
            <w:rFonts w:ascii="Times New Roman" w:hAnsi="Times New Roman" w:cs="Times New Roman"/>
            <w:noProof/>
            <w:webHidden/>
            <w:sz w:val="24"/>
            <w:szCs w:val="28"/>
          </w:rPr>
          <w:fldChar w:fldCharType="separate"/>
        </w:r>
        <w:r w:rsidR="004932BC">
          <w:rPr>
            <w:rFonts w:ascii="Times New Roman" w:hAnsi="Times New Roman" w:cs="Times New Roman"/>
            <w:noProof/>
            <w:webHidden/>
            <w:sz w:val="24"/>
            <w:szCs w:val="28"/>
          </w:rPr>
          <w:t>12</w:t>
        </w:r>
        <w:r w:rsidRPr="00D746B3">
          <w:rPr>
            <w:rFonts w:ascii="Times New Roman" w:hAnsi="Times New Roman" w:cs="Times New Roman"/>
            <w:noProof/>
            <w:webHidden/>
            <w:sz w:val="24"/>
            <w:szCs w:val="28"/>
          </w:rPr>
          <w:fldChar w:fldCharType="end"/>
        </w:r>
      </w:hyperlink>
    </w:p>
    <w:p w14:paraId="41FBD334" w14:textId="24F85B94" w:rsidR="00D746B3" w:rsidRPr="00D746B3" w:rsidRDefault="00D746B3" w:rsidP="00502470">
      <w:pPr>
        <w:pStyle w:val="af5"/>
        <w:tabs>
          <w:tab w:val="right" w:leader="dot" w:pos="9060"/>
        </w:tabs>
        <w:spacing w:line="360" w:lineRule="auto"/>
        <w:ind w:leftChars="43" w:left="278" w:hangingChars="83" w:hanging="183"/>
        <w:rPr>
          <w:rFonts w:ascii="Times New Roman" w:hAnsi="Times New Roman" w:cs="Times New Roman"/>
          <w:noProof/>
          <w:sz w:val="24"/>
          <w:szCs w:val="28"/>
          <w:lang w:val="en-US"/>
        </w:rPr>
      </w:pPr>
      <w:hyperlink w:anchor="_Toc230655270" w:history="1">
        <w:r w:rsidRPr="00D746B3">
          <w:rPr>
            <w:rStyle w:val="af2"/>
            <w:rFonts w:ascii="Times New Roman" w:hAnsi="Times New Roman" w:cs="Times New Roman"/>
            <w:b/>
            <w:bCs/>
            <w:noProof/>
            <w:sz w:val="24"/>
            <w:szCs w:val="28"/>
          </w:rPr>
          <w:t>Figure 5.</w:t>
        </w:r>
        <w:r w:rsidRPr="00D746B3">
          <w:rPr>
            <w:rStyle w:val="af2"/>
            <w:rFonts w:ascii="Times New Roman" w:hAnsi="Times New Roman" w:cs="Times New Roman"/>
            <w:noProof/>
            <w:sz w:val="24"/>
            <w:szCs w:val="28"/>
          </w:rPr>
          <w:t xml:space="preserve"> Efficiency Ratio Trends of Sinopec and CNOOC, 2020-2024</w:t>
        </w:r>
        <w:r w:rsidRPr="00D746B3">
          <w:rPr>
            <w:rFonts w:ascii="Times New Roman" w:hAnsi="Times New Roman" w:cs="Times New Roman"/>
            <w:noProof/>
            <w:webHidden/>
            <w:sz w:val="24"/>
            <w:szCs w:val="28"/>
          </w:rPr>
          <w:tab/>
        </w:r>
        <w:r w:rsidRPr="00D746B3">
          <w:rPr>
            <w:rFonts w:ascii="Times New Roman" w:hAnsi="Times New Roman" w:cs="Times New Roman"/>
            <w:noProof/>
            <w:webHidden/>
            <w:sz w:val="24"/>
            <w:szCs w:val="28"/>
          </w:rPr>
          <w:fldChar w:fldCharType="begin"/>
        </w:r>
        <w:r w:rsidRPr="00D746B3">
          <w:rPr>
            <w:rFonts w:ascii="Times New Roman" w:hAnsi="Times New Roman" w:cs="Times New Roman"/>
            <w:noProof/>
            <w:webHidden/>
            <w:sz w:val="24"/>
            <w:szCs w:val="28"/>
          </w:rPr>
          <w:instrText xml:space="preserve"> PAGEREF _Toc230655270 \h </w:instrText>
        </w:r>
        <w:r w:rsidRPr="00D746B3">
          <w:rPr>
            <w:rFonts w:ascii="Times New Roman" w:hAnsi="Times New Roman" w:cs="Times New Roman"/>
            <w:noProof/>
            <w:webHidden/>
            <w:sz w:val="24"/>
            <w:szCs w:val="28"/>
          </w:rPr>
        </w:r>
        <w:r w:rsidRPr="00D746B3">
          <w:rPr>
            <w:rFonts w:ascii="Times New Roman" w:hAnsi="Times New Roman" w:cs="Times New Roman"/>
            <w:noProof/>
            <w:webHidden/>
            <w:sz w:val="24"/>
            <w:szCs w:val="28"/>
          </w:rPr>
          <w:fldChar w:fldCharType="separate"/>
        </w:r>
        <w:r w:rsidR="004932BC">
          <w:rPr>
            <w:rFonts w:ascii="Times New Roman" w:hAnsi="Times New Roman" w:cs="Times New Roman"/>
            <w:noProof/>
            <w:webHidden/>
            <w:sz w:val="24"/>
            <w:szCs w:val="28"/>
          </w:rPr>
          <w:t>13</w:t>
        </w:r>
        <w:r w:rsidRPr="00D746B3">
          <w:rPr>
            <w:rFonts w:ascii="Times New Roman" w:hAnsi="Times New Roman" w:cs="Times New Roman"/>
            <w:noProof/>
            <w:webHidden/>
            <w:sz w:val="24"/>
            <w:szCs w:val="28"/>
          </w:rPr>
          <w:fldChar w:fldCharType="end"/>
        </w:r>
      </w:hyperlink>
    </w:p>
    <w:p w14:paraId="74E242BC" w14:textId="6FDC4158" w:rsidR="00D746B3" w:rsidRPr="00D746B3" w:rsidRDefault="00D746B3" w:rsidP="00502470">
      <w:pPr>
        <w:pStyle w:val="af5"/>
        <w:tabs>
          <w:tab w:val="right" w:leader="dot" w:pos="9060"/>
        </w:tabs>
        <w:spacing w:line="360" w:lineRule="auto"/>
        <w:ind w:leftChars="44" w:left="97" w:firstLineChars="0" w:firstLine="0"/>
        <w:rPr>
          <w:rFonts w:ascii="Times New Roman" w:hAnsi="Times New Roman" w:cs="Times New Roman"/>
          <w:noProof/>
          <w:sz w:val="24"/>
          <w:szCs w:val="28"/>
          <w:lang w:val="en-US"/>
        </w:rPr>
      </w:pPr>
      <w:hyperlink w:anchor="_Toc230655271" w:history="1">
        <w:r w:rsidRPr="00D746B3">
          <w:rPr>
            <w:rStyle w:val="af2"/>
            <w:rFonts w:ascii="Times New Roman" w:hAnsi="Times New Roman" w:cs="Times New Roman"/>
            <w:b/>
            <w:bCs/>
            <w:noProof/>
            <w:sz w:val="24"/>
            <w:szCs w:val="28"/>
          </w:rPr>
          <w:t xml:space="preserve">Figure 6. </w:t>
        </w:r>
        <w:r w:rsidRPr="00D746B3">
          <w:rPr>
            <w:rStyle w:val="af2"/>
            <w:rFonts w:ascii="Times New Roman" w:hAnsi="Times New Roman" w:cs="Times New Roman"/>
            <w:noProof/>
            <w:sz w:val="24"/>
            <w:szCs w:val="28"/>
          </w:rPr>
          <w:t>Indexed Combined Scope 1 and Scope 2 Emissions of Sinopec and CNOOC, 2020-2024 (2020=100)</w:t>
        </w:r>
        <w:r w:rsidRPr="00D746B3">
          <w:rPr>
            <w:rFonts w:ascii="Times New Roman" w:hAnsi="Times New Roman" w:cs="Times New Roman"/>
            <w:noProof/>
            <w:webHidden/>
            <w:sz w:val="24"/>
            <w:szCs w:val="28"/>
          </w:rPr>
          <w:tab/>
        </w:r>
        <w:r w:rsidRPr="00D746B3">
          <w:rPr>
            <w:rFonts w:ascii="Times New Roman" w:hAnsi="Times New Roman" w:cs="Times New Roman"/>
            <w:noProof/>
            <w:webHidden/>
            <w:sz w:val="24"/>
            <w:szCs w:val="28"/>
          </w:rPr>
          <w:fldChar w:fldCharType="begin"/>
        </w:r>
        <w:r w:rsidRPr="00D746B3">
          <w:rPr>
            <w:rFonts w:ascii="Times New Roman" w:hAnsi="Times New Roman" w:cs="Times New Roman"/>
            <w:noProof/>
            <w:webHidden/>
            <w:sz w:val="24"/>
            <w:szCs w:val="28"/>
          </w:rPr>
          <w:instrText xml:space="preserve"> PAGEREF _Toc230655271 \h </w:instrText>
        </w:r>
        <w:r w:rsidRPr="00D746B3">
          <w:rPr>
            <w:rFonts w:ascii="Times New Roman" w:hAnsi="Times New Roman" w:cs="Times New Roman"/>
            <w:noProof/>
            <w:webHidden/>
            <w:sz w:val="24"/>
            <w:szCs w:val="28"/>
          </w:rPr>
        </w:r>
        <w:r w:rsidRPr="00D746B3">
          <w:rPr>
            <w:rFonts w:ascii="Times New Roman" w:hAnsi="Times New Roman" w:cs="Times New Roman"/>
            <w:noProof/>
            <w:webHidden/>
            <w:sz w:val="24"/>
            <w:szCs w:val="28"/>
          </w:rPr>
          <w:fldChar w:fldCharType="separate"/>
        </w:r>
        <w:r w:rsidR="004932BC">
          <w:rPr>
            <w:rFonts w:ascii="Times New Roman" w:hAnsi="Times New Roman" w:cs="Times New Roman"/>
            <w:noProof/>
            <w:webHidden/>
            <w:sz w:val="24"/>
            <w:szCs w:val="28"/>
          </w:rPr>
          <w:t>16</w:t>
        </w:r>
        <w:r w:rsidRPr="00D746B3">
          <w:rPr>
            <w:rFonts w:ascii="Times New Roman" w:hAnsi="Times New Roman" w:cs="Times New Roman"/>
            <w:noProof/>
            <w:webHidden/>
            <w:sz w:val="24"/>
            <w:szCs w:val="28"/>
          </w:rPr>
          <w:fldChar w:fldCharType="end"/>
        </w:r>
      </w:hyperlink>
    </w:p>
    <w:p w14:paraId="27272620" w14:textId="2AD16BD3" w:rsidR="00D746B3" w:rsidRPr="00D746B3" w:rsidRDefault="00D746B3" w:rsidP="00502470">
      <w:pPr>
        <w:pStyle w:val="af5"/>
        <w:tabs>
          <w:tab w:val="right" w:leader="dot" w:pos="9060"/>
        </w:tabs>
        <w:spacing w:line="360" w:lineRule="auto"/>
        <w:ind w:leftChars="43" w:left="278" w:hangingChars="83" w:hanging="183"/>
        <w:rPr>
          <w:rFonts w:ascii="Times New Roman" w:hAnsi="Times New Roman" w:cs="Times New Roman"/>
          <w:noProof/>
          <w:sz w:val="24"/>
          <w:szCs w:val="28"/>
          <w:lang w:val="en-US"/>
        </w:rPr>
      </w:pPr>
      <w:hyperlink w:anchor="_Toc230655272" w:history="1">
        <w:r w:rsidRPr="00D746B3">
          <w:rPr>
            <w:rStyle w:val="af2"/>
            <w:rFonts w:ascii="Times New Roman" w:hAnsi="Times New Roman" w:cs="Times New Roman"/>
            <w:b/>
            <w:bCs/>
            <w:noProof/>
            <w:sz w:val="24"/>
            <w:szCs w:val="28"/>
          </w:rPr>
          <w:t xml:space="preserve">Figure 7. </w:t>
        </w:r>
        <w:r w:rsidRPr="00D746B3">
          <w:rPr>
            <w:rStyle w:val="af2"/>
            <w:rFonts w:ascii="Times New Roman" w:hAnsi="Times New Roman" w:cs="Times New Roman"/>
            <w:noProof/>
            <w:sz w:val="24"/>
            <w:szCs w:val="28"/>
          </w:rPr>
          <w:t>2024 Low-carbon Transition Evidence of Sinopec and CNOOC</w:t>
        </w:r>
        <w:r w:rsidRPr="00D746B3">
          <w:rPr>
            <w:rFonts w:ascii="Times New Roman" w:hAnsi="Times New Roman" w:cs="Times New Roman"/>
            <w:noProof/>
            <w:webHidden/>
            <w:sz w:val="24"/>
            <w:szCs w:val="28"/>
          </w:rPr>
          <w:tab/>
        </w:r>
        <w:r w:rsidRPr="00D746B3">
          <w:rPr>
            <w:rFonts w:ascii="Times New Roman" w:hAnsi="Times New Roman" w:cs="Times New Roman"/>
            <w:noProof/>
            <w:webHidden/>
            <w:sz w:val="24"/>
            <w:szCs w:val="28"/>
          </w:rPr>
          <w:fldChar w:fldCharType="begin"/>
        </w:r>
        <w:r w:rsidRPr="00D746B3">
          <w:rPr>
            <w:rFonts w:ascii="Times New Roman" w:hAnsi="Times New Roman" w:cs="Times New Roman"/>
            <w:noProof/>
            <w:webHidden/>
            <w:sz w:val="24"/>
            <w:szCs w:val="28"/>
          </w:rPr>
          <w:instrText xml:space="preserve"> PAGEREF _Toc230655272 \h </w:instrText>
        </w:r>
        <w:r w:rsidRPr="00D746B3">
          <w:rPr>
            <w:rFonts w:ascii="Times New Roman" w:hAnsi="Times New Roman" w:cs="Times New Roman"/>
            <w:noProof/>
            <w:webHidden/>
            <w:sz w:val="24"/>
            <w:szCs w:val="28"/>
          </w:rPr>
        </w:r>
        <w:r w:rsidRPr="00D746B3">
          <w:rPr>
            <w:rFonts w:ascii="Times New Roman" w:hAnsi="Times New Roman" w:cs="Times New Roman"/>
            <w:noProof/>
            <w:webHidden/>
            <w:sz w:val="24"/>
            <w:szCs w:val="28"/>
          </w:rPr>
          <w:fldChar w:fldCharType="separate"/>
        </w:r>
        <w:r w:rsidR="004932BC">
          <w:rPr>
            <w:rFonts w:ascii="Times New Roman" w:hAnsi="Times New Roman" w:cs="Times New Roman"/>
            <w:noProof/>
            <w:webHidden/>
            <w:sz w:val="24"/>
            <w:szCs w:val="28"/>
          </w:rPr>
          <w:t>17</w:t>
        </w:r>
        <w:r w:rsidRPr="00D746B3">
          <w:rPr>
            <w:rFonts w:ascii="Times New Roman" w:hAnsi="Times New Roman" w:cs="Times New Roman"/>
            <w:noProof/>
            <w:webHidden/>
            <w:sz w:val="24"/>
            <w:szCs w:val="28"/>
          </w:rPr>
          <w:fldChar w:fldCharType="end"/>
        </w:r>
      </w:hyperlink>
    </w:p>
    <w:p w14:paraId="23EE6EF8" w14:textId="08726C4F" w:rsidR="00D746B3" w:rsidRPr="00D746B3" w:rsidRDefault="00D746B3" w:rsidP="00502470">
      <w:pPr>
        <w:pStyle w:val="af5"/>
        <w:tabs>
          <w:tab w:val="right" w:leader="dot" w:pos="9060"/>
        </w:tabs>
        <w:spacing w:line="360" w:lineRule="auto"/>
        <w:ind w:leftChars="44" w:left="97" w:firstLineChars="0" w:firstLine="0"/>
        <w:rPr>
          <w:rFonts w:ascii="Times New Roman" w:hAnsi="Times New Roman" w:cs="Times New Roman"/>
          <w:noProof/>
          <w:sz w:val="24"/>
          <w:szCs w:val="28"/>
          <w:lang w:val="en-US"/>
        </w:rPr>
      </w:pPr>
      <w:hyperlink w:anchor="_Toc230655273" w:history="1">
        <w:r w:rsidRPr="00D746B3">
          <w:rPr>
            <w:rStyle w:val="af2"/>
            <w:rFonts w:ascii="Times New Roman" w:hAnsi="Times New Roman" w:cs="Times New Roman"/>
            <w:b/>
            <w:bCs/>
            <w:noProof/>
            <w:sz w:val="24"/>
            <w:szCs w:val="28"/>
          </w:rPr>
          <w:t>Figure 8.</w:t>
        </w:r>
        <w:r w:rsidRPr="00D746B3">
          <w:rPr>
            <w:rStyle w:val="af2"/>
            <w:rFonts w:ascii="Times New Roman" w:hAnsi="Times New Roman" w:cs="Times New Roman"/>
            <w:noProof/>
            <w:sz w:val="24"/>
            <w:szCs w:val="28"/>
          </w:rPr>
          <w:t xml:space="preserve"> Indexed Fresh Water Withdrawal of Sinopec and CNOOC, 2020-2024 (2020=100)</w:t>
        </w:r>
        <w:r w:rsidRPr="00D746B3">
          <w:rPr>
            <w:rFonts w:ascii="Times New Roman" w:hAnsi="Times New Roman" w:cs="Times New Roman"/>
            <w:noProof/>
            <w:webHidden/>
            <w:sz w:val="24"/>
            <w:szCs w:val="28"/>
          </w:rPr>
          <w:tab/>
        </w:r>
        <w:r w:rsidRPr="00D746B3">
          <w:rPr>
            <w:rFonts w:ascii="Times New Roman" w:hAnsi="Times New Roman" w:cs="Times New Roman"/>
            <w:noProof/>
            <w:webHidden/>
            <w:sz w:val="24"/>
            <w:szCs w:val="28"/>
          </w:rPr>
          <w:fldChar w:fldCharType="begin"/>
        </w:r>
        <w:r w:rsidRPr="00D746B3">
          <w:rPr>
            <w:rFonts w:ascii="Times New Roman" w:hAnsi="Times New Roman" w:cs="Times New Roman"/>
            <w:noProof/>
            <w:webHidden/>
            <w:sz w:val="24"/>
            <w:szCs w:val="28"/>
          </w:rPr>
          <w:instrText xml:space="preserve"> PAGEREF _Toc230655273 \h </w:instrText>
        </w:r>
        <w:r w:rsidRPr="00D746B3">
          <w:rPr>
            <w:rFonts w:ascii="Times New Roman" w:hAnsi="Times New Roman" w:cs="Times New Roman"/>
            <w:noProof/>
            <w:webHidden/>
            <w:sz w:val="24"/>
            <w:szCs w:val="28"/>
          </w:rPr>
        </w:r>
        <w:r w:rsidRPr="00D746B3">
          <w:rPr>
            <w:rFonts w:ascii="Times New Roman" w:hAnsi="Times New Roman" w:cs="Times New Roman"/>
            <w:noProof/>
            <w:webHidden/>
            <w:sz w:val="24"/>
            <w:szCs w:val="28"/>
          </w:rPr>
          <w:fldChar w:fldCharType="separate"/>
        </w:r>
        <w:r w:rsidR="004932BC">
          <w:rPr>
            <w:rFonts w:ascii="Times New Roman" w:hAnsi="Times New Roman" w:cs="Times New Roman"/>
            <w:noProof/>
            <w:webHidden/>
            <w:sz w:val="24"/>
            <w:szCs w:val="28"/>
          </w:rPr>
          <w:t>17</w:t>
        </w:r>
        <w:r w:rsidRPr="00D746B3">
          <w:rPr>
            <w:rFonts w:ascii="Times New Roman" w:hAnsi="Times New Roman" w:cs="Times New Roman"/>
            <w:noProof/>
            <w:webHidden/>
            <w:sz w:val="24"/>
            <w:szCs w:val="28"/>
          </w:rPr>
          <w:fldChar w:fldCharType="end"/>
        </w:r>
      </w:hyperlink>
    </w:p>
    <w:p w14:paraId="0D23F5AA" w14:textId="04C1834B" w:rsidR="00D746B3" w:rsidRPr="00D746B3" w:rsidRDefault="00D746B3" w:rsidP="00502470">
      <w:pPr>
        <w:pStyle w:val="af5"/>
        <w:tabs>
          <w:tab w:val="right" w:leader="dot" w:pos="9060"/>
        </w:tabs>
        <w:spacing w:line="360" w:lineRule="auto"/>
        <w:ind w:leftChars="44" w:left="97" w:firstLineChars="0" w:firstLine="0"/>
        <w:rPr>
          <w:rFonts w:ascii="Times New Roman" w:hAnsi="Times New Roman" w:cs="Times New Roman"/>
          <w:noProof/>
          <w:sz w:val="24"/>
          <w:szCs w:val="28"/>
          <w:lang w:val="en-US"/>
        </w:rPr>
      </w:pPr>
      <w:hyperlink w:anchor="_Toc230655274" w:history="1">
        <w:r w:rsidRPr="00D746B3">
          <w:rPr>
            <w:rStyle w:val="af2"/>
            <w:rFonts w:ascii="Times New Roman" w:hAnsi="Times New Roman" w:cs="Times New Roman"/>
            <w:b/>
            <w:bCs/>
            <w:noProof/>
            <w:sz w:val="24"/>
            <w:szCs w:val="28"/>
          </w:rPr>
          <w:t>Figure 9.</w:t>
        </w:r>
        <w:r w:rsidRPr="00D746B3">
          <w:rPr>
            <w:rStyle w:val="af2"/>
            <w:rFonts w:ascii="Times New Roman" w:hAnsi="Times New Roman" w:cs="Times New Roman"/>
            <w:noProof/>
            <w:sz w:val="24"/>
            <w:szCs w:val="28"/>
          </w:rPr>
          <w:t xml:space="preserve"> Safety and Employee Development Indicators of Sinopec and CNOOC, 2020-2024</w:t>
        </w:r>
        <w:r w:rsidRPr="00D746B3">
          <w:rPr>
            <w:rFonts w:ascii="Times New Roman" w:hAnsi="Times New Roman" w:cs="Times New Roman"/>
            <w:noProof/>
            <w:webHidden/>
            <w:sz w:val="24"/>
            <w:szCs w:val="28"/>
          </w:rPr>
          <w:tab/>
        </w:r>
        <w:r w:rsidRPr="00D746B3">
          <w:rPr>
            <w:rFonts w:ascii="Times New Roman" w:hAnsi="Times New Roman" w:cs="Times New Roman"/>
            <w:noProof/>
            <w:webHidden/>
            <w:sz w:val="24"/>
            <w:szCs w:val="28"/>
          </w:rPr>
          <w:fldChar w:fldCharType="begin"/>
        </w:r>
        <w:r w:rsidRPr="00D746B3">
          <w:rPr>
            <w:rFonts w:ascii="Times New Roman" w:hAnsi="Times New Roman" w:cs="Times New Roman"/>
            <w:noProof/>
            <w:webHidden/>
            <w:sz w:val="24"/>
            <w:szCs w:val="28"/>
          </w:rPr>
          <w:instrText xml:space="preserve"> PAGEREF _Toc230655274 \h </w:instrText>
        </w:r>
        <w:r w:rsidRPr="00D746B3">
          <w:rPr>
            <w:rFonts w:ascii="Times New Roman" w:hAnsi="Times New Roman" w:cs="Times New Roman"/>
            <w:noProof/>
            <w:webHidden/>
            <w:sz w:val="24"/>
            <w:szCs w:val="28"/>
          </w:rPr>
        </w:r>
        <w:r w:rsidRPr="00D746B3">
          <w:rPr>
            <w:rFonts w:ascii="Times New Roman" w:hAnsi="Times New Roman" w:cs="Times New Roman"/>
            <w:noProof/>
            <w:webHidden/>
            <w:sz w:val="24"/>
            <w:szCs w:val="28"/>
          </w:rPr>
          <w:fldChar w:fldCharType="separate"/>
        </w:r>
        <w:r w:rsidR="004932BC">
          <w:rPr>
            <w:rFonts w:ascii="Times New Roman" w:hAnsi="Times New Roman" w:cs="Times New Roman"/>
            <w:noProof/>
            <w:webHidden/>
            <w:sz w:val="24"/>
            <w:szCs w:val="28"/>
          </w:rPr>
          <w:t>18</w:t>
        </w:r>
        <w:r w:rsidRPr="00D746B3">
          <w:rPr>
            <w:rFonts w:ascii="Times New Roman" w:hAnsi="Times New Roman" w:cs="Times New Roman"/>
            <w:noProof/>
            <w:webHidden/>
            <w:sz w:val="24"/>
            <w:szCs w:val="28"/>
          </w:rPr>
          <w:fldChar w:fldCharType="end"/>
        </w:r>
      </w:hyperlink>
    </w:p>
    <w:p w14:paraId="37943EDE" w14:textId="046C05CB" w:rsidR="00D746B3" w:rsidRPr="00D746B3" w:rsidRDefault="00D746B3" w:rsidP="00502470">
      <w:pPr>
        <w:pStyle w:val="af5"/>
        <w:tabs>
          <w:tab w:val="right" w:leader="dot" w:pos="9060"/>
        </w:tabs>
        <w:spacing w:line="360" w:lineRule="auto"/>
        <w:ind w:leftChars="29" w:left="247" w:hangingChars="83" w:hanging="183"/>
        <w:rPr>
          <w:rFonts w:ascii="Times New Roman" w:hAnsi="Times New Roman" w:cs="Times New Roman"/>
          <w:noProof/>
          <w:sz w:val="24"/>
          <w:szCs w:val="28"/>
          <w:lang w:val="en-US"/>
        </w:rPr>
      </w:pPr>
      <w:hyperlink w:anchor="_Toc230655275" w:history="1">
        <w:r w:rsidRPr="00D746B3">
          <w:rPr>
            <w:rStyle w:val="af2"/>
            <w:rFonts w:ascii="Times New Roman" w:hAnsi="Times New Roman" w:cs="Times New Roman"/>
            <w:b/>
            <w:bCs/>
            <w:noProof/>
            <w:sz w:val="24"/>
            <w:szCs w:val="28"/>
          </w:rPr>
          <w:t>Figure 10.</w:t>
        </w:r>
        <w:r w:rsidRPr="00D746B3">
          <w:rPr>
            <w:rStyle w:val="af2"/>
            <w:rFonts w:ascii="Times New Roman" w:hAnsi="Times New Roman" w:cs="Times New Roman"/>
            <w:noProof/>
            <w:sz w:val="24"/>
            <w:szCs w:val="28"/>
          </w:rPr>
          <w:t xml:space="preserve"> Diversity and Community Evidence of Sinopec and CNOOC, 2020-2024</w:t>
        </w:r>
        <w:r w:rsidRPr="00D746B3">
          <w:rPr>
            <w:rFonts w:ascii="Times New Roman" w:hAnsi="Times New Roman" w:cs="Times New Roman"/>
            <w:noProof/>
            <w:webHidden/>
            <w:sz w:val="24"/>
            <w:szCs w:val="28"/>
          </w:rPr>
          <w:tab/>
        </w:r>
        <w:r w:rsidRPr="00D746B3">
          <w:rPr>
            <w:rFonts w:ascii="Times New Roman" w:hAnsi="Times New Roman" w:cs="Times New Roman"/>
            <w:noProof/>
            <w:webHidden/>
            <w:sz w:val="24"/>
            <w:szCs w:val="28"/>
          </w:rPr>
          <w:fldChar w:fldCharType="begin"/>
        </w:r>
        <w:r w:rsidRPr="00D746B3">
          <w:rPr>
            <w:rFonts w:ascii="Times New Roman" w:hAnsi="Times New Roman" w:cs="Times New Roman"/>
            <w:noProof/>
            <w:webHidden/>
            <w:sz w:val="24"/>
            <w:szCs w:val="28"/>
          </w:rPr>
          <w:instrText xml:space="preserve"> PAGEREF _Toc230655275 \h </w:instrText>
        </w:r>
        <w:r w:rsidRPr="00D746B3">
          <w:rPr>
            <w:rFonts w:ascii="Times New Roman" w:hAnsi="Times New Roman" w:cs="Times New Roman"/>
            <w:noProof/>
            <w:webHidden/>
            <w:sz w:val="24"/>
            <w:szCs w:val="28"/>
          </w:rPr>
        </w:r>
        <w:r w:rsidRPr="00D746B3">
          <w:rPr>
            <w:rFonts w:ascii="Times New Roman" w:hAnsi="Times New Roman" w:cs="Times New Roman"/>
            <w:noProof/>
            <w:webHidden/>
            <w:sz w:val="24"/>
            <w:szCs w:val="28"/>
          </w:rPr>
          <w:fldChar w:fldCharType="separate"/>
        </w:r>
        <w:r w:rsidR="004932BC">
          <w:rPr>
            <w:rFonts w:ascii="Times New Roman" w:hAnsi="Times New Roman" w:cs="Times New Roman"/>
            <w:noProof/>
            <w:webHidden/>
            <w:sz w:val="24"/>
            <w:szCs w:val="28"/>
          </w:rPr>
          <w:t>19</w:t>
        </w:r>
        <w:r w:rsidRPr="00D746B3">
          <w:rPr>
            <w:rFonts w:ascii="Times New Roman" w:hAnsi="Times New Roman" w:cs="Times New Roman"/>
            <w:noProof/>
            <w:webHidden/>
            <w:sz w:val="24"/>
            <w:szCs w:val="28"/>
          </w:rPr>
          <w:fldChar w:fldCharType="end"/>
        </w:r>
      </w:hyperlink>
    </w:p>
    <w:p w14:paraId="4D3CA8C2" w14:textId="233F4420" w:rsidR="00D746B3" w:rsidRDefault="00D746B3" w:rsidP="00502470">
      <w:pPr>
        <w:pStyle w:val="af5"/>
        <w:tabs>
          <w:tab w:val="right" w:leader="dot" w:pos="9060"/>
        </w:tabs>
        <w:spacing w:line="360" w:lineRule="auto"/>
        <w:ind w:leftChars="43" w:left="278" w:hangingChars="83" w:hanging="183"/>
        <w:rPr>
          <w:rFonts w:hint="eastAsia"/>
          <w:noProof/>
          <w:lang w:val="en-US"/>
        </w:rPr>
      </w:pPr>
      <w:hyperlink w:anchor="_Toc230655276" w:history="1">
        <w:r w:rsidRPr="00D746B3">
          <w:rPr>
            <w:rStyle w:val="af2"/>
            <w:rFonts w:ascii="Times New Roman" w:hAnsi="Times New Roman" w:cs="Times New Roman"/>
            <w:b/>
            <w:bCs/>
            <w:noProof/>
            <w:sz w:val="24"/>
            <w:szCs w:val="28"/>
          </w:rPr>
          <w:t>Figure 11.</w:t>
        </w:r>
        <w:r w:rsidRPr="00D746B3">
          <w:rPr>
            <w:rStyle w:val="af2"/>
            <w:rFonts w:ascii="Times New Roman" w:hAnsi="Times New Roman" w:cs="Times New Roman"/>
            <w:noProof/>
            <w:sz w:val="24"/>
            <w:szCs w:val="28"/>
          </w:rPr>
          <w:t xml:space="preserve"> Board Independence of Sinopec and CNOOC, 2020-2024</w:t>
        </w:r>
        <w:r w:rsidRPr="00D746B3">
          <w:rPr>
            <w:rFonts w:ascii="Times New Roman" w:hAnsi="Times New Roman" w:cs="Times New Roman"/>
            <w:noProof/>
            <w:webHidden/>
            <w:sz w:val="24"/>
            <w:szCs w:val="28"/>
          </w:rPr>
          <w:tab/>
        </w:r>
        <w:r w:rsidRPr="00D746B3">
          <w:rPr>
            <w:rFonts w:ascii="Times New Roman" w:hAnsi="Times New Roman" w:cs="Times New Roman"/>
            <w:noProof/>
            <w:webHidden/>
            <w:sz w:val="24"/>
            <w:szCs w:val="28"/>
          </w:rPr>
          <w:fldChar w:fldCharType="begin"/>
        </w:r>
        <w:r w:rsidRPr="00D746B3">
          <w:rPr>
            <w:rFonts w:ascii="Times New Roman" w:hAnsi="Times New Roman" w:cs="Times New Roman"/>
            <w:noProof/>
            <w:webHidden/>
            <w:sz w:val="24"/>
            <w:szCs w:val="28"/>
          </w:rPr>
          <w:instrText xml:space="preserve"> PAGEREF _Toc230655276 \h </w:instrText>
        </w:r>
        <w:r w:rsidRPr="00D746B3">
          <w:rPr>
            <w:rFonts w:ascii="Times New Roman" w:hAnsi="Times New Roman" w:cs="Times New Roman"/>
            <w:noProof/>
            <w:webHidden/>
            <w:sz w:val="24"/>
            <w:szCs w:val="28"/>
          </w:rPr>
        </w:r>
        <w:r w:rsidRPr="00D746B3">
          <w:rPr>
            <w:rFonts w:ascii="Times New Roman" w:hAnsi="Times New Roman" w:cs="Times New Roman"/>
            <w:noProof/>
            <w:webHidden/>
            <w:sz w:val="24"/>
            <w:szCs w:val="28"/>
          </w:rPr>
          <w:fldChar w:fldCharType="separate"/>
        </w:r>
        <w:r w:rsidR="004932BC">
          <w:rPr>
            <w:rFonts w:ascii="Times New Roman" w:hAnsi="Times New Roman" w:cs="Times New Roman"/>
            <w:noProof/>
            <w:webHidden/>
            <w:sz w:val="24"/>
            <w:szCs w:val="28"/>
          </w:rPr>
          <w:t>20</w:t>
        </w:r>
        <w:r w:rsidRPr="00D746B3">
          <w:rPr>
            <w:rFonts w:ascii="Times New Roman" w:hAnsi="Times New Roman" w:cs="Times New Roman"/>
            <w:noProof/>
            <w:webHidden/>
            <w:sz w:val="24"/>
            <w:szCs w:val="28"/>
          </w:rPr>
          <w:fldChar w:fldCharType="end"/>
        </w:r>
      </w:hyperlink>
    </w:p>
    <w:p w14:paraId="77765679" w14:textId="2B22F9B6" w:rsidR="00D117EF" w:rsidRPr="00815660" w:rsidRDefault="00B407E0" w:rsidP="00502470">
      <w:pPr>
        <w:tabs>
          <w:tab w:val="left" w:pos="4536"/>
        </w:tabs>
        <w:spacing w:line="360" w:lineRule="auto"/>
        <w:jc w:val="both"/>
        <w:rPr>
          <w:rFonts w:ascii="Times New Roman" w:hAnsi="Times New Roman" w:cs="Times New Roman"/>
          <w:b/>
          <w:bCs/>
          <w:sz w:val="24"/>
        </w:rPr>
      </w:pPr>
      <w:r w:rsidRPr="00D746B3">
        <w:rPr>
          <w:rFonts w:ascii="Times New Roman" w:hAnsi="Times New Roman" w:cs="Times New Roman"/>
          <w:szCs w:val="22"/>
        </w:rPr>
        <w:fldChar w:fldCharType="end"/>
      </w:r>
    </w:p>
    <w:p w14:paraId="33A98E8B" w14:textId="77777777" w:rsidR="00D117EF" w:rsidRPr="00815660" w:rsidRDefault="00D117EF" w:rsidP="00502470">
      <w:pPr>
        <w:tabs>
          <w:tab w:val="left" w:pos="4536"/>
        </w:tabs>
        <w:spacing w:line="360" w:lineRule="auto"/>
        <w:rPr>
          <w:rFonts w:ascii="Times New Roman" w:hAnsi="Times New Roman" w:cs="Times New Roman"/>
          <w:b/>
          <w:bCs/>
          <w:sz w:val="24"/>
        </w:rPr>
      </w:pPr>
    </w:p>
    <w:p w14:paraId="5D162258" w14:textId="77777777" w:rsidR="00D117EF" w:rsidRPr="00815660" w:rsidRDefault="00D117EF" w:rsidP="00502470">
      <w:pPr>
        <w:tabs>
          <w:tab w:val="left" w:pos="4536"/>
        </w:tabs>
        <w:spacing w:line="360" w:lineRule="auto"/>
        <w:rPr>
          <w:rFonts w:ascii="Times New Roman" w:hAnsi="Times New Roman" w:cs="Times New Roman"/>
          <w:b/>
          <w:bCs/>
          <w:sz w:val="24"/>
        </w:rPr>
      </w:pPr>
    </w:p>
    <w:p w14:paraId="2C14396F" w14:textId="77777777" w:rsidR="00294A93" w:rsidRDefault="00294A93" w:rsidP="00502470">
      <w:pPr>
        <w:tabs>
          <w:tab w:val="left" w:pos="4536"/>
        </w:tabs>
        <w:spacing w:line="360" w:lineRule="auto"/>
        <w:rPr>
          <w:rFonts w:ascii="Times New Roman" w:hAnsi="Times New Roman" w:cs="Times New Roman"/>
          <w:b/>
          <w:bCs/>
          <w:sz w:val="24"/>
        </w:rPr>
      </w:pPr>
    </w:p>
    <w:p w14:paraId="70F8FE02" w14:textId="77777777" w:rsidR="00D02961" w:rsidRPr="00815660" w:rsidRDefault="00D02961" w:rsidP="00502470">
      <w:pPr>
        <w:tabs>
          <w:tab w:val="left" w:pos="4536"/>
        </w:tabs>
        <w:spacing w:line="360" w:lineRule="auto"/>
        <w:rPr>
          <w:rFonts w:ascii="Times New Roman" w:hAnsi="Times New Roman" w:cs="Times New Roman"/>
          <w:b/>
          <w:bCs/>
          <w:sz w:val="24"/>
        </w:rPr>
      </w:pPr>
    </w:p>
    <w:p w14:paraId="35841895" w14:textId="77777777" w:rsidR="00D117EF" w:rsidRPr="00815660" w:rsidRDefault="00D117EF" w:rsidP="00502470">
      <w:pPr>
        <w:tabs>
          <w:tab w:val="left" w:pos="4536"/>
        </w:tabs>
        <w:spacing w:line="360" w:lineRule="auto"/>
        <w:rPr>
          <w:rFonts w:ascii="Times New Roman" w:hAnsi="Times New Roman" w:cs="Times New Roman"/>
          <w:b/>
          <w:bCs/>
          <w:sz w:val="24"/>
        </w:rPr>
      </w:pPr>
    </w:p>
    <w:p w14:paraId="428BD61A" w14:textId="77777777" w:rsidR="00D117EF" w:rsidRPr="00815660" w:rsidRDefault="00D117EF" w:rsidP="00502470">
      <w:pPr>
        <w:tabs>
          <w:tab w:val="left" w:pos="4536"/>
        </w:tabs>
        <w:spacing w:line="360" w:lineRule="auto"/>
        <w:rPr>
          <w:rFonts w:ascii="Times New Roman" w:hAnsi="Times New Roman" w:cs="Times New Roman"/>
          <w:b/>
          <w:bCs/>
          <w:sz w:val="24"/>
        </w:rPr>
      </w:pPr>
    </w:p>
    <w:p w14:paraId="14F13E03" w14:textId="11856AD4" w:rsidR="002E4592" w:rsidRPr="004A72A9" w:rsidRDefault="003E7924" w:rsidP="00502470">
      <w:pPr>
        <w:pStyle w:val="21"/>
        <w:rPr>
          <w:rFonts w:eastAsiaTheme="minorEastAsia"/>
          <w:color w:val="auto"/>
        </w:rPr>
      </w:pPr>
      <w:bookmarkStart w:id="1" w:name="_Toc230578727"/>
      <w:r w:rsidRPr="00815660">
        <w:rPr>
          <w:color w:val="auto"/>
        </w:rPr>
        <w:lastRenderedPageBreak/>
        <w:t>Section 1: Introduction</w:t>
      </w:r>
      <w:bookmarkEnd w:id="1"/>
    </w:p>
    <w:p w14:paraId="4B1551A9" w14:textId="218D5DFC" w:rsidR="004A72A9" w:rsidRPr="00815660" w:rsidRDefault="004A72A9" w:rsidP="00502470">
      <w:pPr>
        <w:tabs>
          <w:tab w:val="left" w:pos="4536"/>
        </w:tabs>
        <w:spacing w:line="360" w:lineRule="auto"/>
        <w:jc w:val="both"/>
        <w:rPr>
          <w:rFonts w:ascii="Times New Roman" w:hAnsi="Times New Roman" w:cs="Times New Roman"/>
          <w:sz w:val="24"/>
        </w:rPr>
      </w:pPr>
      <w:r w:rsidRPr="004A72A9">
        <w:rPr>
          <w:rFonts w:ascii="Times New Roman" w:hAnsi="Times New Roman" w:cs="Times New Roman"/>
          <w:sz w:val="24"/>
        </w:rPr>
        <w:t>China Petrochemical Corporation (Sinopec Group) is one of China</w:t>
      </w:r>
      <w:r w:rsidR="00011E46">
        <w:rPr>
          <w:rFonts w:ascii="Times New Roman" w:hAnsi="Times New Roman" w:cs="Times New Roman"/>
          <w:sz w:val="24"/>
        </w:rPr>
        <w:t>’</w:t>
      </w:r>
      <w:r w:rsidRPr="004A72A9">
        <w:rPr>
          <w:rFonts w:ascii="Times New Roman" w:hAnsi="Times New Roman" w:cs="Times New Roman"/>
          <w:sz w:val="24"/>
        </w:rPr>
        <w:t>s largest state-owned integrated energy and petrochemical groups, with businesses spanning upstream exploration and production, pipeline transportation, refining, chemicals, petroleum product marketing and emerging energy services. Its listed subsidiary, China Petroleum &amp; Chemical Corporation (Sinopec Corp.), was established in 2000 through the reorganisation of Sinopec Group</w:t>
      </w:r>
      <w:r w:rsidR="00011E46">
        <w:rPr>
          <w:rFonts w:ascii="Times New Roman" w:hAnsi="Times New Roman" w:cs="Times New Roman"/>
          <w:sz w:val="24"/>
        </w:rPr>
        <w:t>’</w:t>
      </w:r>
      <w:r w:rsidRPr="004A72A9">
        <w:rPr>
          <w:rFonts w:ascii="Times New Roman" w:hAnsi="Times New Roman" w:cs="Times New Roman"/>
          <w:sz w:val="24"/>
        </w:rPr>
        <w:t xml:space="preserve">s core petroleum and petrochemical assets, and Sinopec Group remains </w:t>
      </w:r>
      <w:r w:rsidR="00502470" w:rsidRPr="00502470">
        <w:rPr>
          <w:rFonts w:ascii="Times New Roman" w:hAnsi="Times New Roman" w:cs="Times New Roman"/>
          <w:sz w:val="24"/>
        </w:rPr>
        <w:t>Sinopec Corp.’s</w:t>
      </w:r>
      <w:r w:rsidRPr="004A72A9">
        <w:rPr>
          <w:rFonts w:ascii="Times New Roman" w:hAnsi="Times New Roman" w:cs="Times New Roman"/>
          <w:sz w:val="24"/>
        </w:rPr>
        <w:t xml:space="preserve"> largest and controlling shareholder (Sinopec Corp., 2025a). With significant refining capacity and a broad role in petroleum and chemical supply chains, Sinopec has relevance beyond the domestic market. The group</w:t>
      </w:r>
      <w:r w:rsidR="00011E46">
        <w:rPr>
          <w:rFonts w:ascii="Times New Roman" w:hAnsi="Times New Roman" w:cs="Times New Roman"/>
          <w:sz w:val="24"/>
        </w:rPr>
        <w:t>’</w:t>
      </w:r>
      <w:r w:rsidRPr="004A72A9">
        <w:rPr>
          <w:rFonts w:ascii="Times New Roman" w:hAnsi="Times New Roman" w:cs="Times New Roman"/>
          <w:sz w:val="24"/>
        </w:rPr>
        <w:t>s state-owned background may support strategic stability and alignment with national energy priorities, while also requiring investment assessment to consider shareholder value alongside policy-driven transition objectives. Its performance is therefore sensitive to oil-price volatility, refining and chemical margins, working-capital pressure and energy-transition execution.</w:t>
      </w:r>
    </w:p>
    <w:p w14:paraId="39780BF8" w14:textId="77777777" w:rsidR="00B407E0" w:rsidRPr="00815660" w:rsidRDefault="002030A5" w:rsidP="00502470">
      <w:pPr>
        <w:keepNext/>
        <w:tabs>
          <w:tab w:val="left" w:pos="4536"/>
        </w:tabs>
        <w:spacing w:line="360" w:lineRule="auto"/>
        <w:jc w:val="center"/>
        <w:rPr>
          <w:rFonts w:hint="eastAsia"/>
        </w:rPr>
      </w:pPr>
      <w:r w:rsidRPr="00815660">
        <w:rPr>
          <w:rFonts w:ascii="Times New Roman" w:hAnsi="Times New Roman" w:cs="Times New Roman"/>
          <w:noProof/>
          <w:sz w:val="24"/>
        </w:rPr>
        <w:drawing>
          <wp:inline distT="0" distB="0" distL="0" distR="0" wp14:anchorId="30100607" wp14:editId="581E7247">
            <wp:extent cx="5733632" cy="2489755"/>
            <wp:effectExtent l="19050" t="19050" r="19685" b="25400"/>
            <wp:docPr id="1092171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71202" name="图片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43919" cy="2494222"/>
                    </a:xfrm>
                    <a:prstGeom prst="rect">
                      <a:avLst/>
                    </a:prstGeom>
                    <a:ln>
                      <a:solidFill>
                        <a:schemeClr val="bg1">
                          <a:lumMod val="85000"/>
                        </a:schemeClr>
                      </a:solidFill>
                    </a:ln>
                  </pic:spPr>
                </pic:pic>
              </a:graphicData>
            </a:graphic>
          </wp:inline>
        </w:drawing>
      </w:r>
    </w:p>
    <w:p w14:paraId="65C915D4" w14:textId="5E2E9BE8" w:rsidR="002030A5" w:rsidRDefault="00B407E0" w:rsidP="00502470">
      <w:pPr>
        <w:pStyle w:val="af4"/>
        <w:spacing w:line="360" w:lineRule="auto"/>
        <w:jc w:val="center"/>
        <w:rPr>
          <w:rFonts w:ascii="Times New Roman" w:hAnsi="Times New Roman" w:cs="Times New Roman"/>
          <w:sz w:val="22"/>
          <w:szCs w:val="22"/>
        </w:rPr>
      </w:pPr>
      <w:bookmarkStart w:id="2" w:name="_Toc230655266"/>
      <w:r w:rsidRPr="00815660">
        <w:rPr>
          <w:rFonts w:ascii="Times New Roman" w:hAnsi="Times New Roman" w:cs="Times New Roman"/>
          <w:b/>
          <w:bCs/>
          <w:sz w:val="22"/>
          <w:szCs w:val="22"/>
        </w:rPr>
        <w:t xml:space="preserve">Figure </w:t>
      </w:r>
      <w:r w:rsidRPr="00815660">
        <w:rPr>
          <w:rFonts w:ascii="Times New Roman" w:hAnsi="Times New Roman" w:cs="Times New Roman"/>
          <w:b/>
          <w:bCs/>
          <w:sz w:val="22"/>
          <w:szCs w:val="22"/>
        </w:rPr>
        <w:fldChar w:fldCharType="begin"/>
      </w:r>
      <w:r w:rsidRPr="00815660">
        <w:rPr>
          <w:rFonts w:ascii="Times New Roman" w:hAnsi="Times New Roman" w:cs="Times New Roman"/>
          <w:b/>
          <w:bCs/>
          <w:sz w:val="22"/>
          <w:szCs w:val="22"/>
        </w:rPr>
        <w:instrText xml:space="preserve"> SEQ Figure \* ARABIC </w:instrText>
      </w:r>
      <w:r w:rsidRPr="00815660">
        <w:rPr>
          <w:rFonts w:ascii="Times New Roman" w:hAnsi="Times New Roman" w:cs="Times New Roman"/>
          <w:b/>
          <w:bCs/>
          <w:sz w:val="22"/>
          <w:szCs w:val="22"/>
        </w:rPr>
        <w:fldChar w:fldCharType="separate"/>
      </w:r>
      <w:r w:rsidR="0053346D">
        <w:rPr>
          <w:rFonts w:ascii="Times New Roman" w:hAnsi="Times New Roman" w:cs="Times New Roman"/>
          <w:b/>
          <w:bCs/>
          <w:noProof/>
          <w:sz w:val="22"/>
          <w:szCs w:val="22"/>
        </w:rPr>
        <w:t>1</w:t>
      </w:r>
      <w:r w:rsidRPr="00815660">
        <w:rPr>
          <w:rFonts w:ascii="Times New Roman" w:hAnsi="Times New Roman" w:cs="Times New Roman"/>
          <w:b/>
          <w:bCs/>
          <w:sz w:val="22"/>
          <w:szCs w:val="22"/>
        </w:rPr>
        <w:fldChar w:fldCharType="end"/>
      </w:r>
      <w:r w:rsidR="00F13D89" w:rsidRPr="00815660">
        <w:rPr>
          <w:rFonts w:ascii="Times New Roman" w:hAnsi="Times New Roman" w:cs="Times New Roman" w:hint="eastAsia"/>
          <w:b/>
          <w:bCs/>
          <w:sz w:val="22"/>
          <w:szCs w:val="22"/>
        </w:rPr>
        <w:t>.</w:t>
      </w:r>
      <w:r w:rsidRPr="00815660">
        <w:rPr>
          <w:rFonts w:ascii="Times New Roman" w:hAnsi="Times New Roman" w:cs="Times New Roman"/>
          <w:b/>
          <w:bCs/>
          <w:sz w:val="22"/>
          <w:szCs w:val="22"/>
        </w:rPr>
        <w:t xml:space="preserve"> </w:t>
      </w:r>
      <w:r w:rsidR="00D746B3" w:rsidRPr="00D746B3">
        <w:rPr>
          <w:rFonts w:ascii="Times New Roman" w:hAnsi="Times New Roman" w:cs="Times New Roman"/>
          <w:sz w:val="22"/>
          <w:szCs w:val="22"/>
        </w:rPr>
        <w:t>Sinopec Segment Revenue and Operating Profit/(Loss), 2024</w:t>
      </w:r>
      <w:bookmarkEnd w:id="2"/>
    </w:p>
    <w:p w14:paraId="79BFC6AF" w14:textId="104C2D94" w:rsidR="00735D2E" w:rsidRPr="00735D2E" w:rsidRDefault="00735D2E" w:rsidP="00502470">
      <w:pPr>
        <w:spacing w:line="360" w:lineRule="auto"/>
        <w:rPr>
          <w:rFonts w:ascii="Times New Roman" w:hAnsi="Times New Roman" w:cs="Times New Roman"/>
        </w:rPr>
      </w:pPr>
      <w:r w:rsidRPr="00735D2E">
        <w:rPr>
          <w:rFonts w:ascii="Times New Roman" w:hAnsi="Times New Roman" w:cs="Times New Roman"/>
        </w:rPr>
        <w:t>Source: Compiled from Sinopec Corp. (2025a).</w:t>
      </w:r>
    </w:p>
    <w:p w14:paraId="716F9ACD" w14:textId="79D048CA" w:rsidR="000B1ECC" w:rsidRDefault="000B1ECC" w:rsidP="00502470">
      <w:pPr>
        <w:tabs>
          <w:tab w:val="left" w:pos="4536"/>
        </w:tabs>
        <w:spacing w:line="360" w:lineRule="auto"/>
        <w:jc w:val="both"/>
        <w:rPr>
          <w:rFonts w:ascii="Times New Roman" w:hAnsi="Times New Roman" w:cs="Times New Roman"/>
          <w:sz w:val="24"/>
        </w:rPr>
      </w:pPr>
      <w:r w:rsidRPr="000B1ECC">
        <w:rPr>
          <w:rFonts w:ascii="Times New Roman" w:hAnsi="Times New Roman" w:cs="Times New Roman"/>
          <w:sz w:val="24"/>
        </w:rPr>
        <w:t xml:space="preserve">On a pre-elimination basis, Sinopec’s segment operating revenue in 2024 was primarily generated by Marketing and Distribution, Refining, and Corporate and Others, as illustrated in </w:t>
      </w:r>
      <w:r w:rsidRPr="000B1ECC">
        <w:rPr>
          <w:rFonts w:ascii="Times New Roman" w:hAnsi="Times New Roman" w:cs="Times New Roman"/>
          <w:sz w:val="24"/>
        </w:rPr>
        <w:lastRenderedPageBreak/>
        <w:t xml:space="preserve">Figure 1. Operating profit did not follow the same pattern: Exploration and Production was the largest profit contributor, whereas Chemicals posted an operating loss. </w:t>
      </w:r>
      <w:r w:rsidR="00071720" w:rsidRPr="00071720">
        <w:rPr>
          <w:rFonts w:ascii="Times New Roman" w:hAnsi="Times New Roman" w:cs="Times New Roman"/>
          <w:sz w:val="24"/>
        </w:rPr>
        <w:t>For client-facing investment assessment, t</w:t>
      </w:r>
      <w:r w:rsidRPr="000B1ECC">
        <w:rPr>
          <w:rFonts w:ascii="Times New Roman" w:hAnsi="Times New Roman" w:cs="Times New Roman"/>
          <w:sz w:val="24"/>
        </w:rPr>
        <w:t>his comparison reveals that Sinopec’s revenue size does not guarantee shareholder value, because its integrated model is dominated by downstream businesses and faces risks from refining margins, petrochemical cycles, inventory movements and transport-fuel substitution. The report therefore uses CNOOC Limited as a benchmark, since it is another major Chinese listed energy company with a more upstream-focused business profile and is subject to a broadly similar industry and regulatory environment. This benchmark helps differentiate general oil and gas industry conditions from Sinopec-specific exposure arising from its downstream-heavy model.</w:t>
      </w:r>
    </w:p>
    <w:p w14:paraId="2E1A906A" w14:textId="7BE4D81A" w:rsidR="000B1ECC" w:rsidRDefault="000B1ECC" w:rsidP="00502470">
      <w:pPr>
        <w:tabs>
          <w:tab w:val="left" w:pos="4536"/>
        </w:tabs>
        <w:spacing w:line="360" w:lineRule="auto"/>
        <w:jc w:val="both"/>
        <w:rPr>
          <w:rFonts w:ascii="Times New Roman" w:hAnsi="Times New Roman" w:cs="Times New Roman"/>
          <w:sz w:val="24"/>
        </w:rPr>
      </w:pPr>
      <w:r w:rsidRPr="000B1ECC">
        <w:rPr>
          <w:rFonts w:ascii="Times New Roman" w:hAnsi="Times New Roman" w:cs="Times New Roman"/>
          <w:sz w:val="24"/>
        </w:rPr>
        <w:t>The review period of 2020</w:t>
      </w:r>
      <w:r w:rsidR="00C54DB1">
        <w:rPr>
          <w:rFonts w:ascii="Times New Roman" w:hAnsi="Times New Roman" w:cs="Times New Roman"/>
          <w:sz w:val="24"/>
        </w:rPr>
        <w:t>-</w:t>
      </w:r>
      <w:r w:rsidRPr="000B1ECC">
        <w:rPr>
          <w:rFonts w:ascii="Times New Roman" w:hAnsi="Times New Roman" w:cs="Times New Roman"/>
          <w:sz w:val="24"/>
        </w:rPr>
        <w:t>2024 is especially telling, as it encompasses both the post-pandemic recovery and a more challenging stage of structural adjustment. China’s petroleum fuel-demand growth has decelerated as energy efficiency improves and new energy vehicle adoption increasingly substitutes gasoline and diesel consumption (IEA, 2025; Reuters, 2025a). Meanwhile, global oil demand growth is likely to level off toward the end of the decade, and oil and gas firms face pressure to balance profitability, energy security, capital discipline and decarbonisation investment (IEA, 2024; McKinsey &amp; Company, 2024). The effect of these pressures is already evident in Sinopec’s 2024 performance, where lower crude prices, reduced refining margins and demand shifts contributed to weaker profits (Reuters, 2025b).</w:t>
      </w:r>
    </w:p>
    <w:p w14:paraId="062AC157" w14:textId="468561E5" w:rsidR="000B1ECC" w:rsidRPr="00502470" w:rsidRDefault="000B1ECC" w:rsidP="00502470">
      <w:pPr>
        <w:tabs>
          <w:tab w:val="left" w:pos="4536"/>
        </w:tabs>
        <w:spacing w:line="360" w:lineRule="auto"/>
        <w:jc w:val="both"/>
        <w:rPr>
          <w:rFonts w:ascii="Times New Roman" w:hAnsi="Times New Roman" w:cs="Times New Roman"/>
          <w:sz w:val="24"/>
        </w:rPr>
      </w:pPr>
      <w:r w:rsidRPr="000B1ECC">
        <w:rPr>
          <w:rFonts w:ascii="Times New Roman" w:hAnsi="Times New Roman" w:cs="Times New Roman"/>
          <w:sz w:val="24"/>
        </w:rPr>
        <w:t>For this reason, Sinopec’s financial and non-financial (ESG) performance is assessed over 2020</w:t>
      </w:r>
      <w:r w:rsidR="00C54DB1">
        <w:rPr>
          <w:rFonts w:ascii="Times New Roman" w:hAnsi="Times New Roman" w:cs="Times New Roman"/>
          <w:sz w:val="24"/>
        </w:rPr>
        <w:t>-</w:t>
      </w:r>
      <w:r w:rsidRPr="000B1ECC">
        <w:rPr>
          <w:rFonts w:ascii="Times New Roman" w:hAnsi="Times New Roman" w:cs="Times New Roman"/>
          <w:sz w:val="24"/>
        </w:rPr>
        <w:t>2024 to provide investment recommendations and advice to clients. Instead of treating financial and ESG performance as separate checklists, the report combines both strands to evaluate Sinopec’s resilience, transition readiness and investment implications. Section 2 compares Sinopec with CNOOC in terms of profitability, liquidity, solvency and efficiency to assess relative financial resilience. Section 3 analyses environmental, social and governance performance for assessing transition readiness, stakeholder exposure and reporting credibility. Finally, Section 4 brings together the findings to form an overall assessment of Sinopec’s long-term viability, strategic direction and investment implications for clients.</w:t>
      </w:r>
    </w:p>
    <w:p w14:paraId="51BBB1E3" w14:textId="1192703D" w:rsidR="00B53EF6" w:rsidRPr="00815660" w:rsidRDefault="0018257D" w:rsidP="00502470">
      <w:pPr>
        <w:pStyle w:val="21"/>
        <w:rPr>
          <w:rFonts w:eastAsiaTheme="minorEastAsia"/>
          <w:color w:val="auto"/>
        </w:rPr>
      </w:pPr>
      <w:bookmarkStart w:id="3" w:name="_Toc230578728"/>
      <w:r w:rsidRPr="00815660">
        <w:rPr>
          <w:color w:val="auto"/>
        </w:rPr>
        <w:lastRenderedPageBreak/>
        <w:t xml:space="preserve">Section 2: Financial </w:t>
      </w:r>
      <w:r w:rsidR="00025764" w:rsidRPr="00815660">
        <w:rPr>
          <w:rFonts w:hint="eastAsia"/>
          <w:color w:val="auto"/>
        </w:rPr>
        <w:t>Pe</w:t>
      </w:r>
      <w:r w:rsidRPr="00815660">
        <w:rPr>
          <w:color w:val="auto"/>
        </w:rPr>
        <w:t>rformance Analysis of Sinopec Group</w:t>
      </w:r>
      <w:bookmarkEnd w:id="3"/>
    </w:p>
    <w:p w14:paraId="29DCE7F4" w14:textId="433F6F24" w:rsidR="000B1ECC" w:rsidRPr="00815660" w:rsidRDefault="000B1ECC" w:rsidP="00502470">
      <w:pPr>
        <w:spacing w:line="360" w:lineRule="auto"/>
        <w:jc w:val="both"/>
        <w:rPr>
          <w:rFonts w:ascii="Times New Roman" w:hAnsi="Times New Roman" w:cs="Times New Roman"/>
          <w:sz w:val="24"/>
          <w:szCs w:val="28"/>
        </w:rPr>
      </w:pPr>
      <w:r w:rsidRPr="000B1ECC">
        <w:rPr>
          <w:rFonts w:ascii="Times New Roman" w:hAnsi="Times New Roman" w:cs="Times New Roman"/>
          <w:sz w:val="24"/>
          <w:szCs w:val="28"/>
        </w:rPr>
        <w:t>Evaluating Sinopec’s earnings capacity, liquidity flexibility and funding resilience is key to assessing whether its financial performance can support both traditional business operations and energy-transition investment. Based on Sinopec Corp. as the practical financial proxy and CNOOC as the benchmark, this section reviews the company’s performance from 2020 to 2024 in terms of profitability, liquidity, solvency and efficiency. Since Sinopec and CNOOC operate in the same broad industry and regulatory environment, but differ in business profile, with Sinopec being more downstream-focused, CNOOC is an appropriate comparator for filtering out wider energy-cycle effects and identifying Sinopec-specific downstream exposure (CNOOC Limited, 2025a). Each subsection discusses the ratio category, provides a summary table of the key ratios and an integrated figure, and draws conclusions based on business drivers such as refining margins, chemical performance, working-capital pressure, capital expenditure needs and supply-chain efficiency.</w:t>
      </w:r>
    </w:p>
    <w:p w14:paraId="3DBA8393" w14:textId="4AD82819" w:rsidR="00B53EF6" w:rsidRPr="00815660" w:rsidRDefault="004974A1" w:rsidP="00502470">
      <w:pPr>
        <w:pStyle w:val="31"/>
        <w:rPr>
          <w:rFonts w:eastAsiaTheme="minorEastAsia"/>
          <w:i w:val="0"/>
          <w:iCs w:val="0"/>
        </w:rPr>
      </w:pPr>
      <w:bookmarkStart w:id="4" w:name="_Toc230578729"/>
      <w:r w:rsidRPr="00815660">
        <w:rPr>
          <w:i w:val="0"/>
          <w:iCs w:val="0"/>
        </w:rPr>
        <w:t>2.1 Profitability</w:t>
      </w:r>
      <w:bookmarkEnd w:id="4"/>
    </w:p>
    <w:p w14:paraId="16EB6B62" w14:textId="57A0F7F9" w:rsidR="000B1ECC" w:rsidRPr="00815660" w:rsidRDefault="000B1ECC" w:rsidP="00502470">
      <w:pPr>
        <w:tabs>
          <w:tab w:val="left" w:pos="4536"/>
        </w:tabs>
        <w:spacing w:line="360" w:lineRule="auto"/>
        <w:jc w:val="both"/>
        <w:rPr>
          <w:rFonts w:ascii="Times New Roman" w:hAnsi="Times New Roman" w:cs="Times New Roman"/>
          <w:sz w:val="24"/>
        </w:rPr>
      </w:pPr>
      <w:r w:rsidRPr="000B1ECC">
        <w:rPr>
          <w:rFonts w:ascii="Times New Roman" w:hAnsi="Times New Roman" w:cs="Times New Roman"/>
          <w:sz w:val="24"/>
        </w:rPr>
        <w:t>Profitability measures Sinopec’s ability to generate returns from its large asset base, capital resources and revenue scale. Profitability ratios assess profit generation from revenue and assets, including ROA, ROE, net profit margin and operating profit margin (CFA Institute, 2026). For Sinopec, this depends not only on higher sales volume, but also on oil-price cycles, refining margins, petrochemical spreads, and marketing and chemical segment performance. Table 1 lists Sinopec’s and CNOOC’s profitability ratios from 2020 to 2024, while Figure 2 shows the five-year trends.</w:t>
      </w:r>
    </w:p>
    <w:p w14:paraId="28B65AA4" w14:textId="276FD171" w:rsidR="008F58DB" w:rsidRPr="00815660" w:rsidRDefault="008F58DB" w:rsidP="00502470">
      <w:pPr>
        <w:pStyle w:val="af4"/>
        <w:keepNext/>
        <w:spacing w:line="360" w:lineRule="auto"/>
        <w:jc w:val="both"/>
        <w:rPr>
          <w:rFonts w:ascii="Times New Roman" w:hAnsi="Times New Roman" w:cs="Times New Roman"/>
          <w:sz w:val="22"/>
          <w:szCs w:val="22"/>
        </w:rPr>
      </w:pPr>
      <w:bookmarkStart w:id="5" w:name="_Toc230654739"/>
      <w:r w:rsidRPr="00815660">
        <w:rPr>
          <w:rFonts w:ascii="Times New Roman" w:hAnsi="Times New Roman" w:cs="Times New Roman"/>
          <w:b/>
          <w:bCs/>
          <w:sz w:val="22"/>
          <w:szCs w:val="22"/>
        </w:rPr>
        <w:lastRenderedPageBreak/>
        <w:t xml:space="preserve">Table </w:t>
      </w:r>
      <w:r w:rsidRPr="00815660">
        <w:rPr>
          <w:rFonts w:ascii="Times New Roman" w:hAnsi="Times New Roman" w:cs="Times New Roman"/>
          <w:b/>
          <w:bCs/>
          <w:sz w:val="22"/>
          <w:szCs w:val="22"/>
        </w:rPr>
        <w:fldChar w:fldCharType="begin"/>
      </w:r>
      <w:r w:rsidRPr="00815660">
        <w:rPr>
          <w:rFonts w:ascii="Times New Roman" w:hAnsi="Times New Roman" w:cs="Times New Roman"/>
          <w:b/>
          <w:bCs/>
          <w:sz w:val="22"/>
          <w:szCs w:val="22"/>
        </w:rPr>
        <w:instrText xml:space="preserve"> SEQ Table \* ARABIC </w:instrText>
      </w:r>
      <w:r w:rsidRPr="00815660">
        <w:rPr>
          <w:rFonts w:ascii="Times New Roman" w:hAnsi="Times New Roman" w:cs="Times New Roman"/>
          <w:b/>
          <w:bCs/>
          <w:sz w:val="22"/>
          <w:szCs w:val="22"/>
        </w:rPr>
        <w:fldChar w:fldCharType="separate"/>
      </w:r>
      <w:r w:rsidR="00D1368E">
        <w:rPr>
          <w:rFonts w:ascii="Times New Roman" w:hAnsi="Times New Roman" w:cs="Times New Roman"/>
          <w:b/>
          <w:bCs/>
          <w:noProof/>
          <w:sz w:val="22"/>
          <w:szCs w:val="22"/>
        </w:rPr>
        <w:t>1</w:t>
      </w:r>
      <w:r w:rsidRPr="00815660">
        <w:rPr>
          <w:rFonts w:ascii="Times New Roman" w:hAnsi="Times New Roman" w:cs="Times New Roman"/>
          <w:b/>
          <w:bCs/>
          <w:sz w:val="22"/>
          <w:szCs w:val="22"/>
        </w:rPr>
        <w:fldChar w:fldCharType="end"/>
      </w:r>
      <w:r w:rsidRPr="00815660">
        <w:rPr>
          <w:rFonts w:ascii="Times New Roman" w:hAnsi="Times New Roman" w:cs="Times New Roman"/>
          <w:b/>
          <w:bCs/>
          <w:sz w:val="22"/>
          <w:szCs w:val="22"/>
        </w:rPr>
        <w:t xml:space="preserve">. </w:t>
      </w:r>
      <w:r w:rsidRPr="00815660">
        <w:rPr>
          <w:rFonts w:ascii="Times New Roman" w:hAnsi="Times New Roman" w:cs="Times New Roman"/>
          <w:sz w:val="22"/>
          <w:szCs w:val="22"/>
        </w:rPr>
        <w:t>Profitability Ratios of Sinopec and CNOOC, 2020</w:t>
      </w:r>
      <w:r w:rsidR="00393F7D">
        <w:rPr>
          <w:rFonts w:ascii="Times New Roman" w:hAnsi="Times New Roman" w:cs="Times New Roman"/>
          <w:sz w:val="22"/>
          <w:szCs w:val="22"/>
        </w:rPr>
        <w:t>-</w:t>
      </w:r>
      <w:r w:rsidRPr="00815660">
        <w:rPr>
          <w:rFonts w:ascii="Times New Roman" w:hAnsi="Times New Roman" w:cs="Times New Roman"/>
          <w:sz w:val="22"/>
          <w:szCs w:val="22"/>
        </w:rPr>
        <w:t>2024</w:t>
      </w:r>
      <w:bookmarkEnd w:id="5"/>
    </w:p>
    <w:p w14:paraId="29215373" w14:textId="00572AD8" w:rsidR="008F58DB" w:rsidRDefault="008F58DB" w:rsidP="00502470">
      <w:pPr>
        <w:tabs>
          <w:tab w:val="left" w:pos="4536"/>
        </w:tabs>
        <w:spacing w:line="360" w:lineRule="auto"/>
        <w:jc w:val="center"/>
        <w:rPr>
          <w:rFonts w:ascii="Times New Roman" w:hAnsi="Times New Roman" w:cs="Times New Roman"/>
          <w:sz w:val="24"/>
        </w:rPr>
      </w:pPr>
      <w:r w:rsidRPr="00815660">
        <w:rPr>
          <w:rFonts w:ascii="Times New Roman" w:hAnsi="Times New Roman" w:cs="Times New Roman"/>
          <w:noProof/>
          <w:sz w:val="24"/>
        </w:rPr>
        <w:drawing>
          <wp:inline distT="0" distB="0" distL="0" distR="0" wp14:anchorId="2B1344F6" wp14:editId="02B010E8">
            <wp:extent cx="5708156" cy="1766570"/>
            <wp:effectExtent l="0" t="0" r="6985" b="5080"/>
            <wp:docPr id="1994533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33598" name=""/>
                    <pic:cNvPicPr/>
                  </pic:nvPicPr>
                  <pic:blipFill>
                    <a:blip r:embed="rId9"/>
                    <a:stretch>
                      <a:fillRect/>
                    </a:stretch>
                  </pic:blipFill>
                  <pic:spPr>
                    <a:xfrm>
                      <a:off x="0" y="0"/>
                      <a:ext cx="5719660" cy="1770130"/>
                    </a:xfrm>
                    <a:prstGeom prst="rect">
                      <a:avLst/>
                    </a:prstGeom>
                  </pic:spPr>
                </pic:pic>
              </a:graphicData>
            </a:graphic>
          </wp:inline>
        </w:drawing>
      </w:r>
    </w:p>
    <w:p w14:paraId="5A84EA88" w14:textId="1421D65F" w:rsidR="00616855" w:rsidRPr="00616855" w:rsidRDefault="00616855" w:rsidP="00502470">
      <w:pPr>
        <w:tabs>
          <w:tab w:val="left" w:pos="4536"/>
        </w:tabs>
        <w:spacing w:line="360" w:lineRule="auto"/>
        <w:jc w:val="both"/>
        <w:rPr>
          <w:rFonts w:ascii="Times New Roman" w:hAnsi="Times New Roman" w:cs="Times New Roman"/>
          <w:szCs w:val="22"/>
        </w:rPr>
      </w:pPr>
      <w:r w:rsidRPr="00616855">
        <w:rPr>
          <w:rFonts w:ascii="Times New Roman" w:hAnsi="Times New Roman" w:cs="Times New Roman"/>
          <w:szCs w:val="22"/>
        </w:rPr>
        <w:t>Source: Financial data for Tables 1</w:t>
      </w:r>
      <w:r w:rsidR="00393F7D">
        <w:rPr>
          <w:rFonts w:ascii="Times New Roman" w:hAnsi="Times New Roman" w:cs="Times New Roman"/>
          <w:szCs w:val="22"/>
        </w:rPr>
        <w:t>-</w:t>
      </w:r>
      <w:r w:rsidRPr="00616855">
        <w:rPr>
          <w:rFonts w:ascii="Times New Roman" w:hAnsi="Times New Roman" w:cs="Times New Roman"/>
          <w:szCs w:val="22"/>
        </w:rPr>
        <w:t>4 and Figures 2</w:t>
      </w:r>
      <w:r w:rsidR="00393F7D">
        <w:rPr>
          <w:rFonts w:ascii="Times New Roman" w:hAnsi="Times New Roman" w:cs="Times New Roman"/>
          <w:szCs w:val="22"/>
        </w:rPr>
        <w:t>-</w:t>
      </w:r>
      <w:r w:rsidRPr="00616855">
        <w:rPr>
          <w:rFonts w:ascii="Times New Roman" w:hAnsi="Times New Roman" w:cs="Times New Roman"/>
          <w:szCs w:val="22"/>
        </w:rPr>
        <w:t>5 are calculated from Sinopec Corp. and CNOOC Limited annual reports, 2020</w:t>
      </w:r>
      <w:r w:rsidR="00393F7D">
        <w:rPr>
          <w:rFonts w:ascii="Times New Roman" w:hAnsi="Times New Roman" w:cs="Times New Roman"/>
          <w:szCs w:val="22"/>
        </w:rPr>
        <w:t>-</w:t>
      </w:r>
      <w:r w:rsidRPr="00616855">
        <w:rPr>
          <w:rFonts w:ascii="Times New Roman" w:hAnsi="Times New Roman" w:cs="Times New Roman"/>
          <w:szCs w:val="22"/>
        </w:rPr>
        <w:t>2024; see Excel Appendix for ratio calculations.</w:t>
      </w:r>
    </w:p>
    <w:p w14:paraId="67AAC3C0" w14:textId="77777777" w:rsidR="00960013" w:rsidRPr="00815660" w:rsidRDefault="00960013" w:rsidP="00502470">
      <w:pPr>
        <w:keepNext/>
        <w:spacing w:line="360" w:lineRule="auto"/>
        <w:jc w:val="center"/>
        <w:rPr>
          <w:rFonts w:hint="eastAsia"/>
        </w:rPr>
      </w:pPr>
      <w:r w:rsidRPr="00815660">
        <w:rPr>
          <w:rFonts w:ascii="Times New Roman" w:hAnsi="Times New Roman" w:cs="Times New Roman"/>
          <w:b/>
          <w:bCs/>
          <w:noProof/>
          <w:sz w:val="24"/>
        </w:rPr>
        <w:drawing>
          <wp:inline distT="0" distB="0" distL="0" distR="0" wp14:anchorId="0D4DE972" wp14:editId="56021837">
            <wp:extent cx="5678365" cy="3778059"/>
            <wp:effectExtent l="19050" t="19050" r="17780" b="13335"/>
            <wp:docPr id="427529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29266" name="图片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85221" cy="3782621"/>
                    </a:xfrm>
                    <a:prstGeom prst="rect">
                      <a:avLst/>
                    </a:prstGeom>
                    <a:ln>
                      <a:solidFill>
                        <a:schemeClr val="bg1">
                          <a:lumMod val="85000"/>
                        </a:schemeClr>
                      </a:solidFill>
                    </a:ln>
                  </pic:spPr>
                </pic:pic>
              </a:graphicData>
            </a:graphic>
          </wp:inline>
        </w:drawing>
      </w:r>
    </w:p>
    <w:p w14:paraId="7DA91934" w14:textId="0DEA0595" w:rsidR="00B53EF6" w:rsidRPr="00815660" w:rsidRDefault="00960013" w:rsidP="00502470">
      <w:pPr>
        <w:pStyle w:val="af4"/>
        <w:spacing w:line="360" w:lineRule="auto"/>
        <w:jc w:val="center"/>
        <w:rPr>
          <w:rFonts w:ascii="Times New Roman" w:hAnsi="Times New Roman" w:cs="Times New Roman"/>
          <w:b/>
          <w:bCs/>
          <w:sz w:val="32"/>
          <w:szCs w:val="22"/>
        </w:rPr>
      </w:pPr>
      <w:bookmarkStart w:id="6" w:name="_Toc230655267"/>
      <w:r w:rsidRPr="00815660">
        <w:rPr>
          <w:rFonts w:ascii="Times New Roman" w:hAnsi="Times New Roman" w:cs="Times New Roman"/>
          <w:b/>
          <w:bCs/>
          <w:sz w:val="22"/>
          <w:szCs w:val="22"/>
        </w:rPr>
        <w:t xml:space="preserve">Figure </w:t>
      </w:r>
      <w:r w:rsidRPr="00815660">
        <w:rPr>
          <w:rFonts w:ascii="Times New Roman" w:hAnsi="Times New Roman" w:cs="Times New Roman"/>
          <w:b/>
          <w:bCs/>
          <w:sz w:val="22"/>
          <w:szCs w:val="22"/>
        </w:rPr>
        <w:fldChar w:fldCharType="begin"/>
      </w:r>
      <w:r w:rsidRPr="00815660">
        <w:rPr>
          <w:rFonts w:ascii="Times New Roman" w:hAnsi="Times New Roman" w:cs="Times New Roman"/>
          <w:b/>
          <w:bCs/>
          <w:sz w:val="22"/>
          <w:szCs w:val="22"/>
        </w:rPr>
        <w:instrText xml:space="preserve"> SEQ Figure \* ARABIC </w:instrText>
      </w:r>
      <w:r w:rsidRPr="00815660">
        <w:rPr>
          <w:rFonts w:ascii="Times New Roman" w:hAnsi="Times New Roman" w:cs="Times New Roman"/>
          <w:b/>
          <w:bCs/>
          <w:sz w:val="22"/>
          <w:szCs w:val="22"/>
        </w:rPr>
        <w:fldChar w:fldCharType="separate"/>
      </w:r>
      <w:r w:rsidR="0053346D">
        <w:rPr>
          <w:rFonts w:ascii="Times New Roman" w:hAnsi="Times New Roman" w:cs="Times New Roman"/>
          <w:b/>
          <w:bCs/>
          <w:noProof/>
          <w:sz w:val="22"/>
          <w:szCs w:val="22"/>
        </w:rPr>
        <w:t>2</w:t>
      </w:r>
      <w:r w:rsidRPr="00815660">
        <w:rPr>
          <w:rFonts w:ascii="Times New Roman" w:hAnsi="Times New Roman" w:cs="Times New Roman"/>
          <w:b/>
          <w:bCs/>
          <w:sz w:val="22"/>
          <w:szCs w:val="22"/>
        </w:rPr>
        <w:fldChar w:fldCharType="end"/>
      </w:r>
      <w:r w:rsidRPr="00815660">
        <w:rPr>
          <w:rFonts w:ascii="Times New Roman" w:hAnsi="Times New Roman" w:cs="Times New Roman"/>
          <w:b/>
          <w:bCs/>
          <w:sz w:val="22"/>
          <w:szCs w:val="22"/>
        </w:rPr>
        <w:t>.</w:t>
      </w:r>
      <w:r w:rsidRPr="00815660">
        <w:rPr>
          <w:rFonts w:ascii="Times New Roman" w:hAnsi="Times New Roman" w:cs="Times New Roman"/>
          <w:sz w:val="22"/>
          <w:szCs w:val="22"/>
        </w:rPr>
        <w:t xml:space="preserve"> Profitability Ratio Trends of Sinopec and CNOOC, 2020</w:t>
      </w:r>
      <w:r w:rsidR="00393F7D">
        <w:rPr>
          <w:rFonts w:ascii="Times New Roman" w:hAnsi="Times New Roman" w:cs="Times New Roman"/>
          <w:sz w:val="22"/>
          <w:szCs w:val="22"/>
        </w:rPr>
        <w:t>-</w:t>
      </w:r>
      <w:r w:rsidRPr="00815660">
        <w:rPr>
          <w:rFonts w:ascii="Times New Roman" w:hAnsi="Times New Roman" w:cs="Times New Roman"/>
          <w:sz w:val="22"/>
          <w:szCs w:val="22"/>
        </w:rPr>
        <w:t>2024</w:t>
      </w:r>
      <w:bookmarkEnd w:id="6"/>
    </w:p>
    <w:p w14:paraId="40DD24CC" w14:textId="4832AB5D" w:rsidR="00125D51" w:rsidRDefault="00125D51" w:rsidP="00502470">
      <w:pPr>
        <w:spacing w:line="360" w:lineRule="auto"/>
        <w:jc w:val="both"/>
        <w:rPr>
          <w:rFonts w:ascii="Times New Roman" w:hAnsi="Times New Roman" w:cs="Times New Roman"/>
          <w:sz w:val="24"/>
        </w:rPr>
      </w:pPr>
      <w:r w:rsidRPr="00125D51">
        <w:rPr>
          <w:rFonts w:ascii="Times New Roman" w:hAnsi="Times New Roman" w:cs="Times New Roman"/>
          <w:sz w:val="24"/>
        </w:rPr>
        <w:t>As shown in Table 1 and Figure 2, Sinopec</w:t>
      </w:r>
      <w:r w:rsidR="00011E46">
        <w:rPr>
          <w:rFonts w:ascii="Times New Roman" w:hAnsi="Times New Roman" w:cs="Times New Roman"/>
          <w:sz w:val="24"/>
        </w:rPr>
        <w:t>’</w:t>
      </w:r>
      <w:r w:rsidRPr="00125D51">
        <w:rPr>
          <w:rFonts w:ascii="Times New Roman" w:hAnsi="Times New Roman" w:cs="Times New Roman"/>
          <w:sz w:val="24"/>
        </w:rPr>
        <w:t>s profitability improved sharply in 2021 but weakened thereafter across all four indicators. ROA increased from 3.20% in 2020 to 5.45% in 2021 before falling to 3.67% in 2024, while ROE rose from 4.47% to 9.35% and then declined to 6.19%. These return</w:t>
      </w:r>
      <w:r w:rsidR="00393F7D">
        <w:rPr>
          <w:rFonts w:ascii="Times New Roman" w:hAnsi="Times New Roman" w:cs="Times New Roman"/>
          <w:sz w:val="24"/>
        </w:rPr>
        <w:t>-</w:t>
      </w:r>
      <w:r w:rsidRPr="00125D51">
        <w:rPr>
          <w:rFonts w:ascii="Times New Roman" w:hAnsi="Times New Roman" w:cs="Times New Roman"/>
          <w:sz w:val="24"/>
        </w:rPr>
        <w:t xml:space="preserve">based ratios suggest that Sinopec became more effective in converting </w:t>
      </w:r>
      <w:r w:rsidRPr="00125D51">
        <w:rPr>
          <w:rFonts w:ascii="Times New Roman" w:hAnsi="Times New Roman" w:cs="Times New Roman"/>
          <w:sz w:val="24"/>
        </w:rPr>
        <w:lastRenderedPageBreak/>
        <w:t>assets and shareholders</w:t>
      </w:r>
      <w:r w:rsidR="00011E46">
        <w:rPr>
          <w:rFonts w:ascii="Times New Roman" w:hAnsi="Times New Roman" w:cs="Times New Roman"/>
          <w:sz w:val="24"/>
        </w:rPr>
        <w:t>’</w:t>
      </w:r>
      <w:r w:rsidRPr="00125D51">
        <w:rPr>
          <w:rFonts w:ascii="Times New Roman" w:hAnsi="Times New Roman" w:cs="Times New Roman"/>
          <w:sz w:val="24"/>
        </w:rPr>
        <w:t xml:space="preserve"> equity into profit during the post</w:t>
      </w:r>
      <w:r w:rsidR="00393F7D">
        <w:rPr>
          <w:rFonts w:ascii="Times New Roman" w:hAnsi="Times New Roman" w:cs="Times New Roman"/>
          <w:sz w:val="24"/>
        </w:rPr>
        <w:t>-</w:t>
      </w:r>
      <w:r w:rsidRPr="00125D51">
        <w:rPr>
          <w:rFonts w:ascii="Times New Roman" w:hAnsi="Times New Roman" w:cs="Times New Roman"/>
          <w:sz w:val="24"/>
        </w:rPr>
        <w:t>pandemic recovery, but this ability softened after 2021. The margin</w:t>
      </w:r>
      <w:r w:rsidR="00393F7D">
        <w:rPr>
          <w:rFonts w:ascii="Times New Roman" w:hAnsi="Times New Roman" w:cs="Times New Roman"/>
          <w:sz w:val="24"/>
        </w:rPr>
        <w:t>-</w:t>
      </w:r>
      <w:r w:rsidRPr="00125D51">
        <w:rPr>
          <w:rFonts w:ascii="Times New Roman" w:hAnsi="Times New Roman" w:cs="Times New Roman"/>
          <w:sz w:val="24"/>
        </w:rPr>
        <w:t>based indicators show a similar pattern: net profit margin rose to 3.37% in 2021 but fell to 2.02% in 2024, while operating profit margin declined from 4.82% to 2.53%. This indicates that profitability pressure was not limited to capital returns, but also reflected weaker earnings conversion from revenue.</w:t>
      </w:r>
    </w:p>
    <w:p w14:paraId="661E87B8" w14:textId="21572E9B" w:rsidR="00696597" w:rsidRPr="00815660" w:rsidRDefault="00756D31" w:rsidP="00502470">
      <w:pPr>
        <w:spacing w:line="360" w:lineRule="auto"/>
        <w:jc w:val="both"/>
        <w:rPr>
          <w:rFonts w:ascii="Times New Roman" w:hAnsi="Times New Roman" w:cs="Times New Roman"/>
          <w:sz w:val="24"/>
        </w:rPr>
      </w:pPr>
      <w:r w:rsidRPr="00815660">
        <w:rPr>
          <w:rFonts w:ascii="Times New Roman" w:hAnsi="Times New Roman" w:cs="Times New Roman" w:hint="eastAsia"/>
          <w:sz w:val="24"/>
        </w:rPr>
        <w:t>This deterioration appears closely linked to Sinopec</w:t>
      </w:r>
      <w:r w:rsidR="00011E46">
        <w:rPr>
          <w:rFonts w:ascii="Times New Roman" w:hAnsi="Times New Roman" w:cs="Times New Roman"/>
          <w:sz w:val="24"/>
        </w:rPr>
        <w:t>’</w:t>
      </w:r>
      <w:r w:rsidRPr="00815660">
        <w:rPr>
          <w:rFonts w:ascii="Times New Roman" w:hAnsi="Times New Roman" w:cs="Times New Roman" w:hint="eastAsia"/>
          <w:sz w:val="24"/>
        </w:rPr>
        <w:t>s downstream</w:t>
      </w:r>
      <w:r w:rsidR="00393F7D">
        <w:rPr>
          <w:rFonts w:ascii="Times New Roman" w:hAnsi="Times New Roman" w:cs="Times New Roman" w:hint="eastAsia"/>
          <w:sz w:val="24"/>
        </w:rPr>
        <w:t>-</w:t>
      </w:r>
      <w:r w:rsidRPr="00815660">
        <w:rPr>
          <w:rFonts w:ascii="Times New Roman" w:hAnsi="Times New Roman" w:cs="Times New Roman" w:hint="eastAsia"/>
          <w:sz w:val="24"/>
        </w:rPr>
        <w:t>heavy business model. The company benefited from stronger demand recovery and improved refining economics in 2021, when refining margin increased to RMB532 per tonne. However, refining margin later fell to RMB344 per tonne in 2022 and RMB304 per tonne in 2024, while the chemicals segment became loss</w:t>
      </w:r>
      <w:r w:rsidR="00393F7D">
        <w:rPr>
          <w:rFonts w:ascii="Times New Roman" w:hAnsi="Times New Roman" w:cs="Times New Roman" w:hint="eastAsia"/>
          <w:sz w:val="24"/>
        </w:rPr>
        <w:t>-</w:t>
      </w:r>
      <w:r w:rsidRPr="00815660">
        <w:rPr>
          <w:rFonts w:ascii="Times New Roman" w:hAnsi="Times New Roman" w:cs="Times New Roman" w:hint="eastAsia"/>
          <w:sz w:val="24"/>
        </w:rPr>
        <w:t>making and remained weak (Sinopec Corp., 2022a, 2023a, 2025a). Relative to CNOOC, Sinopec remained materially less profitable across all four indicators. This comparison suggests that Sinopec</w:t>
      </w:r>
      <w:r w:rsidR="00011E46">
        <w:rPr>
          <w:rFonts w:ascii="Times New Roman" w:hAnsi="Times New Roman" w:cs="Times New Roman"/>
          <w:sz w:val="24"/>
        </w:rPr>
        <w:t>’</w:t>
      </w:r>
      <w:r w:rsidRPr="00815660">
        <w:rPr>
          <w:rFonts w:ascii="Times New Roman" w:hAnsi="Times New Roman" w:cs="Times New Roman" w:hint="eastAsia"/>
          <w:sz w:val="24"/>
        </w:rPr>
        <w:t>s scale and integration provided some operating resilience, but its lower</w:t>
      </w:r>
      <w:r w:rsidR="00393F7D">
        <w:rPr>
          <w:rFonts w:ascii="Times New Roman" w:hAnsi="Times New Roman" w:cs="Times New Roman" w:hint="eastAsia"/>
          <w:sz w:val="24"/>
        </w:rPr>
        <w:t>-</w:t>
      </w:r>
      <w:r w:rsidRPr="00815660">
        <w:rPr>
          <w:rFonts w:ascii="Times New Roman" w:hAnsi="Times New Roman" w:cs="Times New Roman" w:hint="eastAsia"/>
          <w:sz w:val="24"/>
        </w:rPr>
        <w:t>margin downstream exposure made its profitability less robust than CNOOC</w:t>
      </w:r>
      <w:r w:rsidR="00011E46">
        <w:rPr>
          <w:rFonts w:ascii="Times New Roman" w:hAnsi="Times New Roman" w:cs="Times New Roman"/>
          <w:sz w:val="24"/>
        </w:rPr>
        <w:t>’</w:t>
      </w:r>
      <w:r w:rsidRPr="00815660">
        <w:rPr>
          <w:rFonts w:ascii="Times New Roman" w:hAnsi="Times New Roman" w:cs="Times New Roman" w:hint="eastAsia"/>
          <w:sz w:val="24"/>
        </w:rPr>
        <w:t>s upstream</w:t>
      </w:r>
      <w:r w:rsidR="00393F7D">
        <w:rPr>
          <w:rFonts w:ascii="Times New Roman" w:hAnsi="Times New Roman" w:cs="Times New Roman" w:hint="eastAsia"/>
          <w:sz w:val="24"/>
        </w:rPr>
        <w:t>-</w:t>
      </w:r>
      <w:r w:rsidRPr="00815660">
        <w:rPr>
          <w:rFonts w:ascii="Times New Roman" w:hAnsi="Times New Roman" w:cs="Times New Roman" w:hint="eastAsia"/>
          <w:sz w:val="24"/>
        </w:rPr>
        <w:t>focused model.</w:t>
      </w:r>
    </w:p>
    <w:p w14:paraId="39BD16D1" w14:textId="10162971" w:rsidR="001E76AA" w:rsidRPr="00815660" w:rsidRDefault="001946B3" w:rsidP="00502470">
      <w:pPr>
        <w:pStyle w:val="31"/>
        <w:rPr>
          <w:i w:val="0"/>
          <w:iCs w:val="0"/>
        </w:rPr>
      </w:pPr>
      <w:bookmarkStart w:id="7" w:name="_Toc230578730"/>
      <w:r w:rsidRPr="00815660">
        <w:rPr>
          <w:i w:val="0"/>
          <w:iCs w:val="0"/>
        </w:rPr>
        <w:t>2.2 Liquidity</w:t>
      </w:r>
      <w:bookmarkEnd w:id="7"/>
    </w:p>
    <w:p w14:paraId="5B41C6AB" w14:textId="11E5EF57" w:rsidR="000B1ECC" w:rsidRPr="00815660" w:rsidRDefault="000B1ECC" w:rsidP="00502470">
      <w:pPr>
        <w:spacing w:line="360" w:lineRule="auto"/>
        <w:jc w:val="both"/>
        <w:rPr>
          <w:rFonts w:ascii="Times New Roman" w:hAnsi="Times New Roman" w:cs="Times New Roman"/>
          <w:sz w:val="24"/>
        </w:rPr>
      </w:pPr>
      <w:r w:rsidRPr="000B1ECC">
        <w:rPr>
          <w:rFonts w:ascii="Times New Roman" w:hAnsi="Times New Roman" w:cs="Times New Roman"/>
          <w:sz w:val="24"/>
        </w:rPr>
        <w:t>Liquidity evaluates Sinopec’s ability to meet short-term obligations without relying excessively on refinancing or delayed payments. For an integrated energy and petrochemical company, working-capital flexibility is influenced by inventories, receivables, payables and short-term borrowings. Therefore, the current and quick ratios should be interpreted in the context of net working capital quality rather than in isolation (CFA Institute, 2026). Sinopec’s and CNOOC’s liquidity measures for 2020</w:t>
      </w:r>
      <w:r w:rsidR="00C54DB1">
        <w:rPr>
          <w:rFonts w:ascii="Times New Roman" w:hAnsi="Times New Roman" w:cs="Times New Roman"/>
          <w:sz w:val="24"/>
        </w:rPr>
        <w:t>-</w:t>
      </w:r>
      <w:r w:rsidRPr="000B1ECC">
        <w:rPr>
          <w:rFonts w:ascii="Times New Roman" w:hAnsi="Times New Roman" w:cs="Times New Roman"/>
          <w:sz w:val="24"/>
        </w:rPr>
        <w:t>2024 are summarised in Table 2 and presented graphically in Figure 3.</w:t>
      </w:r>
    </w:p>
    <w:p w14:paraId="44D85F3F" w14:textId="60E0FBB0" w:rsidR="008F58DB" w:rsidRPr="00815660" w:rsidRDefault="008F58DB" w:rsidP="00502470">
      <w:pPr>
        <w:pStyle w:val="af4"/>
        <w:keepNext/>
        <w:spacing w:line="360" w:lineRule="auto"/>
        <w:rPr>
          <w:rFonts w:ascii="Times New Roman" w:hAnsi="Times New Roman" w:cs="Times New Roman"/>
          <w:sz w:val="22"/>
          <w:szCs w:val="22"/>
        </w:rPr>
      </w:pPr>
      <w:bookmarkStart w:id="8" w:name="_Toc230654740"/>
      <w:r w:rsidRPr="00815660">
        <w:rPr>
          <w:rFonts w:ascii="Times New Roman" w:hAnsi="Times New Roman" w:cs="Times New Roman"/>
          <w:b/>
          <w:bCs/>
          <w:sz w:val="22"/>
          <w:szCs w:val="22"/>
        </w:rPr>
        <w:t xml:space="preserve">Table </w:t>
      </w:r>
      <w:r w:rsidRPr="00815660">
        <w:rPr>
          <w:rFonts w:ascii="Times New Roman" w:hAnsi="Times New Roman" w:cs="Times New Roman"/>
          <w:b/>
          <w:bCs/>
          <w:sz w:val="22"/>
          <w:szCs w:val="22"/>
        </w:rPr>
        <w:fldChar w:fldCharType="begin"/>
      </w:r>
      <w:r w:rsidRPr="00815660">
        <w:rPr>
          <w:rFonts w:ascii="Times New Roman" w:hAnsi="Times New Roman" w:cs="Times New Roman"/>
          <w:b/>
          <w:bCs/>
          <w:sz w:val="22"/>
          <w:szCs w:val="22"/>
        </w:rPr>
        <w:instrText xml:space="preserve"> SEQ Table \* ARABIC </w:instrText>
      </w:r>
      <w:r w:rsidRPr="00815660">
        <w:rPr>
          <w:rFonts w:ascii="Times New Roman" w:hAnsi="Times New Roman" w:cs="Times New Roman"/>
          <w:b/>
          <w:bCs/>
          <w:sz w:val="22"/>
          <w:szCs w:val="22"/>
        </w:rPr>
        <w:fldChar w:fldCharType="separate"/>
      </w:r>
      <w:r w:rsidR="00D1368E">
        <w:rPr>
          <w:rFonts w:ascii="Times New Roman" w:hAnsi="Times New Roman" w:cs="Times New Roman"/>
          <w:b/>
          <w:bCs/>
          <w:noProof/>
          <w:sz w:val="22"/>
          <w:szCs w:val="22"/>
        </w:rPr>
        <w:t>2</w:t>
      </w:r>
      <w:r w:rsidRPr="00815660">
        <w:rPr>
          <w:rFonts w:ascii="Times New Roman" w:hAnsi="Times New Roman" w:cs="Times New Roman"/>
          <w:b/>
          <w:bCs/>
          <w:sz w:val="22"/>
          <w:szCs w:val="22"/>
        </w:rPr>
        <w:fldChar w:fldCharType="end"/>
      </w:r>
      <w:r w:rsidRPr="00815660">
        <w:rPr>
          <w:rFonts w:ascii="Times New Roman" w:hAnsi="Times New Roman" w:cs="Times New Roman"/>
          <w:b/>
          <w:bCs/>
          <w:sz w:val="22"/>
          <w:szCs w:val="22"/>
        </w:rPr>
        <w:t>.</w:t>
      </w:r>
      <w:r w:rsidRPr="00815660">
        <w:rPr>
          <w:rFonts w:ascii="Times New Roman" w:hAnsi="Times New Roman" w:cs="Times New Roman"/>
          <w:sz w:val="22"/>
          <w:szCs w:val="22"/>
        </w:rPr>
        <w:t xml:space="preserve"> Liquidity Ratios and Net Working Capital of Sinopec and CNOOC, 2020</w:t>
      </w:r>
      <w:r w:rsidR="00393F7D">
        <w:rPr>
          <w:rFonts w:ascii="Times New Roman" w:hAnsi="Times New Roman" w:cs="Times New Roman"/>
          <w:sz w:val="22"/>
          <w:szCs w:val="22"/>
        </w:rPr>
        <w:t>-</w:t>
      </w:r>
      <w:r w:rsidRPr="00815660">
        <w:rPr>
          <w:rFonts w:ascii="Times New Roman" w:hAnsi="Times New Roman" w:cs="Times New Roman"/>
          <w:sz w:val="22"/>
          <w:szCs w:val="22"/>
        </w:rPr>
        <w:t>2024</w:t>
      </w:r>
      <w:bookmarkEnd w:id="8"/>
    </w:p>
    <w:p w14:paraId="3044A3E0" w14:textId="2D04D6E2" w:rsidR="00AB3D2D" w:rsidRPr="00815660" w:rsidRDefault="008F58DB" w:rsidP="00502470">
      <w:pPr>
        <w:spacing w:line="360" w:lineRule="auto"/>
        <w:jc w:val="center"/>
        <w:rPr>
          <w:rFonts w:ascii="Times New Roman" w:hAnsi="Times New Roman" w:cs="Times New Roman"/>
          <w:sz w:val="24"/>
        </w:rPr>
      </w:pPr>
      <w:r w:rsidRPr="00815660">
        <w:rPr>
          <w:rFonts w:ascii="Times New Roman" w:hAnsi="Times New Roman" w:cs="Times New Roman"/>
          <w:noProof/>
          <w:sz w:val="24"/>
        </w:rPr>
        <w:drawing>
          <wp:inline distT="0" distB="0" distL="0" distR="0" wp14:anchorId="2DB45F8A" wp14:editId="6266C920">
            <wp:extent cx="5830709" cy="1154487"/>
            <wp:effectExtent l="0" t="0" r="0" b="7620"/>
            <wp:docPr id="1741438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38640" name="图片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0709" cy="1154487"/>
                    </a:xfrm>
                    <a:prstGeom prst="rect">
                      <a:avLst/>
                    </a:prstGeom>
                  </pic:spPr>
                </pic:pic>
              </a:graphicData>
            </a:graphic>
          </wp:inline>
        </w:drawing>
      </w:r>
    </w:p>
    <w:p w14:paraId="7AA56DB9" w14:textId="77777777" w:rsidR="00AB3D2D" w:rsidRPr="00815660" w:rsidRDefault="00AB3D2D" w:rsidP="00502470">
      <w:pPr>
        <w:keepNext/>
        <w:spacing w:line="360" w:lineRule="auto"/>
        <w:jc w:val="center"/>
        <w:rPr>
          <w:rFonts w:hint="eastAsia"/>
        </w:rPr>
      </w:pPr>
      <w:r w:rsidRPr="00815660">
        <w:rPr>
          <w:rFonts w:ascii="Times New Roman" w:hAnsi="Times New Roman" w:cs="Times New Roman"/>
          <w:noProof/>
          <w:sz w:val="24"/>
        </w:rPr>
        <w:lastRenderedPageBreak/>
        <w:drawing>
          <wp:inline distT="0" distB="0" distL="0" distR="0" wp14:anchorId="1283C411" wp14:editId="59B5A2D6">
            <wp:extent cx="5742842" cy="3976702"/>
            <wp:effectExtent l="19050" t="19050" r="10795" b="24130"/>
            <wp:docPr id="806164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64147" name="图片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7299" cy="3993638"/>
                    </a:xfrm>
                    <a:prstGeom prst="rect">
                      <a:avLst/>
                    </a:prstGeom>
                    <a:ln>
                      <a:solidFill>
                        <a:schemeClr val="bg1">
                          <a:lumMod val="85000"/>
                        </a:schemeClr>
                      </a:solidFill>
                    </a:ln>
                  </pic:spPr>
                </pic:pic>
              </a:graphicData>
            </a:graphic>
          </wp:inline>
        </w:drawing>
      </w:r>
    </w:p>
    <w:p w14:paraId="3FDEF52A" w14:textId="0FA7BD6A" w:rsidR="00AB3D2D" w:rsidRPr="00815660" w:rsidRDefault="00AB3D2D" w:rsidP="00502470">
      <w:pPr>
        <w:pStyle w:val="af4"/>
        <w:spacing w:line="360" w:lineRule="auto"/>
        <w:jc w:val="center"/>
        <w:rPr>
          <w:rFonts w:ascii="Times New Roman" w:hAnsi="Times New Roman" w:cs="Times New Roman"/>
          <w:sz w:val="32"/>
          <w:szCs w:val="22"/>
        </w:rPr>
      </w:pPr>
      <w:bookmarkStart w:id="9" w:name="_Toc230655268"/>
      <w:r w:rsidRPr="00815660">
        <w:rPr>
          <w:rFonts w:ascii="Times New Roman" w:hAnsi="Times New Roman" w:cs="Times New Roman"/>
          <w:b/>
          <w:bCs/>
          <w:sz w:val="22"/>
          <w:szCs w:val="22"/>
        </w:rPr>
        <w:t xml:space="preserve">Figure </w:t>
      </w:r>
      <w:r w:rsidRPr="00815660">
        <w:rPr>
          <w:rFonts w:ascii="Times New Roman" w:hAnsi="Times New Roman" w:cs="Times New Roman"/>
          <w:b/>
          <w:bCs/>
          <w:sz w:val="22"/>
          <w:szCs w:val="22"/>
        </w:rPr>
        <w:fldChar w:fldCharType="begin"/>
      </w:r>
      <w:r w:rsidRPr="00815660">
        <w:rPr>
          <w:rFonts w:ascii="Times New Roman" w:hAnsi="Times New Roman" w:cs="Times New Roman"/>
          <w:b/>
          <w:bCs/>
          <w:sz w:val="22"/>
          <w:szCs w:val="22"/>
        </w:rPr>
        <w:instrText xml:space="preserve"> SEQ Figure \* ARABIC </w:instrText>
      </w:r>
      <w:r w:rsidRPr="00815660">
        <w:rPr>
          <w:rFonts w:ascii="Times New Roman" w:hAnsi="Times New Roman" w:cs="Times New Roman"/>
          <w:b/>
          <w:bCs/>
          <w:sz w:val="22"/>
          <w:szCs w:val="22"/>
        </w:rPr>
        <w:fldChar w:fldCharType="separate"/>
      </w:r>
      <w:r w:rsidR="0053346D">
        <w:rPr>
          <w:rFonts w:ascii="Times New Roman" w:hAnsi="Times New Roman" w:cs="Times New Roman"/>
          <w:b/>
          <w:bCs/>
          <w:noProof/>
          <w:sz w:val="22"/>
          <w:szCs w:val="22"/>
        </w:rPr>
        <w:t>3</w:t>
      </w:r>
      <w:r w:rsidRPr="00815660">
        <w:rPr>
          <w:rFonts w:ascii="Times New Roman" w:hAnsi="Times New Roman" w:cs="Times New Roman"/>
          <w:b/>
          <w:bCs/>
          <w:sz w:val="22"/>
          <w:szCs w:val="22"/>
        </w:rPr>
        <w:fldChar w:fldCharType="end"/>
      </w:r>
      <w:r w:rsidRPr="00815660">
        <w:rPr>
          <w:rFonts w:ascii="Times New Roman" w:hAnsi="Times New Roman" w:cs="Times New Roman"/>
          <w:b/>
          <w:bCs/>
          <w:sz w:val="22"/>
          <w:szCs w:val="22"/>
        </w:rPr>
        <w:t>.</w:t>
      </w:r>
      <w:r w:rsidRPr="00815660">
        <w:rPr>
          <w:rFonts w:ascii="Times New Roman" w:hAnsi="Times New Roman" w:cs="Times New Roman"/>
          <w:sz w:val="22"/>
          <w:szCs w:val="22"/>
        </w:rPr>
        <w:t xml:space="preserve"> Liquidity Ratios and Net Working Capital of Sinopec and CNOOC, 2020</w:t>
      </w:r>
      <w:r w:rsidR="00393F7D">
        <w:rPr>
          <w:rFonts w:ascii="Times New Roman" w:hAnsi="Times New Roman" w:cs="Times New Roman"/>
          <w:sz w:val="22"/>
          <w:szCs w:val="22"/>
        </w:rPr>
        <w:t>-</w:t>
      </w:r>
      <w:r w:rsidRPr="00815660">
        <w:rPr>
          <w:rFonts w:ascii="Times New Roman" w:hAnsi="Times New Roman" w:cs="Times New Roman"/>
          <w:sz w:val="22"/>
          <w:szCs w:val="22"/>
        </w:rPr>
        <w:t>2024</w:t>
      </w:r>
      <w:bookmarkEnd w:id="9"/>
    </w:p>
    <w:p w14:paraId="457A0FA8" w14:textId="232E53E6" w:rsidR="006F5C82" w:rsidRPr="00815660" w:rsidRDefault="00AB3D2D" w:rsidP="00502470">
      <w:pPr>
        <w:spacing w:line="360" w:lineRule="auto"/>
        <w:jc w:val="both"/>
        <w:rPr>
          <w:rFonts w:ascii="Times New Roman" w:hAnsi="Times New Roman" w:cs="Times New Roman"/>
          <w:sz w:val="24"/>
        </w:rPr>
      </w:pPr>
      <w:r w:rsidRPr="00815660">
        <w:rPr>
          <w:rFonts w:ascii="Times New Roman" w:hAnsi="Times New Roman" w:cs="Times New Roman"/>
          <w:sz w:val="24"/>
        </w:rPr>
        <w:t>As shown in Table 2 and Figure 3, Sinopec</w:t>
      </w:r>
      <w:r w:rsidR="00011E46">
        <w:rPr>
          <w:rFonts w:ascii="Times New Roman" w:hAnsi="Times New Roman" w:cs="Times New Roman"/>
          <w:sz w:val="24"/>
        </w:rPr>
        <w:t>’</w:t>
      </w:r>
      <w:r w:rsidRPr="00815660">
        <w:rPr>
          <w:rFonts w:ascii="Times New Roman" w:hAnsi="Times New Roman" w:cs="Times New Roman"/>
          <w:sz w:val="24"/>
        </w:rPr>
        <w:t>s liquidity remained consistently tight throughout the period. Its current ratio stayed below 1.0 in every year, falling from 0.87 in 2020 to 0.78 in 2024, which indicates that current assets did not fully cover current liabilities. The quick ratio presents a stricter picture, declining from 0.58 in 2020 to 0.40 in 2024. This suggests that Sinopec</w:t>
      </w:r>
      <w:r w:rsidR="00011E46">
        <w:rPr>
          <w:rFonts w:ascii="Times New Roman" w:hAnsi="Times New Roman" w:cs="Times New Roman"/>
          <w:sz w:val="24"/>
        </w:rPr>
        <w:t>’</w:t>
      </w:r>
      <w:r w:rsidRPr="00815660">
        <w:rPr>
          <w:rFonts w:ascii="Times New Roman" w:hAnsi="Times New Roman" w:cs="Times New Roman"/>
          <w:sz w:val="24"/>
        </w:rPr>
        <w:t>s immediate liquidity position was weaker than the current ratio alone implies, especially because inventories are significant in refining, chemicals and marketing operations and may be exposed to price and demand conditions before conversion into cash.</w:t>
      </w:r>
    </w:p>
    <w:p w14:paraId="331D48C3" w14:textId="0D512127" w:rsidR="00125D51" w:rsidRPr="00815660" w:rsidRDefault="00125D51" w:rsidP="00502470">
      <w:pPr>
        <w:spacing w:line="360" w:lineRule="auto"/>
        <w:jc w:val="both"/>
        <w:rPr>
          <w:rFonts w:ascii="Times New Roman" w:hAnsi="Times New Roman" w:cs="Times New Roman"/>
          <w:sz w:val="24"/>
        </w:rPr>
      </w:pPr>
      <w:r w:rsidRPr="00125D51">
        <w:rPr>
          <w:rFonts w:ascii="Times New Roman" w:hAnsi="Times New Roman" w:cs="Times New Roman"/>
          <w:sz w:val="24"/>
        </w:rPr>
        <w:t>Net working capital reinforces this assessment and links the ratio results to working</w:t>
      </w:r>
      <w:r w:rsidR="00393F7D">
        <w:rPr>
          <w:rFonts w:ascii="Times New Roman" w:hAnsi="Times New Roman" w:cs="Times New Roman"/>
          <w:sz w:val="24"/>
        </w:rPr>
        <w:t>-</w:t>
      </w:r>
      <w:r w:rsidRPr="00125D51">
        <w:rPr>
          <w:rFonts w:ascii="Times New Roman" w:hAnsi="Times New Roman" w:cs="Times New Roman"/>
          <w:sz w:val="24"/>
        </w:rPr>
        <w:t>capital management, which focuses on the balance between current assets and liabilities and affects a company</w:t>
      </w:r>
      <w:r w:rsidR="00011E46">
        <w:rPr>
          <w:rFonts w:ascii="Times New Roman" w:hAnsi="Times New Roman" w:cs="Times New Roman"/>
          <w:sz w:val="24"/>
        </w:rPr>
        <w:t>’</w:t>
      </w:r>
      <w:r w:rsidRPr="00125D51">
        <w:rPr>
          <w:rFonts w:ascii="Times New Roman" w:hAnsi="Times New Roman" w:cs="Times New Roman"/>
          <w:sz w:val="24"/>
        </w:rPr>
        <w:t>s ability to meet obligations as they fall due (ACCA, no date). Sinopec recorded negative net working capital throughout 2020</w:t>
      </w:r>
      <w:r w:rsidR="00393F7D">
        <w:rPr>
          <w:rFonts w:ascii="Times New Roman" w:hAnsi="Times New Roman" w:cs="Times New Roman"/>
          <w:sz w:val="24"/>
        </w:rPr>
        <w:t>-</w:t>
      </w:r>
      <w:r w:rsidRPr="00125D51">
        <w:rPr>
          <w:rFonts w:ascii="Times New Roman" w:hAnsi="Times New Roman" w:cs="Times New Roman"/>
          <w:sz w:val="24"/>
        </w:rPr>
        <w:t>2024, with the deficit widening from RMB67.3 billion to RMB148.7 billion. This suggests that working capital management remained functional but constrained: the company continued to operate at scale, but short</w:t>
      </w:r>
      <w:r w:rsidR="00393F7D">
        <w:rPr>
          <w:rFonts w:ascii="Times New Roman" w:hAnsi="Times New Roman" w:cs="Times New Roman"/>
          <w:sz w:val="24"/>
        </w:rPr>
        <w:t>-</w:t>
      </w:r>
      <w:r w:rsidRPr="00125D51">
        <w:rPr>
          <w:rFonts w:ascii="Times New Roman" w:hAnsi="Times New Roman" w:cs="Times New Roman"/>
          <w:sz w:val="24"/>
        </w:rPr>
        <w:t xml:space="preserve">term flexibility </w:t>
      </w:r>
      <w:r w:rsidRPr="00125D51">
        <w:rPr>
          <w:rFonts w:ascii="Times New Roman" w:hAnsi="Times New Roman" w:cs="Times New Roman"/>
          <w:sz w:val="24"/>
        </w:rPr>
        <w:lastRenderedPageBreak/>
        <w:t>depended heavily on inventory turnover, supplier credit and liability management rather than a strong liquid</w:t>
      </w:r>
      <w:r w:rsidR="00393F7D">
        <w:rPr>
          <w:rFonts w:ascii="Times New Roman" w:hAnsi="Times New Roman" w:cs="Times New Roman"/>
          <w:sz w:val="24"/>
        </w:rPr>
        <w:t>-</w:t>
      </w:r>
      <w:r w:rsidRPr="00125D51">
        <w:rPr>
          <w:rFonts w:ascii="Times New Roman" w:hAnsi="Times New Roman" w:cs="Times New Roman"/>
          <w:sz w:val="24"/>
        </w:rPr>
        <w:t>asset cushion. Sinopec</w:t>
      </w:r>
      <w:r w:rsidR="00011E46">
        <w:rPr>
          <w:rFonts w:ascii="Times New Roman" w:hAnsi="Times New Roman" w:cs="Times New Roman"/>
          <w:sz w:val="24"/>
        </w:rPr>
        <w:t>’</w:t>
      </w:r>
      <w:r w:rsidRPr="00125D51">
        <w:rPr>
          <w:rFonts w:ascii="Times New Roman" w:hAnsi="Times New Roman" w:cs="Times New Roman"/>
          <w:sz w:val="24"/>
        </w:rPr>
        <w:t>s annual reports also indicate pressure from inventories, bills payable, short</w:t>
      </w:r>
      <w:r w:rsidR="00393F7D">
        <w:rPr>
          <w:rFonts w:ascii="Times New Roman" w:hAnsi="Times New Roman" w:cs="Times New Roman"/>
          <w:sz w:val="24"/>
        </w:rPr>
        <w:t>-</w:t>
      </w:r>
      <w:r w:rsidRPr="00125D51">
        <w:rPr>
          <w:rFonts w:ascii="Times New Roman" w:hAnsi="Times New Roman" w:cs="Times New Roman"/>
          <w:sz w:val="24"/>
        </w:rPr>
        <w:t>term loans and liabilities due within one year (Sinopec Corp., 2022a, 2023a, 2024a, 2025a). Compared with CNOOC, which maintained current and quick ratios above 1.9 and positive net working capital, Sinopec showed materially weaker short</w:t>
      </w:r>
      <w:r w:rsidR="00393F7D">
        <w:rPr>
          <w:rFonts w:ascii="Times New Roman" w:hAnsi="Times New Roman" w:cs="Times New Roman"/>
          <w:sz w:val="24"/>
        </w:rPr>
        <w:t>-</w:t>
      </w:r>
      <w:r w:rsidRPr="00125D51">
        <w:rPr>
          <w:rFonts w:ascii="Times New Roman" w:hAnsi="Times New Roman" w:cs="Times New Roman"/>
          <w:sz w:val="24"/>
        </w:rPr>
        <w:t>term flexibility. For clients, this does not necessarily indicate immediate liquidity distress, but it reduces financial headroom if margins weaken or working</w:t>
      </w:r>
      <w:r w:rsidR="00393F7D">
        <w:rPr>
          <w:rFonts w:ascii="Times New Roman" w:hAnsi="Times New Roman" w:cs="Times New Roman"/>
          <w:sz w:val="24"/>
        </w:rPr>
        <w:t>-</w:t>
      </w:r>
      <w:r w:rsidRPr="00125D51">
        <w:rPr>
          <w:rFonts w:ascii="Times New Roman" w:hAnsi="Times New Roman" w:cs="Times New Roman"/>
          <w:sz w:val="24"/>
        </w:rPr>
        <w:t>capital needs rise.</w:t>
      </w:r>
    </w:p>
    <w:p w14:paraId="73E95806" w14:textId="40D86F02" w:rsidR="00125DA4" w:rsidRPr="00815660" w:rsidRDefault="00BA2292" w:rsidP="00502470">
      <w:pPr>
        <w:pStyle w:val="31"/>
        <w:rPr>
          <w:i w:val="0"/>
          <w:iCs w:val="0"/>
        </w:rPr>
      </w:pPr>
      <w:bookmarkStart w:id="10" w:name="_Toc230578731"/>
      <w:r w:rsidRPr="00815660">
        <w:rPr>
          <w:i w:val="0"/>
          <w:iCs w:val="0"/>
        </w:rPr>
        <w:t>2.3 Solvency</w:t>
      </w:r>
      <w:bookmarkEnd w:id="10"/>
    </w:p>
    <w:p w14:paraId="5DC569DD" w14:textId="65E921FF" w:rsidR="000B1ECC" w:rsidRPr="00815660" w:rsidRDefault="000B1ECC" w:rsidP="00502470">
      <w:pPr>
        <w:spacing w:line="360" w:lineRule="auto"/>
        <w:jc w:val="both"/>
        <w:rPr>
          <w:rFonts w:ascii="Times New Roman" w:hAnsi="Times New Roman" w:cs="Times New Roman"/>
          <w:sz w:val="24"/>
        </w:rPr>
      </w:pPr>
      <w:r w:rsidRPr="000B1ECC">
        <w:rPr>
          <w:rFonts w:ascii="Times New Roman" w:hAnsi="Times New Roman" w:cs="Times New Roman"/>
          <w:sz w:val="24"/>
        </w:rPr>
        <w:t>Solvency measures whether Sinopec’s long-term capital structure and debt-servicing capacity can sustain a capital-intensive business. Capital structure reflects the mix of debt and equity used to finance assets, while financial leverage may affect financial strength and funding flexibility under different cost, growth and strategic conditions (Zhao and Wijewardana, 2012; CFA Institute, 2026). This is especially critical for Sinopec, which requires substantial and ongoing capital expenditure for refining, chemicals, upstream development and energy-transition activities. Table 3 presents Sinopec’s and CNOOC’s solvency ratios during 2020</w:t>
      </w:r>
      <w:r w:rsidR="00C54DB1">
        <w:rPr>
          <w:rFonts w:ascii="Times New Roman" w:hAnsi="Times New Roman" w:cs="Times New Roman"/>
          <w:sz w:val="24"/>
        </w:rPr>
        <w:t>-</w:t>
      </w:r>
      <w:r w:rsidRPr="000B1ECC">
        <w:rPr>
          <w:rFonts w:ascii="Times New Roman" w:hAnsi="Times New Roman" w:cs="Times New Roman"/>
          <w:sz w:val="24"/>
        </w:rPr>
        <w:t>2024, while Figure 4 shows the five-year solvency trends.</w:t>
      </w:r>
    </w:p>
    <w:p w14:paraId="17434DE7" w14:textId="5C228D50" w:rsidR="00C360BC" w:rsidRPr="00815660" w:rsidRDefault="00C360BC" w:rsidP="00502470">
      <w:pPr>
        <w:pStyle w:val="af4"/>
        <w:keepNext/>
        <w:spacing w:line="360" w:lineRule="auto"/>
        <w:rPr>
          <w:rFonts w:ascii="Times New Roman" w:hAnsi="Times New Roman" w:cs="Times New Roman"/>
          <w:sz w:val="22"/>
          <w:szCs w:val="22"/>
        </w:rPr>
      </w:pPr>
      <w:bookmarkStart w:id="11" w:name="_Toc230654741"/>
      <w:r w:rsidRPr="00815660">
        <w:rPr>
          <w:rFonts w:ascii="Times New Roman" w:hAnsi="Times New Roman" w:cs="Times New Roman"/>
          <w:b/>
          <w:bCs/>
          <w:sz w:val="22"/>
          <w:szCs w:val="22"/>
        </w:rPr>
        <w:t xml:space="preserve">Table </w:t>
      </w:r>
      <w:r w:rsidRPr="00815660">
        <w:rPr>
          <w:rFonts w:ascii="Times New Roman" w:hAnsi="Times New Roman" w:cs="Times New Roman"/>
          <w:b/>
          <w:bCs/>
          <w:sz w:val="22"/>
          <w:szCs w:val="22"/>
        </w:rPr>
        <w:fldChar w:fldCharType="begin"/>
      </w:r>
      <w:r w:rsidRPr="00815660">
        <w:rPr>
          <w:rFonts w:ascii="Times New Roman" w:hAnsi="Times New Roman" w:cs="Times New Roman"/>
          <w:b/>
          <w:bCs/>
          <w:sz w:val="22"/>
          <w:szCs w:val="22"/>
        </w:rPr>
        <w:instrText xml:space="preserve"> SEQ Table \* ARABIC </w:instrText>
      </w:r>
      <w:r w:rsidRPr="00815660">
        <w:rPr>
          <w:rFonts w:ascii="Times New Roman" w:hAnsi="Times New Roman" w:cs="Times New Roman"/>
          <w:b/>
          <w:bCs/>
          <w:sz w:val="22"/>
          <w:szCs w:val="22"/>
        </w:rPr>
        <w:fldChar w:fldCharType="separate"/>
      </w:r>
      <w:r w:rsidR="00D1368E">
        <w:rPr>
          <w:rFonts w:ascii="Times New Roman" w:hAnsi="Times New Roman" w:cs="Times New Roman"/>
          <w:b/>
          <w:bCs/>
          <w:noProof/>
          <w:sz w:val="22"/>
          <w:szCs w:val="22"/>
        </w:rPr>
        <w:t>3</w:t>
      </w:r>
      <w:r w:rsidRPr="00815660">
        <w:rPr>
          <w:rFonts w:ascii="Times New Roman" w:hAnsi="Times New Roman" w:cs="Times New Roman"/>
          <w:b/>
          <w:bCs/>
          <w:sz w:val="22"/>
          <w:szCs w:val="22"/>
        </w:rPr>
        <w:fldChar w:fldCharType="end"/>
      </w:r>
      <w:r w:rsidRPr="00815660">
        <w:rPr>
          <w:rFonts w:ascii="Times New Roman" w:hAnsi="Times New Roman" w:cs="Times New Roman"/>
          <w:b/>
          <w:bCs/>
          <w:sz w:val="22"/>
          <w:szCs w:val="22"/>
        </w:rPr>
        <w:t xml:space="preserve">. </w:t>
      </w:r>
      <w:r w:rsidRPr="00815660">
        <w:rPr>
          <w:rFonts w:ascii="Times New Roman" w:hAnsi="Times New Roman" w:cs="Times New Roman"/>
          <w:sz w:val="22"/>
          <w:szCs w:val="22"/>
        </w:rPr>
        <w:t>Solvency Ratios of Sinopec and CNOOC, 2020</w:t>
      </w:r>
      <w:r w:rsidR="00393F7D">
        <w:rPr>
          <w:rFonts w:ascii="Times New Roman" w:hAnsi="Times New Roman" w:cs="Times New Roman"/>
          <w:sz w:val="22"/>
          <w:szCs w:val="22"/>
        </w:rPr>
        <w:t>-</w:t>
      </w:r>
      <w:r w:rsidRPr="00815660">
        <w:rPr>
          <w:rFonts w:ascii="Times New Roman" w:hAnsi="Times New Roman" w:cs="Times New Roman"/>
          <w:sz w:val="22"/>
          <w:szCs w:val="22"/>
        </w:rPr>
        <w:t>2024</w:t>
      </w:r>
      <w:bookmarkEnd w:id="11"/>
    </w:p>
    <w:p w14:paraId="46D31C78" w14:textId="4DC28D0A" w:rsidR="00C360BC" w:rsidRPr="00815660" w:rsidRDefault="00C360BC" w:rsidP="00502470">
      <w:pPr>
        <w:spacing w:line="360" w:lineRule="auto"/>
        <w:jc w:val="center"/>
        <w:rPr>
          <w:rFonts w:ascii="Times New Roman" w:hAnsi="Times New Roman" w:cs="Times New Roman"/>
          <w:sz w:val="24"/>
        </w:rPr>
      </w:pPr>
      <w:r w:rsidRPr="00815660">
        <w:rPr>
          <w:rFonts w:ascii="Times New Roman" w:hAnsi="Times New Roman" w:cs="Times New Roman"/>
          <w:noProof/>
          <w:sz w:val="24"/>
        </w:rPr>
        <w:drawing>
          <wp:inline distT="0" distB="0" distL="0" distR="0" wp14:anchorId="3BA9A6EE" wp14:editId="531707C9">
            <wp:extent cx="5759450" cy="1024890"/>
            <wp:effectExtent l="0" t="0" r="0" b="3810"/>
            <wp:docPr id="294800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00656" name=""/>
                    <pic:cNvPicPr/>
                  </pic:nvPicPr>
                  <pic:blipFill>
                    <a:blip r:embed="rId13"/>
                    <a:stretch>
                      <a:fillRect/>
                    </a:stretch>
                  </pic:blipFill>
                  <pic:spPr>
                    <a:xfrm>
                      <a:off x="0" y="0"/>
                      <a:ext cx="5790409" cy="1030399"/>
                    </a:xfrm>
                    <a:prstGeom prst="rect">
                      <a:avLst/>
                    </a:prstGeom>
                  </pic:spPr>
                </pic:pic>
              </a:graphicData>
            </a:graphic>
          </wp:inline>
        </w:drawing>
      </w:r>
    </w:p>
    <w:p w14:paraId="4ED5995C" w14:textId="77777777" w:rsidR="00C360BC" w:rsidRPr="00815660" w:rsidRDefault="00C360BC" w:rsidP="00502470">
      <w:pPr>
        <w:keepNext/>
        <w:spacing w:line="360" w:lineRule="auto"/>
        <w:jc w:val="center"/>
        <w:rPr>
          <w:rFonts w:hint="eastAsia"/>
        </w:rPr>
      </w:pPr>
      <w:r w:rsidRPr="00815660">
        <w:rPr>
          <w:rFonts w:ascii="Times New Roman" w:hAnsi="Times New Roman" w:cs="Times New Roman"/>
          <w:noProof/>
          <w:sz w:val="24"/>
        </w:rPr>
        <w:lastRenderedPageBreak/>
        <w:drawing>
          <wp:inline distT="0" distB="0" distL="0" distR="0" wp14:anchorId="11BF3B05" wp14:editId="0B7CAF7E">
            <wp:extent cx="5725258" cy="2283159"/>
            <wp:effectExtent l="19050" t="19050" r="8890" b="22225"/>
            <wp:docPr id="50853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3266" name=""/>
                    <pic:cNvPicPr/>
                  </pic:nvPicPr>
                  <pic:blipFill>
                    <a:blip r:embed="rId14"/>
                    <a:stretch>
                      <a:fillRect/>
                    </a:stretch>
                  </pic:blipFill>
                  <pic:spPr>
                    <a:xfrm>
                      <a:off x="0" y="0"/>
                      <a:ext cx="5740604" cy="2289279"/>
                    </a:xfrm>
                    <a:prstGeom prst="rect">
                      <a:avLst/>
                    </a:prstGeom>
                    <a:ln>
                      <a:solidFill>
                        <a:schemeClr val="bg1">
                          <a:lumMod val="85000"/>
                        </a:schemeClr>
                      </a:solidFill>
                    </a:ln>
                  </pic:spPr>
                </pic:pic>
              </a:graphicData>
            </a:graphic>
          </wp:inline>
        </w:drawing>
      </w:r>
    </w:p>
    <w:p w14:paraId="660AFD98" w14:textId="46D2AA7E" w:rsidR="00C360BC" w:rsidRPr="00815660" w:rsidRDefault="00C360BC" w:rsidP="00502470">
      <w:pPr>
        <w:pStyle w:val="af4"/>
        <w:spacing w:line="360" w:lineRule="auto"/>
        <w:jc w:val="center"/>
        <w:rPr>
          <w:rFonts w:ascii="Times New Roman" w:hAnsi="Times New Roman" w:cs="Times New Roman"/>
          <w:sz w:val="32"/>
          <w:szCs w:val="22"/>
        </w:rPr>
      </w:pPr>
      <w:bookmarkStart w:id="12" w:name="_Toc230655269"/>
      <w:r w:rsidRPr="00815660">
        <w:rPr>
          <w:rFonts w:ascii="Times New Roman" w:hAnsi="Times New Roman" w:cs="Times New Roman"/>
          <w:b/>
          <w:bCs/>
          <w:sz w:val="22"/>
          <w:szCs w:val="22"/>
        </w:rPr>
        <w:t xml:space="preserve">Figure </w:t>
      </w:r>
      <w:r w:rsidRPr="00815660">
        <w:rPr>
          <w:rFonts w:ascii="Times New Roman" w:hAnsi="Times New Roman" w:cs="Times New Roman"/>
          <w:b/>
          <w:bCs/>
          <w:sz w:val="22"/>
          <w:szCs w:val="22"/>
        </w:rPr>
        <w:fldChar w:fldCharType="begin"/>
      </w:r>
      <w:r w:rsidRPr="00815660">
        <w:rPr>
          <w:rFonts w:ascii="Times New Roman" w:hAnsi="Times New Roman" w:cs="Times New Roman"/>
          <w:b/>
          <w:bCs/>
          <w:sz w:val="22"/>
          <w:szCs w:val="22"/>
        </w:rPr>
        <w:instrText xml:space="preserve"> SEQ Figure \* ARABIC </w:instrText>
      </w:r>
      <w:r w:rsidRPr="00815660">
        <w:rPr>
          <w:rFonts w:ascii="Times New Roman" w:hAnsi="Times New Roman" w:cs="Times New Roman"/>
          <w:b/>
          <w:bCs/>
          <w:sz w:val="22"/>
          <w:szCs w:val="22"/>
        </w:rPr>
        <w:fldChar w:fldCharType="separate"/>
      </w:r>
      <w:r w:rsidR="0053346D">
        <w:rPr>
          <w:rFonts w:ascii="Times New Roman" w:hAnsi="Times New Roman" w:cs="Times New Roman"/>
          <w:b/>
          <w:bCs/>
          <w:noProof/>
          <w:sz w:val="22"/>
          <w:szCs w:val="22"/>
        </w:rPr>
        <w:t>4</w:t>
      </w:r>
      <w:r w:rsidRPr="00815660">
        <w:rPr>
          <w:rFonts w:ascii="Times New Roman" w:hAnsi="Times New Roman" w:cs="Times New Roman"/>
          <w:b/>
          <w:bCs/>
          <w:sz w:val="22"/>
          <w:szCs w:val="22"/>
        </w:rPr>
        <w:fldChar w:fldCharType="end"/>
      </w:r>
      <w:r w:rsidRPr="00815660">
        <w:rPr>
          <w:rFonts w:ascii="Times New Roman" w:hAnsi="Times New Roman" w:cs="Times New Roman"/>
          <w:b/>
          <w:bCs/>
          <w:sz w:val="22"/>
          <w:szCs w:val="22"/>
        </w:rPr>
        <w:t xml:space="preserve">. </w:t>
      </w:r>
      <w:r w:rsidRPr="00815660">
        <w:rPr>
          <w:rFonts w:ascii="Times New Roman" w:hAnsi="Times New Roman" w:cs="Times New Roman"/>
          <w:sz w:val="22"/>
          <w:szCs w:val="22"/>
        </w:rPr>
        <w:t>Solvency Ratio Trends of Sinopec and CNOOC, 2020</w:t>
      </w:r>
      <w:r w:rsidR="00393F7D">
        <w:rPr>
          <w:rFonts w:ascii="Times New Roman" w:hAnsi="Times New Roman" w:cs="Times New Roman"/>
          <w:sz w:val="22"/>
          <w:szCs w:val="22"/>
        </w:rPr>
        <w:t>-</w:t>
      </w:r>
      <w:r w:rsidRPr="00815660">
        <w:rPr>
          <w:rFonts w:ascii="Times New Roman" w:hAnsi="Times New Roman" w:cs="Times New Roman"/>
          <w:sz w:val="22"/>
          <w:szCs w:val="22"/>
        </w:rPr>
        <w:t>2024</w:t>
      </w:r>
      <w:bookmarkEnd w:id="12"/>
    </w:p>
    <w:p w14:paraId="12A60382" w14:textId="7A2B33E1" w:rsidR="00C360BC" w:rsidRPr="00815660" w:rsidRDefault="00C360BC" w:rsidP="00502470">
      <w:pPr>
        <w:spacing w:line="360" w:lineRule="auto"/>
        <w:jc w:val="both"/>
        <w:rPr>
          <w:rFonts w:ascii="Times New Roman" w:hAnsi="Times New Roman" w:cs="Times New Roman"/>
          <w:sz w:val="24"/>
        </w:rPr>
      </w:pPr>
      <w:r w:rsidRPr="00815660">
        <w:rPr>
          <w:rFonts w:ascii="Times New Roman" w:hAnsi="Times New Roman" w:cs="Times New Roman" w:hint="eastAsia"/>
          <w:sz w:val="24"/>
        </w:rPr>
        <w:t>As shown in Table 3 and Figure 4, Sinopec</w:t>
      </w:r>
      <w:r w:rsidR="00011E46">
        <w:rPr>
          <w:rFonts w:ascii="Times New Roman" w:hAnsi="Times New Roman" w:cs="Times New Roman"/>
          <w:sz w:val="24"/>
        </w:rPr>
        <w:t>’</w:t>
      </w:r>
      <w:r w:rsidRPr="00815660">
        <w:rPr>
          <w:rFonts w:ascii="Times New Roman" w:hAnsi="Times New Roman" w:cs="Times New Roman" w:hint="eastAsia"/>
          <w:sz w:val="24"/>
        </w:rPr>
        <w:t>s leverage increased gradually over the period. Its debt</w:t>
      </w:r>
      <w:r w:rsidR="00393F7D">
        <w:rPr>
          <w:rFonts w:ascii="Times New Roman" w:hAnsi="Times New Roman" w:cs="Times New Roman" w:hint="eastAsia"/>
          <w:sz w:val="24"/>
        </w:rPr>
        <w:t>-</w:t>
      </w:r>
      <w:r w:rsidRPr="00815660">
        <w:rPr>
          <w:rFonts w:ascii="Times New Roman" w:hAnsi="Times New Roman" w:cs="Times New Roman" w:hint="eastAsia"/>
          <w:sz w:val="24"/>
        </w:rPr>
        <w:t>to</w:t>
      </w:r>
      <w:r w:rsidR="00393F7D">
        <w:rPr>
          <w:rFonts w:ascii="Times New Roman" w:hAnsi="Times New Roman" w:cs="Times New Roman" w:hint="eastAsia"/>
          <w:sz w:val="24"/>
        </w:rPr>
        <w:t>-</w:t>
      </w:r>
      <w:r w:rsidRPr="00815660">
        <w:rPr>
          <w:rFonts w:ascii="Times New Roman" w:hAnsi="Times New Roman" w:cs="Times New Roman" w:hint="eastAsia"/>
          <w:sz w:val="24"/>
        </w:rPr>
        <w:t>equity ratio rose from 0.96 in 2020 to 1.14 in 2024, indicating greater reliance on liabilities relative to shareholders</w:t>
      </w:r>
      <w:r w:rsidR="00011E46">
        <w:rPr>
          <w:rFonts w:ascii="Times New Roman" w:hAnsi="Times New Roman" w:cs="Times New Roman"/>
          <w:sz w:val="24"/>
        </w:rPr>
        <w:t>’</w:t>
      </w:r>
      <w:r w:rsidRPr="00815660">
        <w:rPr>
          <w:rFonts w:ascii="Times New Roman" w:hAnsi="Times New Roman" w:cs="Times New Roman" w:hint="eastAsia"/>
          <w:sz w:val="24"/>
        </w:rPr>
        <w:t xml:space="preserve"> equity. This does not suggest immediate solvency weakness, but it implies reduced long</w:t>
      </w:r>
      <w:r w:rsidR="00393F7D">
        <w:rPr>
          <w:rFonts w:ascii="Times New Roman" w:hAnsi="Times New Roman" w:cs="Times New Roman" w:hint="eastAsia"/>
          <w:sz w:val="24"/>
        </w:rPr>
        <w:t>-</w:t>
      </w:r>
      <w:r w:rsidRPr="00815660">
        <w:rPr>
          <w:rFonts w:ascii="Times New Roman" w:hAnsi="Times New Roman" w:cs="Times New Roman" w:hint="eastAsia"/>
          <w:sz w:val="24"/>
        </w:rPr>
        <w:t>term financial flexibility, especially as higher gearing can increase financial risk and make further borrowing more difficult or costly. In contrast, CNOOC</w:t>
      </w:r>
      <w:r w:rsidR="00011E46">
        <w:rPr>
          <w:rFonts w:ascii="Times New Roman" w:hAnsi="Times New Roman" w:cs="Times New Roman"/>
          <w:sz w:val="24"/>
        </w:rPr>
        <w:t>’</w:t>
      </w:r>
      <w:r w:rsidRPr="00815660">
        <w:rPr>
          <w:rFonts w:ascii="Times New Roman" w:hAnsi="Times New Roman" w:cs="Times New Roman" w:hint="eastAsia"/>
          <w:sz w:val="24"/>
        </w:rPr>
        <w:t>s debt</w:t>
      </w:r>
      <w:r w:rsidR="00393F7D">
        <w:rPr>
          <w:rFonts w:ascii="Times New Roman" w:hAnsi="Times New Roman" w:cs="Times New Roman" w:hint="eastAsia"/>
          <w:sz w:val="24"/>
        </w:rPr>
        <w:t>-</w:t>
      </w:r>
      <w:r w:rsidRPr="00815660">
        <w:rPr>
          <w:rFonts w:ascii="Times New Roman" w:hAnsi="Times New Roman" w:cs="Times New Roman" w:hint="eastAsia"/>
          <w:sz w:val="24"/>
        </w:rPr>
        <w:t>to</w:t>
      </w:r>
      <w:r w:rsidR="00393F7D">
        <w:rPr>
          <w:rFonts w:ascii="Times New Roman" w:hAnsi="Times New Roman" w:cs="Times New Roman" w:hint="eastAsia"/>
          <w:sz w:val="24"/>
        </w:rPr>
        <w:t>-</w:t>
      </w:r>
      <w:r w:rsidRPr="00815660">
        <w:rPr>
          <w:rFonts w:ascii="Times New Roman" w:hAnsi="Times New Roman" w:cs="Times New Roman" w:hint="eastAsia"/>
          <w:sz w:val="24"/>
        </w:rPr>
        <w:t>equity ratio declined from 0.66 to 0.41, showing a more conservative capital structure.</w:t>
      </w:r>
    </w:p>
    <w:p w14:paraId="0452839C" w14:textId="4ED1C209" w:rsidR="00125D51" w:rsidRPr="00815660" w:rsidRDefault="00125D51" w:rsidP="00502470">
      <w:pPr>
        <w:spacing w:line="360" w:lineRule="auto"/>
        <w:jc w:val="both"/>
        <w:rPr>
          <w:rFonts w:ascii="Times New Roman" w:hAnsi="Times New Roman" w:cs="Times New Roman"/>
          <w:sz w:val="24"/>
        </w:rPr>
      </w:pPr>
      <w:r w:rsidRPr="00125D51">
        <w:rPr>
          <w:rFonts w:ascii="Times New Roman" w:hAnsi="Times New Roman" w:cs="Times New Roman"/>
          <w:sz w:val="24"/>
        </w:rPr>
        <w:t>Interest coverage provides a more earnings</w:t>
      </w:r>
      <w:r w:rsidR="00393F7D">
        <w:rPr>
          <w:rFonts w:ascii="Times New Roman" w:hAnsi="Times New Roman" w:cs="Times New Roman"/>
          <w:sz w:val="24"/>
        </w:rPr>
        <w:t>-</w:t>
      </w:r>
      <w:r w:rsidRPr="00125D51">
        <w:rPr>
          <w:rFonts w:ascii="Times New Roman" w:hAnsi="Times New Roman" w:cs="Times New Roman"/>
          <w:sz w:val="24"/>
        </w:rPr>
        <w:t>based view of solvency. Sinopec</w:t>
      </w:r>
      <w:r w:rsidR="00011E46">
        <w:rPr>
          <w:rFonts w:ascii="Times New Roman" w:hAnsi="Times New Roman" w:cs="Times New Roman"/>
          <w:sz w:val="24"/>
        </w:rPr>
        <w:t>’</w:t>
      </w:r>
      <w:r w:rsidRPr="00125D51">
        <w:rPr>
          <w:rFonts w:ascii="Times New Roman" w:hAnsi="Times New Roman" w:cs="Times New Roman"/>
          <w:sz w:val="24"/>
        </w:rPr>
        <w:t>s interest coverage ratio improved sharply from 1.92 in 2020 to 8.75 in 2021, but then declined to 4.05 by 2024. Although this remained above 1.0, the downward trend suggests that its debt</w:t>
      </w:r>
      <w:r w:rsidR="00393F7D">
        <w:rPr>
          <w:rFonts w:ascii="Times New Roman" w:hAnsi="Times New Roman" w:cs="Times New Roman"/>
          <w:sz w:val="24"/>
        </w:rPr>
        <w:t>-</w:t>
      </w:r>
      <w:r w:rsidRPr="00125D51">
        <w:rPr>
          <w:rFonts w:ascii="Times New Roman" w:hAnsi="Times New Roman" w:cs="Times New Roman"/>
          <w:sz w:val="24"/>
        </w:rPr>
        <w:t>servicing buffer narrowed as earnings weakened and financing costs became more relevant. This matters because Sinopec still needs to fund high capital expenditure in upstream development, refining upgrades, integrated energy stations and low</w:t>
      </w:r>
      <w:r w:rsidR="00393F7D">
        <w:rPr>
          <w:rFonts w:ascii="Times New Roman" w:hAnsi="Times New Roman" w:cs="Times New Roman"/>
          <w:sz w:val="24"/>
        </w:rPr>
        <w:t>-</w:t>
      </w:r>
      <w:r w:rsidRPr="00125D51">
        <w:rPr>
          <w:rFonts w:ascii="Times New Roman" w:hAnsi="Times New Roman" w:cs="Times New Roman"/>
          <w:sz w:val="24"/>
        </w:rPr>
        <w:t>carbon projects, while its annual reports indicate continued investment and active adjustment of capital structure according to operating and investment needs (Sinopec Corp., 2022a, 2023a, 2024a, 2025a). Compared with CNOOC, whose interest coverage remained substantially stronger, Sinopec had less headroom to absorb margin pressure while financing transition</w:t>
      </w:r>
      <w:r w:rsidR="00393F7D">
        <w:rPr>
          <w:rFonts w:ascii="Times New Roman" w:hAnsi="Times New Roman" w:cs="Times New Roman"/>
          <w:sz w:val="24"/>
        </w:rPr>
        <w:t>-</w:t>
      </w:r>
      <w:r w:rsidRPr="00125D51">
        <w:rPr>
          <w:rFonts w:ascii="Times New Roman" w:hAnsi="Times New Roman" w:cs="Times New Roman"/>
          <w:sz w:val="24"/>
        </w:rPr>
        <w:t>related investment. For clients, Sinopec</w:t>
      </w:r>
      <w:r w:rsidR="00011E46">
        <w:rPr>
          <w:rFonts w:ascii="Times New Roman" w:hAnsi="Times New Roman" w:cs="Times New Roman"/>
          <w:sz w:val="24"/>
        </w:rPr>
        <w:t>’</w:t>
      </w:r>
      <w:r w:rsidRPr="00125D51">
        <w:rPr>
          <w:rFonts w:ascii="Times New Roman" w:hAnsi="Times New Roman" w:cs="Times New Roman"/>
          <w:sz w:val="24"/>
        </w:rPr>
        <w:t>s solvency remains manageable, but its funding flexibility is more constrained than CNOOC</w:t>
      </w:r>
      <w:r w:rsidR="00011E46">
        <w:rPr>
          <w:rFonts w:ascii="Times New Roman" w:hAnsi="Times New Roman" w:cs="Times New Roman"/>
          <w:sz w:val="24"/>
        </w:rPr>
        <w:t>’</w:t>
      </w:r>
      <w:r w:rsidRPr="00125D51">
        <w:rPr>
          <w:rFonts w:ascii="Times New Roman" w:hAnsi="Times New Roman" w:cs="Times New Roman"/>
          <w:sz w:val="24"/>
        </w:rPr>
        <w:t>s.</w:t>
      </w:r>
    </w:p>
    <w:p w14:paraId="2E99944F" w14:textId="72C09FCE" w:rsidR="00BA2292" w:rsidRPr="00815660" w:rsidRDefault="00125DA4" w:rsidP="00502470">
      <w:pPr>
        <w:pStyle w:val="31"/>
        <w:rPr>
          <w:rFonts w:eastAsiaTheme="minorEastAsia"/>
          <w:i w:val="0"/>
          <w:iCs w:val="0"/>
        </w:rPr>
      </w:pPr>
      <w:bookmarkStart w:id="13" w:name="_Toc230578732"/>
      <w:r w:rsidRPr="00815660">
        <w:rPr>
          <w:i w:val="0"/>
          <w:iCs w:val="0"/>
        </w:rPr>
        <w:lastRenderedPageBreak/>
        <w:t>2.4 Efficiency</w:t>
      </w:r>
      <w:bookmarkEnd w:id="13"/>
    </w:p>
    <w:p w14:paraId="34F8069B" w14:textId="7F71EA04" w:rsidR="000B1ECC" w:rsidRPr="00815660" w:rsidRDefault="000B1ECC" w:rsidP="00502470">
      <w:pPr>
        <w:spacing w:line="360" w:lineRule="auto"/>
        <w:jc w:val="both"/>
        <w:rPr>
          <w:rFonts w:ascii="Times New Roman" w:hAnsi="Times New Roman" w:cs="Times New Roman"/>
          <w:sz w:val="24"/>
        </w:rPr>
      </w:pPr>
      <w:r w:rsidRPr="000B1ECC">
        <w:rPr>
          <w:rFonts w:ascii="Times New Roman" w:hAnsi="Times New Roman" w:cs="Times New Roman"/>
          <w:sz w:val="24"/>
        </w:rPr>
        <w:t>Efficiency measures how effectively Sinopec utilises its asset base and inventory cycle to generate revenue and operating flow. Activity ratios assess the efficiency of using assets and converting resources into sales or cash, with asset turnover and inventory turnover commonly used for this purpose (CFA Institute, 2026). This is particularly applicable to Sinopec, which relies on high asset utilisation in refining, chemicals and marketing, as well as stable throughput and coordinated procurement, storage and distribution. Table 4 shows the efficiency ratios of Sinopec and CNOOC from 2020 to 2024, while Figure 5 presents the full five-year time series.</w:t>
      </w:r>
    </w:p>
    <w:p w14:paraId="00FAB62F" w14:textId="403177C2" w:rsidR="00ED701E" w:rsidRPr="00815660" w:rsidRDefault="00ED701E" w:rsidP="00502470">
      <w:pPr>
        <w:pStyle w:val="af4"/>
        <w:keepNext/>
        <w:spacing w:line="360" w:lineRule="auto"/>
        <w:rPr>
          <w:rFonts w:ascii="Times New Roman" w:hAnsi="Times New Roman" w:cs="Times New Roman"/>
          <w:sz w:val="22"/>
          <w:szCs w:val="22"/>
        </w:rPr>
      </w:pPr>
      <w:bookmarkStart w:id="14" w:name="_Toc230654742"/>
      <w:r w:rsidRPr="00815660">
        <w:rPr>
          <w:rFonts w:ascii="Times New Roman" w:hAnsi="Times New Roman" w:cs="Times New Roman"/>
          <w:b/>
          <w:bCs/>
          <w:sz w:val="22"/>
          <w:szCs w:val="22"/>
        </w:rPr>
        <w:t xml:space="preserve">Table </w:t>
      </w:r>
      <w:r w:rsidRPr="00815660">
        <w:rPr>
          <w:rFonts w:ascii="Times New Roman" w:hAnsi="Times New Roman" w:cs="Times New Roman"/>
          <w:b/>
          <w:bCs/>
          <w:sz w:val="22"/>
          <w:szCs w:val="22"/>
        </w:rPr>
        <w:fldChar w:fldCharType="begin"/>
      </w:r>
      <w:r w:rsidRPr="00815660">
        <w:rPr>
          <w:rFonts w:ascii="Times New Roman" w:hAnsi="Times New Roman" w:cs="Times New Roman"/>
          <w:b/>
          <w:bCs/>
          <w:sz w:val="22"/>
          <w:szCs w:val="22"/>
        </w:rPr>
        <w:instrText xml:space="preserve"> SEQ Table \* ARABIC </w:instrText>
      </w:r>
      <w:r w:rsidRPr="00815660">
        <w:rPr>
          <w:rFonts w:ascii="Times New Roman" w:hAnsi="Times New Roman" w:cs="Times New Roman"/>
          <w:b/>
          <w:bCs/>
          <w:sz w:val="22"/>
          <w:szCs w:val="22"/>
        </w:rPr>
        <w:fldChar w:fldCharType="separate"/>
      </w:r>
      <w:r w:rsidR="00D1368E">
        <w:rPr>
          <w:rFonts w:ascii="Times New Roman" w:hAnsi="Times New Roman" w:cs="Times New Roman"/>
          <w:b/>
          <w:bCs/>
          <w:noProof/>
          <w:sz w:val="22"/>
          <w:szCs w:val="22"/>
        </w:rPr>
        <w:t>4</w:t>
      </w:r>
      <w:r w:rsidRPr="00815660">
        <w:rPr>
          <w:rFonts w:ascii="Times New Roman" w:hAnsi="Times New Roman" w:cs="Times New Roman"/>
          <w:b/>
          <w:bCs/>
          <w:sz w:val="22"/>
          <w:szCs w:val="22"/>
        </w:rPr>
        <w:fldChar w:fldCharType="end"/>
      </w:r>
      <w:r w:rsidRPr="00815660">
        <w:rPr>
          <w:rFonts w:ascii="Times New Roman" w:hAnsi="Times New Roman" w:cs="Times New Roman"/>
          <w:b/>
          <w:bCs/>
          <w:sz w:val="22"/>
          <w:szCs w:val="22"/>
        </w:rPr>
        <w:t>.</w:t>
      </w:r>
      <w:r w:rsidRPr="00815660">
        <w:rPr>
          <w:rFonts w:ascii="Times New Roman" w:hAnsi="Times New Roman" w:cs="Times New Roman"/>
          <w:sz w:val="22"/>
          <w:szCs w:val="22"/>
        </w:rPr>
        <w:t xml:space="preserve"> Efficiency Ratios of Sinopec and CNOOC, 2020</w:t>
      </w:r>
      <w:r w:rsidR="00393F7D">
        <w:rPr>
          <w:rFonts w:ascii="Times New Roman" w:hAnsi="Times New Roman" w:cs="Times New Roman"/>
          <w:sz w:val="22"/>
          <w:szCs w:val="22"/>
        </w:rPr>
        <w:t>-</w:t>
      </w:r>
      <w:r w:rsidRPr="00815660">
        <w:rPr>
          <w:rFonts w:ascii="Times New Roman" w:hAnsi="Times New Roman" w:cs="Times New Roman"/>
          <w:sz w:val="22"/>
          <w:szCs w:val="22"/>
        </w:rPr>
        <w:t>2024</w:t>
      </w:r>
      <w:bookmarkEnd w:id="14"/>
    </w:p>
    <w:p w14:paraId="6B707A1F" w14:textId="0A57C7F8" w:rsidR="00956C26" w:rsidRPr="00815660" w:rsidRDefault="00ED701E" w:rsidP="00502470">
      <w:pPr>
        <w:spacing w:line="360" w:lineRule="auto"/>
        <w:jc w:val="center"/>
        <w:rPr>
          <w:rFonts w:ascii="Times New Roman" w:hAnsi="Times New Roman" w:cs="Times New Roman"/>
          <w:sz w:val="24"/>
        </w:rPr>
      </w:pPr>
      <w:r w:rsidRPr="00815660">
        <w:rPr>
          <w:rFonts w:ascii="Times New Roman" w:hAnsi="Times New Roman" w:cs="Times New Roman"/>
          <w:noProof/>
          <w:sz w:val="24"/>
        </w:rPr>
        <w:drawing>
          <wp:inline distT="0" distB="0" distL="0" distR="0" wp14:anchorId="649F2F03" wp14:editId="5E164D1D">
            <wp:extent cx="5759450" cy="1070610"/>
            <wp:effectExtent l="0" t="0" r="0" b="0"/>
            <wp:docPr id="1930275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75162" name=""/>
                    <pic:cNvPicPr/>
                  </pic:nvPicPr>
                  <pic:blipFill>
                    <a:blip r:embed="rId15"/>
                    <a:stretch>
                      <a:fillRect/>
                    </a:stretch>
                  </pic:blipFill>
                  <pic:spPr>
                    <a:xfrm>
                      <a:off x="0" y="0"/>
                      <a:ext cx="5759450" cy="1070610"/>
                    </a:xfrm>
                    <a:prstGeom prst="rect">
                      <a:avLst/>
                    </a:prstGeom>
                  </pic:spPr>
                </pic:pic>
              </a:graphicData>
            </a:graphic>
          </wp:inline>
        </w:drawing>
      </w:r>
    </w:p>
    <w:p w14:paraId="2885EF7F" w14:textId="77777777" w:rsidR="00ED701E" w:rsidRPr="00815660" w:rsidRDefault="00ED701E" w:rsidP="00502470">
      <w:pPr>
        <w:keepNext/>
        <w:spacing w:line="360" w:lineRule="auto"/>
        <w:jc w:val="center"/>
        <w:rPr>
          <w:rFonts w:hint="eastAsia"/>
        </w:rPr>
      </w:pPr>
      <w:r w:rsidRPr="00815660">
        <w:rPr>
          <w:rFonts w:ascii="Times New Roman" w:hAnsi="Times New Roman" w:cs="Times New Roman"/>
          <w:noProof/>
          <w:sz w:val="24"/>
        </w:rPr>
        <w:drawing>
          <wp:inline distT="0" distB="0" distL="0" distR="0" wp14:anchorId="458798E7" wp14:editId="401D5D75">
            <wp:extent cx="5707444" cy="2228231"/>
            <wp:effectExtent l="19050" t="19050" r="8890" b="14605"/>
            <wp:docPr id="1986192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92766" name=""/>
                    <pic:cNvPicPr/>
                  </pic:nvPicPr>
                  <pic:blipFill>
                    <a:blip r:embed="rId16"/>
                    <a:stretch>
                      <a:fillRect/>
                    </a:stretch>
                  </pic:blipFill>
                  <pic:spPr>
                    <a:xfrm>
                      <a:off x="0" y="0"/>
                      <a:ext cx="5707444" cy="2228231"/>
                    </a:xfrm>
                    <a:prstGeom prst="rect">
                      <a:avLst/>
                    </a:prstGeom>
                    <a:ln>
                      <a:solidFill>
                        <a:schemeClr val="bg1">
                          <a:lumMod val="85000"/>
                        </a:schemeClr>
                      </a:solidFill>
                    </a:ln>
                  </pic:spPr>
                </pic:pic>
              </a:graphicData>
            </a:graphic>
          </wp:inline>
        </w:drawing>
      </w:r>
    </w:p>
    <w:p w14:paraId="770BE891" w14:textId="0BDEBA88" w:rsidR="00956C26" w:rsidRPr="00815660" w:rsidRDefault="00ED701E" w:rsidP="00502470">
      <w:pPr>
        <w:pStyle w:val="af4"/>
        <w:spacing w:line="360" w:lineRule="auto"/>
        <w:jc w:val="center"/>
        <w:rPr>
          <w:rFonts w:ascii="Times New Roman" w:hAnsi="Times New Roman" w:cs="Times New Roman"/>
          <w:sz w:val="32"/>
          <w:szCs w:val="22"/>
        </w:rPr>
      </w:pPr>
      <w:bookmarkStart w:id="15" w:name="_Toc230655270"/>
      <w:r w:rsidRPr="00815660">
        <w:rPr>
          <w:rFonts w:ascii="Times New Roman" w:hAnsi="Times New Roman" w:cs="Times New Roman"/>
          <w:b/>
          <w:bCs/>
          <w:sz w:val="22"/>
          <w:szCs w:val="22"/>
        </w:rPr>
        <w:t xml:space="preserve">Figure </w:t>
      </w:r>
      <w:r w:rsidRPr="00815660">
        <w:rPr>
          <w:rFonts w:ascii="Times New Roman" w:hAnsi="Times New Roman" w:cs="Times New Roman"/>
          <w:b/>
          <w:bCs/>
          <w:sz w:val="22"/>
          <w:szCs w:val="22"/>
        </w:rPr>
        <w:fldChar w:fldCharType="begin"/>
      </w:r>
      <w:r w:rsidRPr="00815660">
        <w:rPr>
          <w:rFonts w:ascii="Times New Roman" w:hAnsi="Times New Roman" w:cs="Times New Roman"/>
          <w:b/>
          <w:bCs/>
          <w:sz w:val="22"/>
          <w:szCs w:val="22"/>
        </w:rPr>
        <w:instrText xml:space="preserve"> SEQ Figure \* ARABIC </w:instrText>
      </w:r>
      <w:r w:rsidRPr="00815660">
        <w:rPr>
          <w:rFonts w:ascii="Times New Roman" w:hAnsi="Times New Roman" w:cs="Times New Roman"/>
          <w:b/>
          <w:bCs/>
          <w:sz w:val="22"/>
          <w:szCs w:val="22"/>
        </w:rPr>
        <w:fldChar w:fldCharType="separate"/>
      </w:r>
      <w:r w:rsidR="0053346D">
        <w:rPr>
          <w:rFonts w:ascii="Times New Roman" w:hAnsi="Times New Roman" w:cs="Times New Roman"/>
          <w:b/>
          <w:bCs/>
          <w:noProof/>
          <w:sz w:val="22"/>
          <w:szCs w:val="22"/>
        </w:rPr>
        <w:t>5</w:t>
      </w:r>
      <w:r w:rsidRPr="00815660">
        <w:rPr>
          <w:rFonts w:ascii="Times New Roman" w:hAnsi="Times New Roman" w:cs="Times New Roman"/>
          <w:b/>
          <w:bCs/>
          <w:sz w:val="22"/>
          <w:szCs w:val="22"/>
        </w:rPr>
        <w:fldChar w:fldCharType="end"/>
      </w:r>
      <w:r w:rsidRPr="00815660">
        <w:rPr>
          <w:rFonts w:ascii="Times New Roman" w:hAnsi="Times New Roman" w:cs="Times New Roman"/>
          <w:b/>
          <w:bCs/>
          <w:sz w:val="22"/>
          <w:szCs w:val="22"/>
        </w:rPr>
        <w:t>.</w:t>
      </w:r>
      <w:r w:rsidRPr="00815660">
        <w:rPr>
          <w:rFonts w:ascii="Times New Roman" w:hAnsi="Times New Roman" w:cs="Times New Roman"/>
          <w:sz w:val="22"/>
          <w:szCs w:val="22"/>
        </w:rPr>
        <w:t xml:space="preserve"> Efficiency Ratio Trends of Sinopec and CNOOC, 2020</w:t>
      </w:r>
      <w:r w:rsidR="00393F7D">
        <w:rPr>
          <w:rFonts w:ascii="Times New Roman" w:hAnsi="Times New Roman" w:cs="Times New Roman"/>
          <w:sz w:val="22"/>
          <w:szCs w:val="22"/>
        </w:rPr>
        <w:t>-</w:t>
      </w:r>
      <w:r w:rsidRPr="00815660">
        <w:rPr>
          <w:rFonts w:ascii="Times New Roman" w:hAnsi="Times New Roman" w:cs="Times New Roman"/>
          <w:sz w:val="22"/>
          <w:szCs w:val="22"/>
        </w:rPr>
        <w:t>2024</w:t>
      </w:r>
      <w:bookmarkEnd w:id="15"/>
    </w:p>
    <w:p w14:paraId="3834B68B" w14:textId="4EF15CE8" w:rsidR="00AB1C61" w:rsidRPr="00815660" w:rsidRDefault="00AB1C61" w:rsidP="00502470">
      <w:pPr>
        <w:spacing w:line="360" w:lineRule="auto"/>
        <w:jc w:val="both"/>
        <w:rPr>
          <w:rFonts w:ascii="Times New Roman" w:hAnsi="Times New Roman" w:cs="Times New Roman"/>
          <w:sz w:val="24"/>
        </w:rPr>
      </w:pPr>
      <w:r w:rsidRPr="00AB1C61">
        <w:rPr>
          <w:rFonts w:ascii="Times New Roman" w:hAnsi="Times New Roman" w:cs="Times New Roman"/>
          <w:sz w:val="24"/>
        </w:rPr>
        <w:t>As shown in Table 4 and Figure 5, Sinopec</w:t>
      </w:r>
      <w:r w:rsidR="00011E46">
        <w:rPr>
          <w:rFonts w:ascii="Times New Roman" w:hAnsi="Times New Roman" w:cs="Times New Roman"/>
          <w:sz w:val="24"/>
        </w:rPr>
        <w:t>’</w:t>
      </w:r>
      <w:r w:rsidRPr="00AB1C61">
        <w:rPr>
          <w:rFonts w:ascii="Times New Roman" w:hAnsi="Times New Roman" w:cs="Times New Roman"/>
          <w:sz w:val="24"/>
        </w:rPr>
        <w:t>s asset turnover improved during the recovery period but weakened after 2022. It rose from 1.09 in 2020 to 1.39 in 2021 and peaked at 1.62 in 2022, before declining to 1.39 in 2024. This suggests stronger revenue generation from its asset base during the early recovery, but softer efficiency as demand conditions became more challenging. The trend is consistent with Sinopec</w:t>
      </w:r>
      <w:r w:rsidR="00011E46">
        <w:rPr>
          <w:rFonts w:ascii="Times New Roman" w:hAnsi="Times New Roman" w:cs="Times New Roman"/>
          <w:sz w:val="24"/>
        </w:rPr>
        <w:t>’</w:t>
      </w:r>
      <w:r w:rsidRPr="00AB1C61">
        <w:rPr>
          <w:rFonts w:ascii="Times New Roman" w:hAnsi="Times New Roman" w:cs="Times New Roman"/>
          <w:sz w:val="24"/>
        </w:rPr>
        <w:t xml:space="preserve">s annual reports, which reported stronger refinery </w:t>
      </w:r>
      <w:r w:rsidRPr="00AB1C61">
        <w:rPr>
          <w:rFonts w:ascii="Times New Roman" w:hAnsi="Times New Roman" w:cs="Times New Roman"/>
          <w:sz w:val="24"/>
        </w:rPr>
        <w:lastRenderedPageBreak/>
        <w:t>throughput and refined</w:t>
      </w:r>
      <w:r w:rsidR="00393F7D">
        <w:rPr>
          <w:rFonts w:ascii="Times New Roman" w:hAnsi="Times New Roman" w:cs="Times New Roman"/>
          <w:sz w:val="24"/>
        </w:rPr>
        <w:t>-</w:t>
      </w:r>
      <w:r w:rsidRPr="00AB1C61">
        <w:rPr>
          <w:rFonts w:ascii="Times New Roman" w:hAnsi="Times New Roman" w:cs="Times New Roman"/>
          <w:sz w:val="24"/>
        </w:rPr>
        <w:t>oil sales, including record crude throughput in 2023, before weaker refined</w:t>
      </w:r>
      <w:r w:rsidR="00393F7D">
        <w:rPr>
          <w:rFonts w:ascii="Times New Roman" w:hAnsi="Times New Roman" w:cs="Times New Roman"/>
          <w:sz w:val="24"/>
        </w:rPr>
        <w:t>-</w:t>
      </w:r>
      <w:r w:rsidRPr="00AB1C61">
        <w:rPr>
          <w:rFonts w:ascii="Times New Roman" w:hAnsi="Times New Roman" w:cs="Times New Roman"/>
          <w:sz w:val="24"/>
        </w:rPr>
        <w:t>oil demand in 2024 (Sinopec Corp., 2022a, 2024a, 2025a).</w:t>
      </w:r>
    </w:p>
    <w:p w14:paraId="62E0CFF0" w14:textId="4C474371" w:rsidR="00AB1C61" w:rsidRPr="00815660" w:rsidRDefault="00AB1C61" w:rsidP="00502470">
      <w:pPr>
        <w:spacing w:line="360" w:lineRule="auto"/>
        <w:jc w:val="both"/>
        <w:rPr>
          <w:rFonts w:ascii="Times New Roman" w:hAnsi="Times New Roman" w:cs="Times New Roman"/>
          <w:sz w:val="24"/>
        </w:rPr>
      </w:pPr>
      <w:r w:rsidRPr="00AB1C61">
        <w:rPr>
          <w:rFonts w:ascii="Times New Roman" w:hAnsi="Times New Roman" w:cs="Times New Roman"/>
          <w:sz w:val="24"/>
        </w:rPr>
        <w:t>Inventory turnover shows a similar but more operationally specific pattern. Sinopec</w:t>
      </w:r>
      <w:r w:rsidR="00011E46">
        <w:rPr>
          <w:rFonts w:ascii="Times New Roman" w:hAnsi="Times New Roman" w:cs="Times New Roman"/>
          <w:sz w:val="24"/>
        </w:rPr>
        <w:t>’</w:t>
      </w:r>
      <w:r w:rsidRPr="00AB1C61">
        <w:rPr>
          <w:rFonts w:ascii="Times New Roman" w:hAnsi="Times New Roman" w:cs="Times New Roman"/>
          <w:sz w:val="24"/>
        </w:rPr>
        <w:t>s inventory turnover increased from 9.80 in 2020 to 12.51 in 2022, before falling to 10.26 in 2024. This indicates stronger inventory use during the recovery phase but weaker efficiency afterward, consistent with softer refined</w:t>
      </w:r>
      <w:r w:rsidR="00393F7D">
        <w:rPr>
          <w:rFonts w:ascii="Times New Roman" w:hAnsi="Times New Roman" w:cs="Times New Roman"/>
          <w:sz w:val="24"/>
        </w:rPr>
        <w:t>-</w:t>
      </w:r>
      <w:r w:rsidRPr="00AB1C61">
        <w:rPr>
          <w:rFonts w:ascii="Times New Roman" w:hAnsi="Times New Roman" w:cs="Times New Roman"/>
          <w:sz w:val="24"/>
        </w:rPr>
        <w:t>oil demand, weak chemical margins and inventory</w:t>
      </w:r>
      <w:r w:rsidR="00393F7D">
        <w:rPr>
          <w:rFonts w:ascii="Times New Roman" w:hAnsi="Times New Roman" w:cs="Times New Roman"/>
          <w:sz w:val="24"/>
        </w:rPr>
        <w:t>-</w:t>
      </w:r>
      <w:r w:rsidRPr="00AB1C61">
        <w:rPr>
          <w:rFonts w:ascii="Times New Roman" w:hAnsi="Times New Roman" w:cs="Times New Roman"/>
          <w:sz w:val="24"/>
        </w:rPr>
        <w:t>management difficulty in a volatile downstream environment (Sinopec Corp., 2024a, 2025a). Compared with CNOOC, Sinopec had much higher asset turnover, reflecting its sales</w:t>
      </w:r>
      <w:r w:rsidR="00393F7D">
        <w:rPr>
          <w:rFonts w:ascii="Times New Roman" w:hAnsi="Times New Roman" w:cs="Times New Roman"/>
          <w:sz w:val="24"/>
        </w:rPr>
        <w:t>-</w:t>
      </w:r>
      <w:r w:rsidRPr="00AB1C61">
        <w:rPr>
          <w:rFonts w:ascii="Times New Roman" w:hAnsi="Times New Roman" w:cs="Times New Roman"/>
          <w:sz w:val="24"/>
        </w:rPr>
        <w:t>intensive downstream model, but its substantially lower inventory turnover suggests a heavier inventory structure and greater dependence on refinery and supply</w:t>
      </w:r>
      <w:r w:rsidR="00393F7D">
        <w:rPr>
          <w:rFonts w:ascii="Times New Roman" w:hAnsi="Times New Roman" w:cs="Times New Roman"/>
          <w:sz w:val="24"/>
        </w:rPr>
        <w:t>-</w:t>
      </w:r>
      <w:r w:rsidRPr="00AB1C61">
        <w:rPr>
          <w:rFonts w:ascii="Times New Roman" w:hAnsi="Times New Roman" w:cs="Times New Roman"/>
          <w:sz w:val="24"/>
        </w:rPr>
        <w:t>chain efficiency. For clients, the implication is mixed: Sinopec</w:t>
      </w:r>
      <w:r w:rsidR="00011E46">
        <w:rPr>
          <w:rFonts w:ascii="Times New Roman" w:hAnsi="Times New Roman" w:cs="Times New Roman"/>
          <w:sz w:val="24"/>
        </w:rPr>
        <w:t>’</w:t>
      </w:r>
      <w:r w:rsidRPr="00AB1C61">
        <w:rPr>
          <w:rFonts w:ascii="Times New Roman" w:hAnsi="Times New Roman" w:cs="Times New Roman"/>
          <w:sz w:val="24"/>
        </w:rPr>
        <w:t>s asset base supports revenue generation, but weakening inventory efficiency may limit cash conversion and reinforce working</w:t>
      </w:r>
      <w:r w:rsidR="00393F7D">
        <w:rPr>
          <w:rFonts w:ascii="Times New Roman" w:hAnsi="Times New Roman" w:cs="Times New Roman"/>
          <w:sz w:val="24"/>
        </w:rPr>
        <w:t>-</w:t>
      </w:r>
      <w:r w:rsidRPr="00AB1C61">
        <w:rPr>
          <w:rFonts w:ascii="Times New Roman" w:hAnsi="Times New Roman" w:cs="Times New Roman"/>
          <w:sz w:val="24"/>
        </w:rPr>
        <w:t>capital pressure.</w:t>
      </w:r>
    </w:p>
    <w:p w14:paraId="73B61B24" w14:textId="7C33CC9A" w:rsidR="00BA2292" w:rsidRPr="00815660" w:rsidRDefault="00DF3ABB" w:rsidP="00502470">
      <w:pPr>
        <w:pStyle w:val="31"/>
        <w:rPr>
          <w:rFonts w:eastAsiaTheme="minorEastAsia"/>
          <w:i w:val="0"/>
          <w:iCs w:val="0"/>
        </w:rPr>
      </w:pPr>
      <w:bookmarkStart w:id="16" w:name="_Toc230578733"/>
      <w:r w:rsidRPr="00815660">
        <w:rPr>
          <w:i w:val="0"/>
          <w:iCs w:val="0"/>
        </w:rPr>
        <w:t xml:space="preserve">2.5 </w:t>
      </w:r>
      <w:r w:rsidR="00CB70AB" w:rsidRPr="00815660">
        <w:rPr>
          <w:rFonts w:eastAsiaTheme="minorEastAsia" w:hint="eastAsia"/>
          <w:i w:val="0"/>
          <w:iCs w:val="0"/>
        </w:rPr>
        <w:t>Integrated</w:t>
      </w:r>
      <w:r w:rsidRPr="00815660">
        <w:rPr>
          <w:i w:val="0"/>
          <w:iCs w:val="0"/>
        </w:rPr>
        <w:t xml:space="preserve"> Financial Summary</w:t>
      </w:r>
      <w:bookmarkEnd w:id="16"/>
    </w:p>
    <w:p w14:paraId="0054A103" w14:textId="4BAC2BFA" w:rsidR="00B53EF6" w:rsidRPr="00815660" w:rsidRDefault="00AB1C61" w:rsidP="000B1ECC">
      <w:pPr>
        <w:spacing w:line="360" w:lineRule="auto"/>
        <w:jc w:val="both"/>
        <w:rPr>
          <w:rFonts w:ascii="Times New Roman" w:hAnsi="Times New Roman" w:cs="Times New Roman"/>
          <w:sz w:val="24"/>
        </w:rPr>
      </w:pPr>
      <w:r w:rsidRPr="00AB1C61">
        <w:rPr>
          <w:rFonts w:ascii="Times New Roman" w:hAnsi="Times New Roman" w:cs="Times New Roman"/>
          <w:sz w:val="24"/>
        </w:rPr>
        <w:t xml:space="preserve">Taken together, </w:t>
      </w:r>
      <w:r w:rsidR="000B1ECC" w:rsidRPr="000B1ECC">
        <w:rPr>
          <w:rFonts w:ascii="Times New Roman" w:hAnsi="Times New Roman" w:cs="Times New Roman"/>
          <w:sz w:val="24"/>
        </w:rPr>
        <w:t>Tables 1</w:t>
      </w:r>
      <w:r w:rsidR="00C54DB1">
        <w:rPr>
          <w:rFonts w:ascii="Times New Roman" w:hAnsi="Times New Roman" w:cs="Times New Roman"/>
          <w:sz w:val="24"/>
        </w:rPr>
        <w:t>-</w:t>
      </w:r>
      <w:r w:rsidR="000B1ECC" w:rsidRPr="000B1ECC">
        <w:rPr>
          <w:rFonts w:ascii="Times New Roman" w:hAnsi="Times New Roman" w:cs="Times New Roman"/>
          <w:sz w:val="24"/>
        </w:rPr>
        <w:t>4 and Figures 2</w:t>
      </w:r>
      <w:r w:rsidR="00C54DB1">
        <w:rPr>
          <w:rFonts w:ascii="Times New Roman" w:hAnsi="Times New Roman" w:cs="Times New Roman"/>
          <w:sz w:val="24"/>
        </w:rPr>
        <w:t>-</w:t>
      </w:r>
      <w:r w:rsidR="000B1ECC" w:rsidRPr="000B1ECC">
        <w:rPr>
          <w:rFonts w:ascii="Times New Roman" w:hAnsi="Times New Roman" w:cs="Times New Roman"/>
          <w:sz w:val="24"/>
        </w:rPr>
        <w:t>5 suggest that Sinopec’s financial position in 2020</w:t>
      </w:r>
      <w:r w:rsidR="00C54DB1">
        <w:rPr>
          <w:rFonts w:ascii="Times New Roman" w:hAnsi="Times New Roman" w:cs="Times New Roman"/>
          <w:sz w:val="24"/>
        </w:rPr>
        <w:t>-</w:t>
      </w:r>
      <w:r w:rsidR="000B1ECC" w:rsidRPr="000B1ECC">
        <w:rPr>
          <w:rFonts w:ascii="Times New Roman" w:hAnsi="Times New Roman" w:cs="Times New Roman"/>
          <w:sz w:val="24"/>
        </w:rPr>
        <w:t>2024 was serviceable but becoming more constrained. The company maintained advantages in operating scale and revenue-generation efficiency, supported by its downstream marketing network and refining operations. However, these strengths were offset by weaker profitability after the 2021 recovery, persistently tight liquidity, rising leverage and declining inventory efficiency. Compared with CNOOC, Sinopec was less profitable, less liquid and more leveraged, although it had higher asset turnover because of its more downstream-oriented business model. This benchmark indicates that Sinopec’s issue is not immediate financial weakness, but reduced financial headroom. For clients, Sinopec remains investable as a strategically important integrated energy company, but margin performance, working-capital management and the ability to finance transition investment without further impairing financial flexibility remain key conditions.</w:t>
      </w:r>
    </w:p>
    <w:p w14:paraId="2895F3BE" w14:textId="77777777" w:rsidR="00B53EF6" w:rsidRPr="00815660" w:rsidRDefault="00B53EF6" w:rsidP="00502470">
      <w:pPr>
        <w:spacing w:line="360" w:lineRule="auto"/>
        <w:rPr>
          <w:rFonts w:ascii="Times New Roman" w:hAnsi="Times New Roman" w:cs="Times New Roman"/>
          <w:sz w:val="24"/>
        </w:rPr>
      </w:pPr>
    </w:p>
    <w:p w14:paraId="508C724F" w14:textId="481263D9" w:rsidR="00814737" w:rsidRPr="00815660" w:rsidRDefault="00AF5541" w:rsidP="00502470">
      <w:pPr>
        <w:pStyle w:val="21"/>
        <w:rPr>
          <w:rFonts w:eastAsiaTheme="minorEastAsia"/>
          <w:color w:val="auto"/>
        </w:rPr>
      </w:pPr>
      <w:bookmarkStart w:id="17" w:name="_Toc230578734"/>
      <w:r w:rsidRPr="00815660">
        <w:rPr>
          <w:color w:val="auto"/>
        </w:rPr>
        <w:lastRenderedPageBreak/>
        <w:t>Section 3: Non</w:t>
      </w:r>
      <w:r w:rsidR="00393F7D">
        <w:rPr>
          <w:color w:val="auto"/>
        </w:rPr>
        <w:t>-</w:t>
      </w:r>
      <w:r w:rsidRPr="00815660">
        <w:rPr>
          <w:color w:val="auto"/>
        </w:rPr>
        <w:t>Financial (ESG) Performance Analysis</w:t>
      </w:r>
      <w:bookmarkEnd w:id="17"/>
    </w:p>
    <w:p w14:paraId="68F584B0" w14:textId="03F9EF5D" w:rsidR="000B1ECC" w:rsidRPr="00815660" w:rsidRDefault="000B1ECC" w:rsidP="00502470">
      <w:pPr>
        <w:spacing w:line="360" w:lineRule="auto"/>
        <w:jc w:val="both"/>
        <w:rPr>
          <w:rFonts w:ascii="Times New Roman" w:hAnsi="Times New Roman" w:cs="Times New Roman"/>
          <w:sz w:val="24"/>
        </w:rPr>
      </w:pPr>
      <w:r w:rsidRPr="000B1ECC">
        <w:rPr>
          <w:rFonts w:ascii="Times New Roman" w:hAnsi="Times New Roman" w:cs="Times New Roman"/>
          <w:sz w:val="24"/>
        </w:rPr>
        <w:t>Sinopec’s investment assessment is materially affected by the company’s environmental, social and governance (ESG) performance, as Sinopec operates in a carbon-intensive, safety-sensitive and highly regulated energy and petrochemical sector where non-financial factors may influence regulatory exposure, operating resilience and long-term value creation. From an investment point of view, the environmental pillar represents transition readiness, emissions management and resource efficiency; the social pillar reflects employee safety, human-capital management and stakeholder relations; and governance indicates the quality of oversight, accountability and disclosure. Thus, ESG factors must be considered in responsible investment because they may affect the risk and return of long-term investments (Principles for Responsible Investment [PRI], no date). In this section, Sinopec’s ESG performance from 2020 to 2024 is assessed using both rating evidence and indicator evidence, with CNOOC used as the comparator. Sinopec’s relative ESG position is first shown in the overall heatmap in Table 5. It reveals that Sinopec’s overall ESG profile improved over the period, but performance across the three pillars remained uneven, while the CNOOC benchmark also helps identify whether the changes reflect company-specific performance or wider industry conditions.</w:t>
      </w:r>
    </w:p>
    <w:p w14:paraId="3B42D35D" w14:textId="620FF0A9" w:rsidR="00BB5F75" w:rsidRPr="00616855" w:rsidRDefault="00BB5F75" w:rsidP="00502470">
      <w:pPr>
        <w:pStyle w:val="af4"/>
        <w:keepNext/>
        <w:spacing w:line="360" w:lineRule="auto"/>
        <w:rPr>
          <w:rFonts w:ascii="Times New Roman" w:hAnsi="Times New Roman" w:cs="Times New Roman"/>
          <w:sz w:val="22"/>
          <w:szCs w:val="22"/>
        </w:rPr>
      </w:pPr>
      <w:bookmarkStart w:id="18" w:name="_Toc230654743"/>
      <w:r w:rsidRPr="00616855">
        <w:rPr>
          <w:rFonts w:ascii="Times New Roman" w:hAnsi="Times New Roman" w:cs="Times New Roman"/>
          <w:b/>
          <w:bCs/>
          <w:sz w:val="22"/>
          <w:szCs w:val="22"/>
        </w:rPr>
        <w:t xml:space="preserve">Table </w:t>
      </w:r>
      <w:r w:rsidRPr="00616855">
        <w:rPr>
          <w:rFonts w:ascii="Times New Roman" w:hAnsi="Times New Roman" w:cs="Times New Roman"/>
          <w:b/>
          <w:bCs/>
          <w:sz w:val="22"/>
          <w:szCs w:val="22"/>
        </w:rPr>
        <w:fldChar w:fldCharType="begin"/>
      </w:r>
      <w:r w:rsidRPr="00616855">
        <w:rPr>
          <w:rFonts w:ascii="Times New Roman" w:hAnsi="Times New Roman" w:cs="Times New Roman"/>
          <w:b/>
          <w:bCs/>
          <w:sz w:val="22"/>
          <w:szCs w:val="22"/>
        </w:rPr>
        <w:instrText xml:space="preserve"> SEQ Table \* ARABIC </w:instrText>
      </w:r>
      <w:r w:rsidRPr="00616855">
        <w:rPr>
          <w:rFonts w:ascii="Times New Roman" w:hAnsi="Times New Roman" w:cs="Times New Roman"/>
          <w:b/>
          <w:bCs/>
          <w:sz w:val="22"/>
          <w:szCs w:val="22"/>
        </w:rPr>
        <w:fldChar w:fldCharType="separate"/>
      </w:r>
      <w:r w:rsidR="00D1368E">
        <w:rPr>
          <w:rFonts w:ascii="Times New Roman" w:hAnsi="Times New Roman" w:cs="Times New Roman"/>
          <w:b/>
          <w:bCs/>
          <w:noProof/>
          <w:sz w:val="22"/>
          <w:szCs w:val="22"/>
        </w:rPr>
        <w:t>5</w:t>
      </w:r>
      <w:r w:rsidRPr="00616855">
        <w:rPr>
          <w:rFonts w:ascii="Times New Roman" w:hAnsi="Times New Roman" w:cs="Times New Roman"/>
          <w:b/>
          <w:bCs/>
          <w:sz w:val="22"/>
          <w:szCs w:val="22"/>
        </w:rPr>
        <w:fldChar w:fldCharType="end"/>
      </w:r>
      <w:r w:rsidRPr="00616855">
        <w:rPr>
          <w:rFonts w:ascii="Times New Roman" w:hAnsi="Times New Roman" w:cs="Times New Roman"/>
          <w:b/>
          <w:bCs/>
          <w:sz w:val="22"/>
          <w:szCs w:val="22"/>
        </w:rPr>
        <w:t>.</w:t>
      </w:r>
      <w:r w:rsidRPr="00616855">
        <w:rPr>
          <w:rFonts w:ascii="Times New Roman" w:hAnsi="Times New Roman" w:cs="Times New Roman"/>
          <w:sz w:val="22"/>
          <w:szCs w:val="22"/>
        </w:rPr>
        <w:t xml:space="preserve"> ESG Rating Heatmap of Sinopec and CNOOC, 2020</w:t>
      </w:r>
      <w:r w:rsidR="00393F7D">
        <w:rPr>
          <w:rFonts w:ascii="Times New Roman" w:hAnsi="Times New Roman" w:cs="Times New Roman"/>
          <w:sz w:val="22"/>
          <w:szCs w:val="22"/>
        </w:rPr>
        <w:t>-</w:t>
      </w:r>
      <w:r w:rsidRPr="00616855">
        <w:rPr>
          <w:rFonts w:ascii="Times New Roman" w:hAnsi="Times New Roman" w:cs="Times New Roman"/>
          <w:sz w:val="22"/>
          <w:szCs w:val="22"/>
        </w:rPr>
        <w:t>2024</w:t>
      </w:r>
      <w:bookmarkEnd w:id="18"/>
    </w:p>
    <w:p w14:paraId="216125A1" w14:textId="2042A1CE" w:rsidR="00BB5F75" w:rsidRDefault="00BB5F75" w:rsidP="00502470">
      <w:pPr>
        <w:spacing w:line="360" w:lineRule="auto"/>
        <w:jc w:val="center"/>
        <w:rPr>
          <w:rFonts w:ascii="Times New Roman" w:hAnsi="Times New Roman" w:cs="Times New Roman"/>
          <w:sz w:val="24"/>
        </w:rPr>
      </w:pPr>
      <w:r w:rsidRPr="00815660">
        <w:rPr>
          <w:rFonts w:ascii="Times New Roman" w:hAnsi="Times New Roman" w:cs="Times New Roman"/>
          <w:noProof/>
          <w:sz w:val="24"/>
        </w:rPr>
        <w:drawing>
          <wp:inline distT="0" distB="0" distL="0" distR="0" wp14:anchorId="37461E39" wp14:editId="7C54E472">
            <wp:extent cx="5759450" cy="835660"/>
            <wp:effectExtent l="0" t="0" r="0" b="2540"/>
            <wp:docPr id="1240999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99370" name=""/>
                    <pic:cNvPicPr/>
                  </pic:nvPicPr>
                  <pic:blipFill>
                    <a:blip r:embed="rId17"/>
                    <a:stretch>
                      <a:fillRect/>
                    </a:stretch>
                  </pic:blipFill>
                  <pic:spPr>
                    <a:xfrm>
                      <a:off x="0" y="0"/>
                      <a:ext cx="5759450" cy="835660"/>
                    </a:xfrm>
                    <a:prstGeom prst="rect">
                      <a:avLst/>
                    </a:prstGeom>
                  </pic:spPr>
                </pic:pic>
              </a:graphicData>
            </a:graphic>
          </wp:inline>
        </w:drawing>
      </w:r>
    </w:p>
    <w:p w14:paraId="19152535" w14:textId="2B9849CA" w:rsidR="00616855" w:rsidRPr="00616855" w:rsidRDefault="00616855" w:rsidP="00502470">
      <w:pPr>
        <w:spacing w:line="360" w:lineRule="auto"/>
        <w:jc w:val="both"/>
        <w:rPr>
          <w:rFonts w:ascii="Times New Roman" w:hAnsi="Times New Roman" w:cs="Times New Roman"/>
          <w:szCs w:val="22"/>
        </w:rPr>
      </w:pPr>
      <w:r w:rsidRPr="00616855">
        <w:rPr>
          <w:rFonts w:ascii="Times New Roman" w:hAnsi="Times New Roman" w:cs="Times New Roman"/>
          <w:szCs w:val="22"/>
        </w:rPr>
        <w:t>Source: ESG data for Tables 5</w:t>
      </w:r>
      <w:r w:rsidR="00393F7D">
        <w:rPr>
          <w:rFonts w:ascii="Times New Roman" w:hAnsi="Times New Roman" w:cs="Times New Roman"/>
          <w:szCs w:val="22"/>
        </w:rPr>
        <w:t>-</w:t>
      </w:r>
      <w:r w:rsidRPr="00616855">
        <w:rPr>
          <w:rFonts w:ascii="Times New Roman" w:hAnsi="Times New Roman" w:cs="Times New Roman"/>
          <w:szCs w:val="22"/>
        </w:rPr>
        <w:t>7 and Figures 6</w:t>
      </w:r>
      <w:r w:rsidR="00393F7D">
        <w:rPr>
          <w:rFonts w:ascii="Times New Roman" w:hAnsi="Times New Roman" w:cs="Times New Roman"/>
          <w:szCs w:val="22"/>
        </w:rPr>
        <w:t>-</w:t>
      </w:r>
      <w:r w:rsidRPr="00616855">
        <w:rPr>
          <w:rFonts w:ascii="Times New Roman" w:hAnsi="Times New Roman" w:cs="Times New Roman"/>
          <w:szCs w:val="22"/>
        </w:rPr>
        <w:t>11 are compiled from Sinopec Corp. and CNOOC Limited sustainability/ESG reports, 2020</w:t>
      </w:r>
      <w:r w:rsidR="00393F7D">
        <w:rPr>
          <w:rFonts w:ascii="Times New Roman" w:hAnsi="Times New Roman" w:cs="Times New Roman"/>
          <w:szCs w:val="22"/>
        </w:rPr>
        <w:t>-</w:t>
      </w:r>
      <w:r w:rsidRPr="00616855">
        <w:rPr>
          <w:rFonts w:ascii="Times New Roman" w:hAnsi="Times New Roman" w:cs="Times New Roman"/>
          <w:szCs w:val="22"/>
        </w:rPr>
        <w:t>2024.</w:t>
      </w:r>
    </w:p>
    <w:p w14:paraId="135D50C5" w14:textId="77777777" w:rsidR="00F00CE6" w:rsidRPr="00815660" w:rsidRDefault="00CE731C" w:rsidP="00502470">
      <w:pPr>
        <w:pStyle w:val="31"/>
        <w:rPr>
          <w:rFonts w:eastAsiaTheme="minorEastAsia"/>
          <w:i w:val="0"/>
          <w:iCs w:val="0"/>
          <w:szCs w:val="24"/>
        </w:rPr>
      </w:pPr>
      <w:bookmarkStart w:id="19" w:name="_Toc230578735"/>
      <w:r w:rsidRPr="00815660">
        <w:rPr>
          <w:i w:val="0"/>
          <w:iCs w:val="0"/>
          <w:szCs w:val="24"/>
        </w:rPr>
        <w:t>3.</w:t>
      </w:r>
      <w:r w:rsidR="001C1C1D" w:rsidRPr="00815660">
        <w:rPr>
          <w:i w:val="0"/>
          <w:iCs w:val="0"/>
          <w:szCs w:val="24"/>
        </w:rPr>
        <w:t xml:space="preserve">1 </w:t>
      </w:r>
      <w:r w:rsidRPr="00815660">
        <w:rPr>
          <w:i w:val="0"/>
          <w:iCs w:val="0"/>
          <w:szCs w:val="24"/>
        </w:rPr>
        <w:t>Environmental (E)</w:t>
      </w:r>
      <w:bookmarkEnd w:id="19"/>
    </w:p>
    <w:p w14:paraId="649842F9" w14:textId="5EEFB569" w:rsidR="00FD49E9" w:rsidRPr="006530B0" w:rsidRDefault="00FD49E9" w:rsidP="00502470">
      <w:pPr>
        <w:spacing w:line="360" w:lineRule="auto"/>
        <w:jc w:val="both"/>
        <w:rPr>
          <w:rFonts w:ascii="Times New Roman" w:hAnsi="Times New Roman" w:cs="Times New Roman"/>
          <w:sz w:val="24"/>
        </w:rPr>
      </w:pPr>
      <w:r w:rsidRPr="00FD49E9">
        <w:rPr>
          <w:rFonts w:ascii="Times New Roman" w:hAnsi="Times New Roman" w:cs="Times New Roman"/>
          <w:sz w:val="24"/>
        </w:rPr>
        <w:t>The environmental pillar refers to how Sinopec manages emissions, resource use and the transition towards lower</w:t>
      </w:r>
      <w:r w:rsidR="00393F7D">
        <w:rPr>
          <w:rFonts w:ascii="Times New Roman" w:hAnsi="Times New Roman" w:cs="Times New Roman"/>
          <w:sz w:val="24"/>
        </w:rPr>
        <w:t>-</w:t>
      </w:r>
      <w:r w:rsidRPr="00FD49E9">
        <w:rPr>
          <w:rFonts w:ascii="Times New Roman" w:hAnsi="Times New Roman" w:cs="Times New Roman"/>
          <w:sz w:val="24"/>
        </w:rPr>
        <w:t>carbon energy activities. For a refining, chemicals and fuel</w:t>
      </w:r>
      <w:r w:rsidR="00393F7D">
        <w:rPr>
          <w:rFonts w:ascii="Times New Roman" w:hAnsi="Times New Roman" w:cs="Times New Roman"/>
          <w:sz w:val="24"/>
        </w:rPr>
        <w:t>-</w:t>
      </w:r>
      <w:r w:rsidRPr="00FD49E9">
        <w:rPr>
          <w:rFonts w:ascii="Times New Roman" w:hAnsi="Times New Roman" w:cs="Times New Roman"/>
          <w:sz w:val="24"/>
        </w:rPr>
        <w:t xml:space="preserve">marketing company, this pillar is material to carbon exposure, water pressure and transition risk; therefore, </w:t>
      </w:r>
      <w:r w:rsidRPr="00FD49E9">
        <w:rPr>
          <w:rFonts w:ascii="Times New Roman" w:hAnsi="Times New Roman" w:cs="Times New Roman"/>
          <w:sz w:val="24"/>
        </w:rPr>
        <w:lastRenderedPageBreak/>
        <w:t>it is assessed through emissions progress, clean</w:t>
      </w:r>
      <w:r w:rsidR="00393F7D">
        <w:rPr>
          <w:rFonts w:ascii="Times New Roman" w:hAnsi="Times New Roman" w:cs="Times New Roman"/>
          <w:sz w:val="24"/>
        </w:rPr>
        <w:t>-</w:t>
      </w:r>
      <w:r w:rsidRPr="00FD49E9">
        <w:rPr>
          <w:rFonts w:ascii="Times New Roman" w:hAnsi="Times New Roman" w:cs="Times New Roman"/>
          <w:sz w:val="24"/>
        </w:rPr>
        <w:t>energy strategy and wider environmental management issues (IFRS Foundation, 2023; IEA, 2023).</w:t>
      </w:r>
    </w:p>
    <w:p w14:paraId="271D6388" w14:textId="77777777" w:rsidR="00FC27E0" w:rsidRDefault="00FC27E0" w:rsidP="00502470">
      <w:pPr>
        <w:keepNext/>
        <w:spacing w:line="360" w:lineRule="auto"/>
        <w:jc w:val="center"/>
        <w:rPr>
          <w:rFonts w:hint="eastAsia"/>
        </w:rPr>
      </w:pPr>
      <w:r>
        <w:rPr>
          <w:noProof/>
        </w:rPr>
        <w:drawing>
          <wp:inline distT="0" distB="0" distL="0" distR="0" wp14:anchorId="0B5E726D" wp14:editId="5DF1A1C9">
            <wp:extent cx="4127450" cy="2638387"/>
            <wp:effectExtent l="0" t="0" r="6985" b="10160"/>
            <wp:docPr id="1585851296" name="图表 1">
              <a:extLst xmlns:a="http://schemas.openxmlformats.org/drawingml/2006/main">
                <a:ext uri="{FF2B5EF4-FFF2-40B4-BE49-F238E27FC236}">
                  <a16:creationId xmlns:a16="http://schemas.microsoft.com/office/drawing/2014/main" id="{00000000-0008-0000-08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EC6A96F" w14:textId="57000630" w:rsidR="006530B0" w:rsidRPr="006518D3" w:rsidRDefault="00FC27E0" w:rsidP="00502470">
      <w:pPr>
        <w:pStyle w:val="af4"/>
        <w:spacing w:line="360" w:lineRule="auto"/>
        <w:jc w:val="center"/>
        <w:rPr>
          <w:rFonts w:ascii="Times New Roman" w:hAnsi="Times New Roman" w:cs="Times New Roman"/>
          <w:sz w:val="40"/>
          <w:szCs w:val="28"/>
        </w:rPr>
      </w:pPr>
      <w:bookmarkStart w:id="20" w:name="_Toc230655271"/>
      <w:r w:rsidRPr="006518D3">
        <w:rPr>
          <w:rFonts w:ascii="Times New Roman" w:hAnsi="Times New Roman" w:cs="Times New Roman"/>
          <w:b/>
          <w:bCs/>
          <w:sz w:val="22"/>
          <w:szCs w:val="22"/>
        </w:rPr>
        <w:t xml:space="preserve">Figure </w:t>
      </w:r>
      <w:r w:rsidRPr="006518D3">
        <w:rPr>
          <w:rFonts w:ascii="Times New Roman" w:hAnsi="Times New Roman" w:cs="Times New Roman"/>
          <w:b/>
          <w:bCs/>
          <w:sz w:val="22"/>
          <w:szCs w:val="22"/>
        </w:rPr>
        <w:fldChar w:fldCharType="begin"/>
      </w:r>
      <w:r w:rsidRPr="006518D3">
        <w:rPr>
          <w:rFonts w:ascii="Times New Roman" w:hAnsi="Times New Roman" w:cs="Times New Roman"/>
          <w:b/>
          <w:bCs/>
          <w:sz w:val="22"/>
          <w:szCs w:val="22"/>
        </w:rPr>
        <w:instrText xml:space="preserve"> SEQ Figure \* ARABIC </w:instrText>
      </w:r>
      <w:r w:rsidRPr="006518D3">
        <w:rPr>
          <w:rFonts w:ascii="Times New Roman" w:hAnsi="Times New Roman" w:cs="Times New Roman"/>
          <w:b/>
          <w:bCs/>
          <w:sz w:val="22"/>
          <w:szCs w:val="22"/>
        </w:rPr>
        <w:fldChar w:fldCharType="separate"/>
      </w:r>
      <w:r w:rsidR="0053346D" w:rsidRPr="006518D3">
        <w:rPr>
          <w:rFonts w:ascii="Times New Roman" w:hAnsi="Times New Roman" w:cs="Times New Roman"/>
          <w:b/>
          <w:bCs/>
          <w:noProof/>
          <w:sz w:val="22"/>
          <w:szCs w:val="22"/>
        </w:rPr>
        <w:t>6</w:t>
      </w:r>
      <w:r w:rsidRPr="006518D3">
        <w:rPr>
          <w:rFonts w:ascii="Times New Roman" w:hAnsi="Times New Roman" w:cs="Times New Roman"/>
          <w:b/>
          <w:bCs/>
          <w:sz w:val="22"/>
          <w:szCs w:val="22"/>
        </w:rPr>
        <w:fldChar w:fldCharType="end"/>
      </w:r>
      <w:r w:rsidRPr="006518D3">
        <w:rPr>
          <w:rFonts w:ascii="Times New Roman" w:hAnsi="Times New Roman" w:cs="Times New Roman"/>
          <w:b/>
          <w:bCs/>
          <w:sz w:val="22"/>
          <w:szCs w:val="22"/>
        </w:rPr>
        <w:t xml:space="preserve">. </w:t>
      </w:r>
      <w:r w:rsidRPr="006518D3">
        <w:rPr>
          <w:rFonts w:ascii="Times New Roman" w:hAnsi="Times New Roman" w:cs="Times New Roman"/>
          <w:sz w:val="22"/>
          <w:szCs w:val="22"/>
        </w:rPr>
        <w:t>Indexed Combined Scope 1 and Scope 2 Emissions</w:t>
      </w:r>
      <w:r w:rsidR="003A4D7C" w:rsidRPr="006518D3">
        <w:rPr>
          <w:rFonts w:ascii="Times New Roman" w:hAnsi="Times New Roman" w:cs="Times New Roman" w:hint="eastAsia"/>
          <w:sz w:val="22"/>
          <w:szCs w:val="22"/>
        </w:rPr>
        <w:t xml:space="preserve"> of Sinopec and CNOOC</w:t>
      </w:r>
      <w:r w:rsidRPr="006518D3">
        <w:rPr>
          <w:rFonts w:ascii="Times New Roman" w:hAnsi="Times New Roman" w:cs="Times New Roman"/>
          <w:sz w:val="22"/>
          <w:szCs w:val="22"/>
        </w:rPr>
        <w:t>, 2020</w:t>
      </w:r>
      <w:r w:rsidR="00393F7D" w:rsidRPr="006518D3">
        <w:rPr>
          <w:rFonts w:ascii="Times New Roman" w:hAnsi="Times New Roman" w:cs="Times New Roman"/>
          <w:sz w:val="22"/>
          <w:szCs w:val="22"/>
        </w:rPr>
        <w:t>-</w:t>
      </w:r>
      <w:r w:rsidRPr="006518D3">
        <w:rPr>
          <w:rFonts w:ascii="Times New Roman" w:hAnsi="Times New Roman" w:cs="Times New Roman"/>
          <w:sz w:val="22"/>
          <w:szCs w:val="22"/>
        </w:rPr>
        <w:t>2024 (2020=100)</w:t>
      </w:r>
      <w:bookmarkEnd w:id="20"/>
    </w:p>
    <w:p w14:paraId="465EBCAC" w14:textId="6A34FCA7" w:rsidR="006530B0" w:rsidRPr="006530B0" w:rsidRDefault="006530B0" w:rsidP="00502470">
      <w:pPr>
        <w:spacing w:line="360" w:lineRule="auto"/>
        <w:jc w:val="both"/>
        <w:rPr>
          <w:rFonts w:ascii="Times New Roman" w:hAnsi="Times New Roman" w:cs="Times New Roman"/>
          <w:sz w:val="24"/>
        </w:rPr>
      </w:pPr>
      <w:r w:rsidRPr="006530B0">
        <w:rPr>
          <w:rFonts w:ascii="Times New Roman" w:hAnsi="Times New Roman" w:cs="Times New Roman" w:hint="eastAsia"/>
          <w:sz w:val="24"/>
        </w:rPr>
        <w:t>Sinopec has set a phased decarbonisation pathway, including peaking carbon emissions before 2030, reducing emissions by more than 25% from the peak by 2040 and aiming for carbon neutrality around 2050 (Sinopec Corp., 2025a). As shown in Figure 6, Sinopec</w:t>
      </w:r>
      <w:r w:rsidR="00011E46">
        <w:rPr>
          <w:rFonts w:ascii="Times New Roman" w:hAnsi="Times New Roman" w:cs="Times New Roman"/>
          <w:sz w:val="24"/>
        </w:rPr>
        <w:t>’</w:t>
      </w:r>
      <w:r w:rsidRPr="006530B0">
        <w:rPr>
          <w:rFonts w:ascii="Times New Roman" w:hAnsi="Times New Roman" w:cs="Times New Roman" w:hint="eastAsia"/>
          <w:sz w:val="24"/>
        </w:rPr>
        <w:t>s indexed Scope 1 and Scope 2 emissions remained broadly stable from 2020 to 2024, ending slightly below the 2020 baseline at 98.25. In contrast, CNOOC</w:t>
      </w:r>
      <w:r w:rsidR="00011E46">
        <w:rPr>
          <w:rFonts w:ascii="Times New Roman" w:hAnsi="Times New Roman" w:cs="Times New Roman"/>
          <w:sz w:val="24"/>
        </w:rPr>
        <w:t>’</w:t>
      </w:r>
      <w:r w:rsidRPr="006530B0">
        <w:rPr>
          <w:rFonts w:ascii="Times New Roman" w:hAnsi="Times New Roman" w:cs="Times New Roman" w:hint="eastAsia"/>
          <w:sz w:val="24"/>
        </w:rPr>
        <w:t>s index increased to 136.88, suggesting stronger operational emissions control by Sinopec. However, this should be interpreted cautiously because Sinopec</w:t>
      </w:r>
      <w:r w:rsidR="00011E46">
        <w:rPr>
          <w:rFonts w:ascii="Times New Roman" w:hAnsi="Times New Roman" w:cs="Times New Roman"/>
          <w:sz w:val="24"/>
        </w:rPr>
        <w:t>’</w:t>
      </w:r>
      <w:r w:rsidRPr="006530B0">
        <w:rPr>
          <w:rFonts w:ascii="Times New Roman" w:hAnsi="Times New Roman" w:cs="Times New Roman" w:hint="eastAsia"/>
          <w:sz w:val="24"/>
        </w:rPr>
        <w:t>s absolute emissions base remains larger due to its refining and petrochemical scale.</w:t>
      </w:r>
    </w:p>
    <w:p w14:paraId="7B5DBA03" w14:textId="77777777" w:rsidR="006530B0" w:rsidRDefault="006530B0" w:rsidP="00735EA6">
      <w:pPr>
        <w:keepNext/>
        <w:spacing w:line="240" w:lineRule="auto"/>
        <w:jc w:val="center"/>
        <w:rPr>
          <w:rFonts w:hint="eastAsia"/>
        </w:rPr>
      </w:pPr>
      <w:r>
        <w:rPr>
          <w:noProof/>
        </w:rPr>
        <w:lastRenderedPageBreak/>
        <w:drawing>
          <wp:inline distT="0" distB="0" distL="0" distR="0" wp14:anchorId="08E25234" wp14:editId="18672AEF">
            <wp:extent cx="4253171" cy="2566439"/>
            <wp:effectExtent l="0" t="0" r="0" b="5715"/>
            <wp:docPr id="5" name="图片 4">
              <a:extLst xmlns:a="http://schemas.openxmlformats.org/drawingml/2006/main">
                <a:ext uri="{FF2B5EF4-FFF2-40B4-BE49-F238E27FC236}">
                  <a16:creationId xmlns:a16="http://schemas.microsoft.com/office/drawing/2014/main" id="{5C9DD5F7-28D3-49B5-0425-685C5E8191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5C9DD5F7-28D3-49B5-0425-685C5E819149}"/>
                        </a:ext>
                      </a:extLst>
                    </pic:cNvPr>
                    <pic:cNvPicPr>
                      <a:picLocks noChangeAspect="1"/>
                    </pic:cNvPicPr>
                  </pic:nvPicPr>
                  <pic:blipFill rotWithShape="1">
                    <a:blip r:embed="rId19" cstate="print">
                      <a:extLst>
                        <a:ext uri="{28A0092B-C50C-407E-A947-70E740481C1C}">
                          <a14:useLocalDpi xmlns:a14="http://schemas.microsoft.com/office/drawing/2010/main" val="0"/>
                        </a:ext>
                      </a:extLst>
                    </a:blip>
                    <a:srcRect t="6676" b="951"/>
                    <a:stretch>
                      <a:fillRect/>
                    </a:stretch>
                  </pic:blipFill>
                  <pic:spPr>
                    <a:xfrm>
                      <a:off x="0" y="0"/>
                      <a:ext cx="4275305" cy="2579795"/>
                    </a:xfrm>
                    <a:prstGeom prst="rect">
                      <a:avLst/>
                    </a:prstGeom>
                  </pic:spPr>
                </pic:pic>
              </a:graphicData>
            </a:graphic>
          </wp:inline>
        </w:drawing>
      </w:r>
    </w:p>
    <w:p w14:paraId="3B78F8E9" w14:textId="267BE6B4" w:rsidR="006530B0" w:rsidRPr="006530B0" w:rsidRDefault="006530B0" w:rsidP="00735EA6">
      <w:pPr>
        <w:pStyle w:val="af4"/>
        <w:spacing w:line="240" w:lineRule="auto"/>
        <w:jc w:val="center"/>
        <w:rPr>
          <w:rFonts w:ascii="Times New Roman" w:hAnsi="Times New Roman" w:cs="Times New Roman"/>
          <w:sz w:val="32"/>
          <w:szCs w:val="22"/>
        </w:rPr>
      </w:pPr>
      <w:bookmarkStart w:id="21" w:name="_Toc230655272"/>
      <w:r w:rsidRPr="006530B0">
        <w:rPr>
          <w:rFonts w:ascii="Times New Roman" w:hAnsi="Times New Roman" w:cs="Times New Roman"/>
          <w:b/>
          <w:bCs/>
          <w:sz w:val="22"/>
          <w:szCs w:val="22"/>
        </w:rPr>
        <w:t xml:space="preserve">Figure </w:t>
      </w:r>
      <w:r w:rsidRPr="006530B0">
        <w:rPr>
          <w:rFonts w:ascii="Times New Roman" w:hAnsi="Times New Roman" w:cs="Times New Roman"/>
          <w:b/>
          <w:bCs/>
          <w:sz w:val="22"/>
          <w:szCs w:val="22"/>
        </w:rPr>
        <w:fldChar w:fldCharType="begin"/>
      </w:r>
      <w:r w:rsidRPr="006530B0">
        <w:rPr>
          <w:rFonts w:ascii="Times New Roman" w:hAnsi="Times New Roman" w:cs="Times New Roman"/>
          <w:b/>
          <w:bCs/>
          <w:sz w:val="22"/>
          <w:szCs w:val="22"/>
        </w:rPr>
        <w:instrText xml:space="preserve"> SEQ Figure \* ARABIC </w:instrText>
      </w:r>
      <w:r w:rsidRPr="006530B0">
        <w:rPr>
          <w:rFonts w:ascii="Times New Roman" w:hAnsi="Times New Roman" w:cs="Times New Roman"/>
          <w:b/>
          <w:bCs/>
          <w:sz w:val="22"/>
          <w:szCs w:val="22"/>
        </w:rPr>
        <w:fldChar w:fldCharType="separate"/>
      </w:r>
      <w:r w:rsidR="0053346D">
        <w:rPr>
          <w:rFonts w:ascii="Times New Roman" w:hAnsi="Times New Roman" w:cs="Times New Roman"/>
          <w:b/>
          <w:bCs/>
          <w:noProof/>
          <w:sz w:val="22"/>
          <w:szCs w:val="22"/>
        </w:rPr>
        <w:t>7</w:t>
      </w:r>
      <w:r w:rsidRPr="006530B0">
        <w:rPr>
          <w:rFonts w:ascii="Times New Roman" w:hAnsi="Times New Roman" w:cs="Times New Roman"/>
          <w:b/>
          <w:bCs/>
          <w:sz w:val="22"/>
          <w:szCs w:val="22"/>
        </w:rPr>
        <w:fldChar w:fldCharType="end"/>
      </w:r>
      <w:r w:rsidRPr="006530B0">
        <w:rPr>
          <w:rFonts w:ascii="Times New Roman" w:hAnsi="Times New Roman" w:cs="Times New Roman"/>
          <w:b/>
          <w:bCs/>
          <w:sz w:val="22"/>
          <w:szCs w:val="22"/>
        </w:rPr>
        <w:t xml:space="preserve">. </w:t>
      </w:r>
      <w:r w:rsidRPr="006530B0">
        <w:rPr>
          <w:rFonts w:ascii="Times New Roman" w:hAnsi="Times New Roman" w:cs="Times New Roman"/>
          <w:sz w:val="22"/>
          <w:szCs w:val="22"/>
        </w:rPr>
        <w:t>2024 Low</w:t>
      </w:r>
      <w:r w:rsidR="00393F7D">
        <w:rPr>
          <w:rFonts w:ascii="Times New Roman" w:hAnsi="Times New Roman" w:cs="Times New Roman"/>
          <w:sz w:val="22"/>
          <w:szCs w:val="22"/>
        </w:rPr>
        <w:t>-</w:t>
      </w:r>
      <w:r w:rsidRPr="006530B0">
        <w:rPr>
          <w:rFonts w:ascii="Times New Roman" w:hAnsi="Times New Roman" w:cs="Times New Roman"/>
          <w:sz w:val="22"/>
          <w:szCs w:val="22"/>
        </w:rPr>
        <w:t>carbon Transition Evidence</w:t>
      </w:r>
      <w:r w:rsidR="003A4D7C">
        <w:rPr>
          <w:rFonts w:ascii="Times New Roman" w:hAnsi="Times New Roman" w:cs="Times New Roman" w:hint="eastAsia"/>
          <w:sz w:val="22"/>
          <w:szCs w:val="22"/>
        </w:rPr>
        <w:t xml:space="preserve"> </w:t>
      </w:r>
      <w:r w:rsidR="003A4D7C" w:rsidRPr="003A4D7C">
        <w:rPr>
          <w:rFonts w:ascii="Times New Roman" w:hAnsi="Times New Roman" w:cs="Times New Roman"/>
          <w:sz w:val="22"/>
          <w:szCs w:val="22"/>
        </w:rPr>
        <w:t>of Sinopec and CNOOC</w:t>
      </w:r>
      <w:bookmarkEnd w:id="21"/>
    </w:p>
    <w:p w14:paraId="2AF1E819" w14:textId="38B2FB31" w:rsidR="006530B0" w:rsidRDefault="006530B0" w:rsidP="00502470">
      <w:pPr>
        <w:spacing w:line="360" w:lineRule="auto"/>
        <w:jc w:val="both"/>
        <w:rPr>
          <w:rFonts w:ascii="Times New Roman" w:hAnsi="Times New Roman" w:cs="Times New Roman"/>
          <w:sz w:val="24"/>
        </w:rPr>
      </w:pPr>
      <w:r w:rsidRPr="006530B0">
        <w:rPr>
          <w:rFonts w:ascii="Times New Roman" w:hAnsi="Times New Roman" w:cs="Times New Roman" w:hint="eastAsia"/>
          <w:sz w:val="24"/>
        </w:rPr>
        <w:t>For clean energy, Figure 7 shows RMB56.4 billion of green and low</w:t>
      </w:r>
      <w:r w:rsidR="00393F7D">
        <w:rPr>
          <w:rFonts w:ascii="Times New Roman" w:hAnsi="Times New Roman" w:cs="Times New Roman" w:hint="eastAsia"/>
          <w:sz w:val="24"/>
        </w:rPr>
        <w:t>-</w:t>
      </w:r>
      <w:r w:rsidRPr="006530B0">
        <w:rPr>
          <w:rFonts w:ascii="Times New Roman" w:hAnsi="Times New Roman" w:cs="Times New Roman" w:hint="eastAsia"/>
          <w:sz w:val="24"/>
        </w:rPr>
        <w:t>carbon investment, 142 hydrogen refuelling stations and more than 10,000 charging/swapping stations, supporting Sinopec</w:t>
      </w:r>
      <w:r w:rsidR="00011E46">
        <w:rPr>
          <w:rFonts w:ascii="Times New Roman" w:hAnsi="Times New Roman" w:cs="Times New Roman"/>
          <w:sz w:val="24"/>
        </w:rPr>
        <w:t>’</w:t>
      </w:r>
      <w:r w:rsidRPr="006530B0">
        <w:rPr>
          <w:rFonts w:ascii="Times New Roman" w:hAnsi="Times New Roman" w:cs="Times New Roman" w:hint="eastAsia"/>
          <w:sz w:val="24"/>
        </w:rPr>
        <w:t xml:space="preserve">s expansion into green hydrogen and </w:t>
      </w:r>
      <w:r w:rsidR="00F44889" w:rsidRPr="00F44889">
        <w:rPr>
          <w:rFonts w:ascii="Times New Roman" w:hAnsi="Times New Roman" w:cs="Times New Roman"/>
          <w:sz w:val="24"/>
        </w:rPr>
        <w:t>electric vehicle (EV)</w:t>
      </w:r>
      <w:r w:rsidRPr="006530B0">
        <w:rPr>
          <w:rFonts w:ascii="Times New Roman" w:hAnsi="Times New Roman" w:cs="Times New Roman" w:hint="eastAsia"/>
          <w:sz w:val="24"/>
        </w:rPr>
        <w:t xml:space="preserve"> charging infrastructure. Sinope</w:t>
      </w:r>
      <w:r w:rsidRPr="006530B0">
        <w:rPr>
          <w:rFonts w:ascii="Times New Roman" w:hAnsi="Times New Roman" w:cs="Times New Roman"/>
          <w:sz w:val="24"/>
        </w:rPr>
        <w:t xml:space="preserve">c also discloses initiatives in biofuels, geothermal energy, </w:t>
      </w:r>
      <w:r w:rsidR="00F44889" w:rsidRPr="00F44889">
        <w:rPr>
          <w:rFonts w:ascii="Times New Roman" w:hAnsi="Times New Roman" w:cs="Times New Roman"/>
          <w:sz w:val="24"/>
        </w:rPr>
        <w:t>carbon capture, utilisation and storage (CCUS)</w:t>
      </w:r>
      <w:r w:rsidRPr="006530B0">
        <w:rPr>
          <w:rFonts w:ascii="Times New Roman" w:hAnsi="Times New Roman" w:cs="Times New Roman"/>
          <w:sz w:val="24"/>
        </w:rPr>
        <w:t xml:space="preserve"> and methane reduction, while CNOOC</w:t>
      </w:r>
      <w:r w:rsidR="00011E46">
        <w:rPr>
          <w:rFonts w:ascii="Times New Roman" w:hAnsi="Times New Roman" w:cs="Times New Roman"/>
          <w:sz w:val="24"/>
        </w:rPr>
        <w:t>’</w:t>
      </w:r>
      <w:r w:rsidRPr="006530B0">
        <w:rPr>
          <w:rFonts w:ascii="Times New Roman" w:hAnsi="Times New Roman" w:cs="Times New Roman"/>
          <w:sz w:val="24"/>
        </w:rPr>
        <w:t>s 2024 evidence is more operation</w:t>
      </w:r>
      <w:r w:rsidR="00393F7D">
        <w:rPr>
          <w:rFonts w:ascii="Times New Roman" w:hAnsi="Times New Roman" w:cs="Times New Roman"/>
          <w:sz w:val="24"/>
        </w:rPr>
        <w:t>-</w:t>
      </w:r>
      <w:r w:rsidRPr="006530B0">
        <w:rPr>
          <w:rFonts w:ascii="Times New Roman" w:hAnsi="Times New Roman" w:cs="Times New Roman"/>
          <w:sz w:val="24"/>
        </w:rPr>
        <w:t>based, focusing on energy</w:t>
      </w:r>
      <w:r w:rsidR="00393F7D">
        <w:rPr>
          <w:rFonts w:ascii="Times New Roman" w:hAnsi="Times New Roman" w:cs="Times New Roman"/>
          <w:sz w:val="24"/>
        </w:rPr>
        <w:t>-</w:t>
      </w:r>
      <w:r w:rsidRPr="006530B0">
        <w:rPr>
          <w:rFonts w:ascii="Times New Roman" w:hAnsi="Times New Roman" w:cs="Times New Roman"/>
          <w:sz w:val="24"/>
        </w:rPr>
        <w:t xml:space="preserve">saving projects, green power replacement and annual CO₂ reduction (Sinopec Corp., 2025a; CNOOC </w:t>
      </w:r>
      <w:r w:rsidRPr="006530B0">
        <w:rPr>
          <w:rFonts w:ascii="Times New Roman" w:hAnsi="Times New Roman" w:cs="Times New Roman" w:hint="eastAsia"/>
          <w:sz w:val="24"/>
        </w:rPr>
        <w:t>Limited, 2025a).</w:t>
      </w:r>
    </w:p>
    <w:p w14:paraId="7CC17857" w14:textId="77777777" w:rsidR="007B4C48" w:rsidRDefault="007B4C48" w:rsidP="00502470">
      <w:pPr>
        <w:keepNext/>
        <w:spacing w:line="360" w:lineRule="auto"/>
        <w:jc w:val="center"/>
        <w:rPr>
          <w:rFonts w:hint="eastAsia"/>
        </w:rPr>
      </w:pPr>
      <w:r>
        <w:rPr>
          <w:noProof/>
        </w:rPr>
        <w:drawing>
          <wp:inline distT="0" distB="0" distL="0" distR="0" wp14:anchorId="4F184E4D" wp14:editId="3A10704E">
            <wp:extent cx="4131065" cy="2566103"/>
            <wp:effectExtent l="0" t="0" r="3175" b="5715"/>
            <wp:docPr id="1687037669" name="图表 1">
              <a:extLst xmlns:a="http://schemas.openxmlformats.org/drawingml/2006/main">
                <a:ext uri="{FF2B5EF4-FFF2-40B4-BE49-F238E27FC236}">
                  <a16:creationId xmlns:a16="http://schemas.microsoft.com/office/drawing/2014/main" id="{2B5D3EC2-A0E1-7131-EA66-7747FD473D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E9C0BE4" w14:textId="268F9CCE" w:rsidR="007B4C48" w:rsidRPr="000B1ECC" w:rsidRDefault="007B4C48" w:rsidP="00502470">
      <w:pPr>
        <w:pStyle w:val="af4"/>
        <w:spacing w:line="360" w:lineRule="auto"/>
        <w:jc w:val="center"/>
        <w:rPr>
          <w:rFonts w:ascii="Times New Roman" w:hAnsi="Times New Roman" w:cs="Times New Roman"/>
          <w:sz w:val="32"/>
          <w:szCs w:val="22"/>
        </w:rPr>
      </w:pPr>
      <w:bookmarkStart w:id="22" w:name="_Toc230655273"/>
      <w:r w:rsidRPr="000B1ECC">
        <w:rPr>
          <w:rFonts w:ascii="Times New Roman" w:hAnsi="Times New Roman" w:cs="Times New Roman"/>
          <w:b/>
          <w:bCs/>
          <w:sz w:val="22"/>
          <w:szCs w:val="22"/>
        </w:rPr>
        <w:t xml:space="preserve">Figure </w:t>
      </w:r>
      <w:r w:rsidRPr="000B1ECC">
        <w:rPr>
          <w:rFonts w:ascii="Times New Roman" w:hAnsi="Times New Roman" w:cs="Times New Roman"/>
          <w:b/>
          <w:bCs/>
          <w:sz w:val="22"/>
          <w:szCs w:val="22"/>
        </w:rPr>
        <w:fldChar w:fldCharType="begin"/>
      </w:r>
      <w:r w:rsidRPr="000B1ECC">
        <w:rPr>
          <w:rFonts w:ascii="Times New Roman" w:hAnsi="Times New Roman" w:cs="Times New Roman"/>
          <w:b/>
          <w:bCs/>
          <w:sz w:val="22"/>
          <w:szCs w:val="22"/>
        </w:rPr>
        <w:instrText xml:space="preserve"> SEQ Figure \* ARABIC </w:instrText>
      </w:r>
      <w:r w:rsidRPr="000B1ECC">
        <w:rPr>
          <w:rFonts w:ascii="Times New Roman" w:hAnsi="Times New Roman" w:cs="Times New Roman"/>
          <w:b/>
          <w:bCs/>
          <w:sz w:val="22"/>
          <w:szCs w:val="22"/>
        </w:rPr>
        <w:fldChar w:fldCharType="separate"/>
      </w:r>
      <w:r w:rsidR="0053346D" w:rsidRPr="000B1ECC">
        <w:rPr>
          <w:rFonts w:ascii="Times New Roman" w:hAnsi="Times New Roman" w:cs="Times New Roman"/>
          <w:b/>
          <w:bCs/>
          <w:noProof/>
          <w:sz w:val="22"/>
          <w:szCs w:val="22"/>
        </w:rPr>
        <w:t>8</w:t>
      </w:r>
      <w:r w:rsidRPr="000B1ECC">
        <w:rPr>
          <w:rFonts w:ascii="Times New Roman" w:hAnsi="Times New Roman" w:cs="Times New Roman"/>
          <w:b/>
          <w:bCs/>
          <w:sz w:val="22"/>
          <w:szCs w:val="22"/>
        </w:rPr>
        <w:fldChar w:fldCharType="end"/>
      </w:r>
      <w:r w:rsidRPr="000B1ECC">
        <w:rPr>
          <w:rFonts w:ascii="Times New Roman" w:hAnsi="Times New Roman" w:cs="Times New Roman"/>
          <w:b/>
          <w:bCs/>
          <w:sz w:val="22"/>
          <w:szCs w:val="22"/>
        </w:rPr>
        <w:t>.</w:t>
      </w:r>
      <w:r w:rsidRPr="000B1ECC">
        <w:rPr>
          <w:rFonts w:ascii="Times New Roman" w:hAnsi="Times New Roman" w:cs="Times New Roman"/>
          <w:sz w:val="22"/>
          <w:szCs w:val="22"/>
        </w:rPr>
        <w:t xml:space="preserve"> Indexed Fresh Water Withdrawal</w:t>
      </w:r>
      <w:r w:rsidR="003A4D7C" w:rsidRPr="000B1ECC">
        <w:rPr>
          <w:rFonts w:ascii="Times New Roman" w:hAnsi="Times New Roman" w:cs="Times New Roman" w:hint="eastAsia"/>
          <w:sz w:val="22"/>
          <w:szCs w:val="22"/>
        </w:rPr>
        <w:t xml:space="preserve"> </w:t>
      </w:r>
      <w:r w:rsidR="003A4D7C" w:rsidRPr="000B1ECC">
        <w:rPr>
          <w:rFonts w:ascii="Times New Roman" w:hAnsi="Times New Roman" w:cs="Times New Roman"/>
          <w:sz w:val="22"/>
          <w:szCs w:val="22"/>
        </w:rPr>
        <w:t>of Sinopec and CNOOC</w:t>
      </w:r>
      <w:r w:rsidRPr="000B1ECC">
        <w:rPr>
          <w:rFonts w:ascii="Times New Roman" w:hAnsi="Times New Roman" w:cs="Times New Roman"/>
          <w:sz w:val="22"/>
          <w:szCs w:val="22"/>
        </w:rPr>
        <w:t>, 2020</w:t>
      </w:r>
      <w:r w:rsidR="00393F7D" w:rsidRPr="000B1ECC">
        <w:rPr>
          <w:rFonts w:ascii="Times New Roman" w:hAnsi="Times New Roman" w:cs="Times New Roman"/>
          <w:sz w:val="22"/>
          <w:szCs w:val="22"/>
        </w:rPr>
        <w:t>-</w:t>
      </w:r>
      <w:r w:rsidRPr="000B1ECC">
        <w:rPr>
          <w:rFonts w:ascii="Times New Roman" w:hAnsi="Times New Roman" w:cs="Times New Roman"/>
          <w:sz w:val="22"/>
          <w:szCs w:val="22"/>
        </w:rPr>
        <w:t>2024 (2020=100)</w:t>
      </w:r>
      <w:bookmarkEnd w:id="22"/>
    </w:p>
    <w:p w14:paraId="3D9D3FEC" w14:textId="45E88EDB" w:rsidR="006530B0" w:rsidRPr="00815660" w:rsidRDefault="006530B0" w:rsidP="00502470">
      <w:pPr>
        <w:spacing w:line="360" w:lineRule="auto"/>
        <w:jc w:val="both"/>
        <w:rPr>
          <w:rFonts w:ascii="Times New Roman" w:hAnsi="Times New Roman" w:cs="Times New Roman"/>
          <w:sz w:val="24"/>
        </w:rPr>
      </w:pPr>
      <w:r w:rsidRPr="006530B0">
        <w:rPr>
          <w:rFonts w:ascii="Times New Roman" w:hAnsi="Times New Roman" w:cs="Times New Roman" w:hint="eastAsia"/>
          <w:sz w:val="24"/>
        </w:rPr>
        <w:t>For wider environmental issues, Figure 8 shows Sinopec</w:t>
      </w:r>
      <w:r w:rsidR="00011E46">
        <w:rPr>
          <w:rFonts w:ascii="Times New Roman" w:hAnsi="Times New Roman" w:cs="Times New Roman"/>
          <w:sz w:val="24"/>
        </w:rPr>
        <w:t>’</w:t>
      </w:r>
      <w:r w:rsidRPr="006530B0">
        <w:rPr>
          <w:rFonts w:ascii="Times New Roman" w:hAnsi="Times New Roman" w:cs="Times New Roman" w:hint="eastAsia"/>
          <w:sz w:val="24"/>
        </w:rPr>
        <w:t>s fresh</w:t>
      </w:r>
      <w:r w:rsidR="00393F7D">
        <w:rPr>
          <w:rFonts w:ascii="Times New Roman" w:hAnsi="Times New Roman" w:cs="Times New Roman" w:hint="eastAsia"/>
          <w:sz w:val="24"/>
        </w:rPr>
        <w:t>-</w:t>
      </w:r>
      <w:r w:rsidRPr="006530B0">
        <w:rPr>
          <w:rFonts w:ascii="Times New Roman" w:hAnsi="Times New Roman" w:cs="Times New Roman" w:hint="eastAsia"/>
          <w:sz w:val="24"/>
        </w:rPr>
        <w:t xml:space="preserve">water withdrawal declined to </w:t>
      </w:r>
      <w:r w:rsidRPr="006530B0">
        <w:rPr>
          <w:rFonts w:ascii="Times New Roman" w:hAnsi="Times New Roman" w:cs="Times New Roman" w:hint="eastAsia"/>
          <w:sz w:val="24"/>
        </w:rPr>
        <w:lastRenderedPageBreak/>
        <w:t>95.9 of the 2020 level, while CNOOC</w:t>
      </w:r>
      <w:r w:rsidR="00011E46">
        <w:rPr>
          <w:rFonts w:ascii="Times New Roman" w:hAnsi="Times New Roman" w:cs="Times New Roman"/>
          <w:sz w:val="24"/>
        </w:rPr>
        <w:t>’</w:t>
      </w:r>
      <w:r w:rsidRPr="006530B0">
        <w:rPr>
          <w:rFonts w:ascii="Times New Roman" w:hAnsi="Times New Roman" w:cs="Times New Roman" w:hint="eastAsia"/>
          <w:sz w:val="24"/>
        </w:rPr>
        <w:t>s increased to 116.0, supporting a more favourable view of Sinopec</w:t>
      </w:r>
      <w:r w:rsidR="00011E46">
        <w:rPr>
          <w:rFonts w:ascii="Times New Roman" w:hAnsi="Times New Roman" w:cs="Times New Roman"/>
          <w:sz w:val="24"/>
        </w:rPr>
        <w:t>’</w:t>
      </w:r>
      <w:r w:rsidRPr="006530B0">
        <w:rPr>
          <w:rFonts w:ascii="Times New Roman" w:hAnsi="Times New Roman" w:cs="Times New Roman" w:hint="eastAsia"/>
          <w:sz w:val="24"/>
        </w:rPr>
        <w:t>s water management. Nevertheless, flaring reduction and circular economy/plastic waste initiatives remain important for oil and petrochemical companies (World Bank, 2024; OECD, 2022). Overall, Sinopec</w:t>
      </w:r>
      <w:r w:rsidR="00011E46">
        <w:rPr>
          <w:rFonts w:ascii="Times New Roman" w:hAnsi="Times New Roman" w:cs="Times New Roman"/>
          <w:sz w:val="24"/>
        </w:rPr>
        <w:t>’</w:t>
      </w:r>
      <w:r w:rsidRPr="006530B0">
        <w:rPr>
          <w:rFonts w:ascii="Times New Roman" w:hAnsi="Times New Roman" w:cs="Times New Roman" w:hint="eastAsia"/>
          <w:sz w:val="24"/>
        </w:rPr>
        <w:t>s environmental profile is improving, but its transition progress still needs to offset the carbon and resource intensity of its traditional businesses.</w:t>
      </w:r>
    </w:p>
    <w:p w14:paraId="395613D6" w14:textId="12060C85" w:rsidR="00CE731C" w:rsidRPr="00815660" w:rsidRDefault="00CE731C" w:rsidP="00502470">
      <w:pPr>
        <w:pStyle w:val="31"/>
        <w:rPr>
          <w:rFonts w:eastAsiaTheme="minorEastAsia"/>
          <w:i w:val="0"/>
          <w:iCs w:val="0"/>
          <w:szCs w:val="24"/>
        </w:rPr>
      </w:pPr>
      <w:bookmarkStart w:id="23" w:name="_Toc230578736"/>
      <w:r w:rsidRPr="00815660">
        <w:rPr>
          <w:i w:val="0"/>
          <w:iCs w:val="0"/>
          <w:szCs w:val="24"/>
        </w:rPr>
        <w:t>3.</w:t>
      </w:r>
      <w:r w:rsidR="001C1C1D" w:rsidRPr="00815660">
        <w:rPr>
          <w:i w:val="0"/>
          <w:iCs w:val="0"/>
          <w:szCs w:val="24"/>
        </w:rPr>
        <w:t>2</w:t>
      </w:r>
      <w:r w:rsidRPr="00815660">
        <w:rPr>
          <w:i w:val="0"/>
          <w:iCs w:val="0"/>
          <w:szCs w:val="24"/>
        </w:rPr>
        <w:t xml:space="preserve"> Social (S)</w:t>
      </w:r>
      <w:bookmarkEnd w:id="23"/>
    </w:p>
    <w:p w14:paraId="23BCA55A" w14:textId="6B69D079" w:rsidR="00FD49E9" w:rsidRPr="00787F53" w:rsidRDefault="00FD49E9" w:rsidP="00502470">
      <w:pPr>
        <w:spacing w:line="360" w:lineRule="auto"/>
        <w:jc w:val="both"/>
        <w:rPr>
          <w:rFonts w:ascii="Times New Roman" w:hAnsi="Times New Roman" w:cs="Times New Roman"/>
          <w:sz w:val="24"/>
        </w:rPr>
      </w:pPr>
      <w:r w:rsidRPr="00FD49E9">
        <w:rPr>
          <w:rFonts w:ascii="Times New Roman" w:hAnsi="Times New Roman" w:cs="Times New Roman"/>
          <w:sz w:val="24"/>
        </w:rPr>
        <w:t xml:space="preserve">The social pillar captures how Sinopec manages its responsibilities towards employees, contractors, communities and other affected stakeholders. In this report, it is assessed through workplace safety, employee development, diversity and inclusion, and community relations, as these issues affect operational resilience, workforce quality and social licence to operate (International Labour Organization, 2022; </w:t>
      </w:r>
      <w:r w:rsidR="00676FDC" w:rsidRPr="00676FDC">
        <w:rPr>
          <w:rFonts w:ascii="Times New Roman" w:hAnsi="Times New Roman" w:cs="Times New Roman"/>
          <w:sz w:val="24"/>
        </w:rPr>
        <w:t>International Finance Corporation [IFC]</w:t>
      </w:r>
      <w:r w:rsidR="006532FE">
        <w:rPr>
          <w:rFonts w:ascii="Times New Roman" w:hAnsi="Times New Roman" w:cs="Times New Roman" w:hint="eastAsia"/>
          <w:sz w:val="24"/>
        </w:rPr>
        <w:t>,</w:t>
      </w:r>
      <w:r w:rsidRPr="00FD49E9">
        <w:rPr>
          <w:rFonts w:ascii="Times New Roman" w:hAnsi="Times New Roman" w:cs="Times New Roman"/>
          <w:sz w:val="24"/>
        </w:rPr>
        <w:t xml:space="preserve"> 2012).</w:t>
      </w:r>
    </w:p>
    <w:p w14:paraId="070883CC" w14:textId="77777777" w:rsidR="007D379A" w:rsidRDefault="007D379A" w:rsidP="00502470">
      <w:pPr>
        <w:keepNext/>
        <w:spacing w:line="360" w:lineRule="auto"/>
        <w:jc w:val="center"/>
        <w:rPr>
          <w:rFonts w:hint="eastAsia"/>
        </w:rPr>
      </w:pPr>
      <w:r w:rsidRPr="007D379A">
        <w:rPr>
          <w:rFonts w:ascii="Times New Roman" w:hAnsi="Times New Roman" w:cs="Times New Roman"/>
          <w:noProof/>
          <w:sz w:val="24"/>
        </w:rPr>
        <w:drawing>
          <wp:inline distT="0" distB="0" distL="0" distR="0" wp14:anchorId="3D70BCD9" wp14:editId="6292CFEC">
            <wp:extent cx="5683436" cy="2239611"/>
            <wp:effectExtent l="19050" t="19050" r="12700" b="27940"/>
            <wp:docPr id="517360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60497" name="图片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83436" cy="2239611"/>
                    </a:xfrm>
                    <a:prstGeom prst="rect">
                      <a:avLst/>
                    </a:prstGeom>
                    <a:ln>
                      <a:solidFill>
                        <a:schemeClr val="bg1">
                          <a:lumMod val="85000"/>
                        </a:schemeClr>
                      </a:solidFill>
                    </a:ln>
                  </pic:spPr>
                </pic:pic>
              </a:graphicData>
            </a:graphic>
          </wp:inline>
        </w:drawing>
      </w:r>
    </w:p>
    <w:p w14:paraId="255D3172" w14:textId="3AF45342" w:rsidR="00787F53" w:rsidRPr="007D379A" w:rsidRDefault="007D379A" w:rsidP="00502470">
      <w:pPr>
        <w:pStyle w:val="af4"/>
        <w:spacing w:line="360" w:lineRule="auto"/>
        <w:jc w:val="center"/>
        <w:rPr>
          <w:rFonts w:ascii="Times New Roman" w:hAnsi="Times New Roman" w:cs="Times New Roman"/>
          <w:sz w:val="32"/>
          <w:szCs w:val="22"/>
        </w:rPr>
      </w:pPr>
      <w:bookmarkStart w:id="24" w:name="_Toc230655274"/>
      <w:r w:rsidRPr="007D379A">
        <w:rPr>
          <w:rFonts w:ascii="Times New Roman" w:hAnsi="Times New Roman" w:cs="Times New Roman"/>
          <w:b/>
          <w:bCs/>
          <w:sz w:val="22"/>
          <w:szCs w:val="22"/>
        </w:rPr>
        <w:t xml:space="preserve">Figure </w:t>
      </w:r>
      <w:r w:rsidRPr="007D379A">
        <w:rPr>
          <w:rFonts w:ascii="Times New Roman" w:hAnsi="Times New Roman" w:cs="Times New Roman"/>
          <w:b/>
          <w:bCs/>
          <w:sz w:val="22"/>
          <w:szCs w:val="22"/>
        </w:rPr>
        <w:fldChar w:fldCharType="begin"/>
      </w:r>
      <w:r w:rsidRPr="007D379A">
        <w:rPr>
          <w:rFonts w:ascii="Times New Roman" w:hAnsi="Times New Roman" w:cs="Times New Roman"/>
          <w:b/>
          <w:bCs/>
          <w:sz w:val="22"/>
          <w:szCs w:val="22"/>
        </w:rPr>
        <w:instrText xml:space="preserve"> SEQ Figure \* ARABIC </w:instrText>
      </w:r>
      <w:r w:rsidRPr="007D379A">
        <w:rPr>
          <w:rFonts w:ascii="Times New Roman" w:hAnsi="Times New Roman" w:cs="Times New Roman"/>
          <w:b/>
          <w:bCs/>
          <w:sz w:val="22"/>
          <w:szCs w:val="22"/>
        </w:rPr>
        <w:fldChar w:fldCharType="separate"/>
      </w:r>
      <w:r w:rsidR="0053346D">
        <w:rPr>
          <w:rFonts w:ascii="Times New Roman" w:hAnsi="Times New Roman" w:cs="Times New Roman"/>
          <w:b/>
          <w:bCs/>
          <w:noProof/>
          <w:sz w:val="22"/>
          <w:szCs w:val="22"/>
        </w:rPr>
        <w:t>9</w:t>
      </w:r>
      <w:r w:rsidRPr="007D379A">
        <w:rPr>
          <w:rFonts w:ascii="Times New Roman" w:hAnsi="Times New Roman" w:cs="Times New Roman"/>
          <w:b/>
          <w:bCs/>
          <w:sz w:val="22"/>
          <w:szCs w:val="22"/>
        </w:rPr>
        <w:fldChar w:fldCharType="end"/>
      </w:r>
      <w:r w:rsidRPr="007D379A">
        <w:rPr>
          <w:rFonts w:ascii="Times New Roman" w:hAnsi="Times New Roman" w:cs="Times New Roman"/>
          <w:b/>
          <w:bCs/>
          <w:sz w:val="22"/>
          <w:szCs w:val="22"/>
        </w:rPr>
        <w:t>.</w:t>
      </w:r>
      <w:r w:rsidRPr="007D379A">
        <w:rPr>
          <w:rFonts w:ascii="Times New Roman" w:hAnsi="Times New Roman" w:cs="Times New Roman"/>
          <w:sz w:val="22"/>
          <w:szCs w:val="22"/>
        </w:rPr>
        <w:t xml:space="preserve"> Safety and Employee Development Indicators of Sinopec and CNOOC, 2020</w:t>
      </w:r>
      <w:r w:rsidR="00393F7D">
        <w:rPr>
          <w:rFonts w:ascii="Times New Roman" w:hAnsi="Times New Roman" w:cs="Times New Roman"/>
          <w:sz w:val="22"/>
          <w:szCs w:val="22"/>
        </w:rPr>
        <w:t>-</w:t>
      </w:r>
      <w:r w:rsidRPr="007D379A">
        <w:rPr>
          <w:rFonts w:ascii="Times New Roman" w:hAnsi="Times New Roman" w:cs="Times New Roman"/>
          <w:sz w:val="22"/>
          <w:szCs w:val="22"/>
        </w:rPr>
        <w:t>2024</w:t>
      </w:r>
      <w:bookmarkEnd w:id="24"/>
    </w:p>
    <w:p w14:paraId="1A7A368B" w14:textId="4172E44D" w:rsidR="000B1ECC" w:rsidRPr="00787F53" w:rsidRDefault="000B1ECC" w:rsidP="00502470">
      <w:pPr>
        <w:spacing w:line="360" w:lineRule="auto"/>
        <w:jc w:val="both"/>
        <w:rPr>
          <w:rFonts w:ascii="Times New Roman" w:hAnsi="Times New Roman" w:cs="Times New Roman"/>
          <w:sz w:val="24"/>
        </w:rPr>
      </w:pPr>
      <w:r w:rsidRPr="000B1ECC">
        <w:rPr>
          <w:rFonts w:ascii="Times New Roman" w:hAnsi="Times New Roman" w:cs="Times New Roman"/>
          <w:sz w:val="24"/>
        </w:rPr>
        <w:t>In workplace safety, Figure 9 shows that Sinopec’s injuries per million working hours dropped from 0.53 in 2020 to 0.21 in 2024, indicating stronger safety control. CNOOC, however, maintained a lower injury rate, which decreased from 0.16 to 0.07 over the same period. In terms of employee development, Figure 9 reveals that Sinopec increased its human-capital investment by raising average training hours from 33.47 to 66.63. However, this was still much lower than CNOOC’s 333.97 hours in 2024, suggesting that Sinopec still lagged behind the benchmark in training depth.</w:t>
      </w:r>
    </w:p>
    <w:p w14:paraId="2CEEF258" w14:textId="77777777" w:rsidR="007D379A" w:rsidRDefault="007D379A" w:rsidP="00502470">
      <w:pPr>
        <w:keepNext/>
        <w:spacing w:line="360" w:lineRule="auto"/>
        <w:jc w:val="center"/>
        <w:rPr>
          <w:rFonts w:hint="eastAsia"/>
        </w:rPr>
      </w:pPr>
      <w:r w:rsidRPr="007D379A">
        <w:rPr>
          <w:rFonts w:ascii="Times New Roman" w:hAnsi="Times New Roman" w:cs="Times New Roman"/>
          <w:noProof/>
          <w:sz w:val="24"/>
        </w:rPr>
        <w:lastRenderedPageBreak/>
        <w:drawing>
          <wp:inline distT="0" distB="0" distL="0" distR="0" wp14:anchorId="33635934" wp14:editId="270D1C88">
            <wp:extent cx="5740175" cy="2489044"/>
            <wp:effectExtent l="19050" t="19050" r="13335" b="26035"/>
            <wp:docPr id="1262694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94961" name="图片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40175" cy="2489044"/>
                    </a:xfrm>
                    <a:prstGeom prst="rect">
                      <a:avLst/>
                    </a:prstGeom>
                    <a:ln>
                      <a:solidFill>
                        <a:schemeClr val="bg1">
                          <a:lumMod val="85000"/>
                        </a:schemeClr>
                      </a:solidFill>
                    </a:ln>
                  </pic:spPr>
                </pic:pic>
              </a:graphicData>
            </a:graphic>
          </wp:inline>
        </w:drawing>
      </w:r>
    </w:p>
    <w:p w14:paraId="1628398D" w14:textId="7F20C928" w:rsidR="00787F53" w:rsidRPr="007D379A" w:rsidRDefault="007D379A" w:rsidP="00502470">
      <w:pPr>
        <w:pStyle w:val="af4"/>
        <w:spacing w:line="360" w:lineRule="auto"/>
        <w:jc w:val="center"/>
        <w:rPr>
          <w:rFonts w:ascii="Times New Roman" w:hAnsi="Times New Roman" w:cs="Times New Roman"/>
          <w:sz w:val="32"/>
          <w:szCs w:val="22"/>
        </w:rPr>
      </w:pPr>
      <w:bookmarkStart w:id="25" w:name="_Toc230655275"/>
      <w:r w:rsidRPr="007D379A">
        <w:rPr>
          <w:rFonts w:ascii="Times New Roman" w:hAnsi="Times New Roman" w:cs="Times New Roman"/>
          <w:b/>
          <w:bCs/>
          <w:sz w:val="22"/>
          <w:szCs w:val="22"/>
        </w:rPr>
        <w:t xml:space="preserve">Figure </w:t>
      </w:r>
      <w:r w:rsidRPr="007D379A">
        <w:rPr>
          <w:rFonts w:ascii="Times New Roman" w:hAnsi="Times New Roman" w:cs="Times New Roman"/>
          <w:b/>
          <w:bCs/>
          <w:sz w:val="22"/>
          <w:szCs w:val="22"/>
        </w:rPr>
        <w:fldChar w:fldCharType="begin"/>
      </w:r>
      <w:r w:rsidRPr="007D379A">
        <w:rPr>
          <w:rFonts w:ascii="Times New Roman" w:hAnsi="Times New Roman" w:cs="Times New Roman"/>
          <w:b/>
          <w:bCs/>
          <w:sz w:val="22"/>
          <w:szCs w:val="22"/>
        </w:rPr>
        <w:instrText xml:space="preserve"> SEQ Figure \* ARABIC </w:instrText>
      </w:r>
      <w:r w:rsidRPr="007D379A">
        <w:rPr>
          <w:rFonts w:ascii="Times New Roman" w:hAnsi="Times New Roman" w:cs="Times New Roman"/>
          <w:b/>
          <w:bCs/>
          <w:sz w:val="22"/>
          <w:szCs w:val="22"/>
        </w:rPr>
        <w:fldChar w:fldCharType="separate"/>
      </w:r>
      <w:r w:rsidR="0053346D">
        <w:rPr>
          <w:rFonts w:ascii="Times New Roman" w:hAnsi="Times New Roman" w:cs="Times New Roman"/>
          <w:b/>
          <w:bCs/>
          <w:noProof/>
          <w:sz w:val="22"/>
          <w:szCs w:val="22"/>
        </w:rPr>
        <w:t>10</w:t>
      </w:r>
      <w:r w:rsidRPr="007D379A">
        <w:rPr>
          <w:rFonts w:ascii="Times New Roman" w:hAnsi="Times New Roman" w:cs="Times New Roman"/>
          <w:b/>
          <w:bCs/>
          <w:sz w:val="22"/>
          <w:szCs w:val="22"/>
        </w:rPr>
        <w:fldChar w:fldCharType="end"/>
      </w:r>
      <w:r w:rsidRPr="007D379A">
        <w:rPr>
          <w:rFonts w:ascii="Times New Roman" w:hAnsi="Times New Roman" w:cs="Times New Roman"/>
          <w:b/>
          <w:bCs/>
          <w:sz w:val="22"/>
          <w:szCs w:val="22"/>
        </w:rPr>
        <w:t>.</w:t>
      </w:r>
      <w:r w:rsidRPr="007D379A">
        <w:rPr>
          <w:rFonts w:ascii="Times New Roman" w:hAnsi="Times New Roman" w:cs="Times New Roman"/>
          <w:sz w:val="22"/>
          <w:szCs w:val="22"/>
        </w:rPr>
        <w:t xml:space="preserve"> Diversity and Community Evidence of Sinopec and CNOOC</w:t>
      </w:r>
      <w:r w:rsidR="003A4D7C">
        <w:rPr>
          <w:rFonts w:ascii="Times New Roman" w:hAnsi="Times New Roman" w:cs="Times New Roman" w:hint="eastAsia"/>
          <w:sz w:val="22"/>
          <w:szCs w:val="22"/>
        </w:rPr>
        <w:t>, 2020-2024</w:t>
      </w:r>
      <w:bookmarkEnd w:id="25"/>
    </w:p>
    <w:p w14:paraId="17C58260" w14:textId="26AB11AF" w:rsidR="00787F53" w:rsidRDefault="00787F53" w:rsidP="00502470">
      <w:pPr>
        <w:spacing w:line="360" w:lineRule="auto"/>
        <w:jc w:val="both"/>
        <w:rPr>
          <w:rFonts w:ascii="Times New Roman" w:hAnsi="Times New Roman" w:cs="Times New Roman"/>
          <w:sz w:val="24"/>
        </w:rPr>
      </w:pPr>
      <w:r w:rsidRPr="00787F53">
        <w:rPr>
          <w:rFonts w:ascii="Times New Roman" w:hAnsi="Times New Roman" w:cs="Times New Roman" w:hint="eastAsia"/>
          <w:sz w:val="24"/>
        </w:rPr>
        <w:t xml:space="preserve">For diversity and inclusion, </w:t>
      </w:r>
      <w:r w:rsidRPr="007D379A">
        <w:rPr>
          <w:rFonts w:ascii="Times New Roman" w:hAnsi="Times New Roman" w:cs="Times New Roman" w:hint="eastAsia"/>
          <w:sz w:val="24"/>
        </w:rPr>
        <w:t xml:space="preserve">Figure </w:t>
      </w:r>
      <w:r w:rsidR="007D379A" w:rsidRPr="007D379A">
        <w:rPr>
          <w:rFonts w:ascii="Times New Roman" w:hAnsi="Times New Roman" w:cs="Times New Roman" w:hint="eastAsia"/>
          <w:sz w:val="24"/>
        </w:rPr>
        <w:t>10</w:t>
      </w:r>
      <w:r w:rsidR="007D379A">
        <w:rPr>
          <w:rFonts w:ascii="Times New Roman" w:hAnsi="Times New Roman" w:cs="Times New Roman" w:hint="eastAsia"/>
          <w:color w:val="EE0000"/>
          <w:sz w:val="24"/>
        </w:rPr>
        <w:t xml:space="preserve"> </w:t>
      </w:r>
      <w:r w:rsidRPr="00787F53">
        <w:rPr>
          <w:rFonts w:ascii="Times New Roman" w:hAnsi="Times New Roman" w:cs="Times New Roman" w:hint="eastAsia"/>
          <w:sz w:val="24"/>
        </w:rPr>
        <w:t>shows that Sinopec had a higher proportion of women employees than CNOOC in 2024, at 29.89% compared with 16.55%. However, its women managers ratio was only 14.16%, slightly below CNOOC</w:t>
      </w:r>
      <w:r w:rsidR="00011E46">
        <w:rPr>
          <w:rFonts w:ascii="Times New Roman" w:hAnsi="Times New Roman" w:cs="Times New Roman"/>
          <w:sz w:val="24"/>
        </w:rPr>
        <w:t>’</w:t>
      </w:r>
      <w:r w:rsidRPr="00787F53">
        <w:rPr>
          <w:rFonts w:ascii="Times New Roman" w:hAnsi="Times New Roman" w:cs="Times New Roman" w:hint="eastAsia"/>
          <w:sz w:val="24"/>
        </w:rPr>
        <w:t>s 16.00%, suggesting that workforce</w:t>
      </w:r>
      <w:r w:rsidR="00393F7D">
        <w:rPr>
          <w:rFonts w:ascii="Times New Roman" w:hAnsi="Times New Roman" w:cs="Times New Roman" w:hint="eastAsia"/>
          <w:sz w:val="24"/>
        </w:rPr>
        <w:t>-</w:t>
      </w:r>
      <w:r w:rsidRPr="00787F53">
        <w:rPr>
          <w:rFonts w:ascii="Times New Roman" w:hAnsi="Times New Roman" w:cs="Times New Roman" w:hint="eastAsia"/>
          <w:sz w:val="24"/>
        </w:rPr>
        <w:t xml:space="preserve">level diversity has not fully translated into leadership inclusion. </w:t>
      </w:r>
      <w:r w:rsidR="003B74F1" w:rsidRPr="003B74F1">
        <w:rPr>
          <w:rFonts w:ascii="Times New Roman" w:hAnsi="Times New Roman" w:cs="Times New Roman"/>
          <w:sz w:val="24"/>
        </w:rPr>
        <w:t>This gap is relevant because gender diversity in senior management is widely viewed as an important workforce equality and governance issue (OECD, 2022).</w:t>
      </w:r>
      <w:r w:rsidRPr="00787F53">
        <w:rPr>
          <w:rFonts w:ascii="Times New Roman" w:hAnsi="Times New Roman" w:cs="Times New Roman" w:hint="eastAsia"/>
          <w:sz w:val="24"/>
        </w:rPr>
        <w:t xml:space="preserve"> </w:t>
      </w:r>
      <w:r w:rsidR="000B1ECC" w:rsidRPr="000B1ECC">
        <w:rPr>
          <w:rFonts w:ascii="Times New Roman" w:hAnsi="Times New Roman" w:cs="Times New Roman"/>
          <w:sz w:val="24"/>
        </w:rPr>
        <w:t>In community relations, as shown in Figure 10, Sinopec’s community contribution intensity was lower than CNOOC’s from 2020 to 2024, with donations per RMB million of revenue remaining below the benchmark throughout the period. Sinopec’s social performance has improved, but it is still weaker than CNOOC in areas such as safety intensity, training depth, leadership inclusion and community engagement, all of which are important for gaining and sustaining social licence to operate (IFC, 2012).</w:t>
      </w:r>
    </w:p>
    <w:p w14:paraId="6581DE5E" w14:textId="77777777" w:rsidR="000B1ECC" w:rsidRPr="00815660" w:rsidRDefault="000B1ECC" w:rsidP="00502470">
      <w:pPr>
        <w:spacing w:line="360" w:lineRule="auto"/>
        <w:jc w:val="both"/>
        <w:rPr>
          <w:rFonts w:ascii="Times New Roman" w:hAnsi="Times New Roman" w:cs="Times New Roman"/>
          <w:sz w:val="24"/>
        </w:rPr>
      </w:pPr>
    </w:p>
    <w:p w14:paraId="69DFAA7F" w14:textId="1777C72B" w:rsidR="00CE731C" w:rsidRPr="00815660" w:rsidRDefault="00CE731C" w:rsidP="00502470">
      <w:pPr>
        <w:pStyle w:val="31"/>
        <w:rPr>
          <w:rFonts w:eastAsiaTheme="minorEastAsia"/>
          <w:i w:val="0"/>
          <w:iCs w:val="0"/>
          <w:szCs w:val="24"/>
        </w:rPr>
      </w:pPr>
      <w:bookmarkStart w:id="26" w:name="_Toc230578737"/>
      <w:r w:rsidRPr="00815660">
        <w:rPr>
          <w:i w:val="0"/>
          <w:iCs w:val="0"/>
          <w:szCs w:val="24"/>
        </w:rPr>
        <w:t>3.</w:t>
      </w:r>
      <w:r w:rsidR="001C1C1D" w:rsidRPr="00815660">
        <w:rPr>
          <w:i w:val="0"/>
          <w:iCs w:val="0"/>
          <w:szCs w:val="24"/>
        </w:rPr>
        <w:t>3</w:t>
      </w:r>
      <w:r w:rsidRPr="00815660">
        <w:rPr>
          <w:i w:val="0"/>
          <w:iCs w:val="0"/>
          <w:szCs w:val="24"/>
        </w:rPr>
        <w:t xml:space="preserve"> Governance (G)</w:t>
      </w:r>
      <w:bookmarkEnd w:id="26"/>
    </w:p>
    <w:p w14:paraId="5110369C" w14:textId="0CC85D96" w:rsidR="00FD49E9" w:rsidRDefault="00FD49E9" w:rsidP="00502470">
      <w:pPr>
        <w:spacing w:line="360" w:lineRule="auto"/>
        <w:jc w:val="both"/>
        <w:rPr>
          <w:rFonts w:ascii="Times New Roman" w:hAnsi="Times New Roman" w:cs="Times New Roman"/>
          <w:sz w:val="24"/>
        </w:rPr>
      </w:pPr>
      <w:r w:rsidRPr="00FD49E9">
        <w:rPr>
          <w:rFonts w:ascii="Times New Roman" w:hAnsi="Times New Roman" w:cs="Times New Roman"/>
          <w:sz w:val="24"/>
        </w:rPr>
        <w:t>The governance pillar concerns how Sinopec is directed, monitored and held accountable through board oversight, ownership influence and reporting systems. For investors, it is material to strategic decision</w:t>
      </w:r>
      <w:r w:rsidR="00393F7D">
        <w:rPr>
          <w:rFonts w:ascii="Times New Roman" w:hAnsi="Times New Roman" w:cs="Times New Roman"/>
          <w:sz w:val="24"/>
        </w:rPr>
        <w:t>-</w:t>
      </w:r>
      <w:r w:rsidRPr="00FD49E9">
        <w:rPr>
          <w:rFonts w:ascii="Times New Roman" w:hAnsi="Times New Roman" w:cs="Times New Roman"/>
          <w:sz w:val="24"/>
        </w:rPr>
        <w:t>making, minority</w:t>
      </w:r>
      <w:r w:rsidR="00393F7D">
        <w:rPr>
          <w:rFonts w:ascii="Times New Roman" w:hAnsi="Times New Roman" w:cs="Times New Roman"/>
          <w:sz w:val="24"/>
        </w:rPr>
        <w:t>-</w:t>
      </w:r>
      <w:r w:rsidRPr="00FD49E9">
        <w:rPr>
          <w:rFonts w:ascii="Times New Roman" w:hAnsi="Times New Roman" w:cs="Times New Roman"/>
          <w:sz w:val="24"/>
        </w:rPr>
        <w:t>shareholder protection and ESG information reliability, especially where climate governance and state ownership may affect corporate objectives and capital allocation (IFRS Foundation, 2023; OECD, 2024).</w:t>
      </w:r>
    </w:p>
    <w:p w14:paraId="66C54E57" w14:textId="77777777" w:rsidR="0053346D" w:rsidRDefault="0053346D" w:rsidP="00502470">
      <w:pPr>
        <w:keepNext/>
        <w:spacing w:line="360" w:lineRule="auto"/>
        <w:jc w:val="center"/>
        <w:rPr>
          <w:rFonts w:hint="eastAsia"/>
        </w:rPr>
      </w:pPr>
      <w:r>
        <w:rPr>
          <w:noProof/>
        </w:rPr>
        <w:lastRenderedPageBreak/>
        <w:drawing>
          <wp:inline distT="0" distB="0" distL="0" distR="0" wp14:anchorId="3A422960" wp14:editId="21F8A693">
            <wp:extent cx="4118400" cy="2556000"/>
            <wp:effectExtent l="0" t="0" r="15875" b="15875"/>
            <wp:docPr id="334600210" name="图表 1">
              <a:extLst xmlns:a="http://schemas.openxmlformats.org/drawingml/2006/main">
                <a:ext uri="{FF2B5EF4-FFF2-40B4-BE49-F238E27FC236}">
                  <a16:creationId xmlns:a16="http://schemas.microsoft.com/office/drawing/2014/main" id="{00000000-0008-0000-0A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DE908CB" w14:textId="0C1F518C" w:rsidR="003F7F86" w:rsidRPr="0053346D" w:rsidRDefault="0053346D" w:rsidP="00502470">
      <w:pPr>
        <w:pStyle w:val="af4"/>
        <w:spacing w:line="360" w:lineRule="auto"/>
        <w:jc w:val="center"/>
        <w:rPr>
          <w:rFonts w:ascii="Times New Roman" w:hAnsi="Times New Roman" w:cs="Times New Roman"/>
          <w:sz w:val="32"/>
          <w:szCs w:val="22"/>
        </w:rPr>
      </w:pPr>
      <w:bookmarkStart w:id="27" w:name="_Toc230655276"/>
      <w:r w:rsidRPr="0053346D">
        <w:rPr>
          <w:rFonts w:ascii="Times New Roman" w:hAnsi="Times New Roman" w:cs="Times New Roman"/>
          <w:b/>
          <w:bCs/>
          <w:sz w:val="22"/>
          <w:szCs w:val="22"/>
        </w:rPr>
        <w:t xml:space="preserve">Figure </w:t>
      </w:r>
      <w:r w:rsidRPr="0053346D">
        <w:rPr>
          <w:rFonts w:ascii="Times New Roman" w:hAnsi="Times New Roman" w:cs="Times New Roman"/>
          <w:b/>
          <w:bCs/>
          <w:sz w:val="22"/>
          <w:szCs w:val="22"/>
        </w:rPr>
        <w:fldChar w:fldCharType="begin"/>
      </w:r>
      <w:r w:rsidRPr="0053346D">
        <w:rPr>
          <w:rFonts w:ascii="Times New Roman" w:hAnsi="Times New Roman" w:cs="Times New Roman"/>
          <w:b/>
          <w:bCs/>
          <w:sz w:val="22"/>
          <w:szCs w:val="22"/>
        </w:rPr>
        <w:instrText xml:space="preserve"> SEQ Figure \* ARABIC </w:instrText>
      </w:r>
      <w:r w:rsidRPr="0053346D">
        <w:rPr>
          <w:rFonts w:ascii="Times New Roman" w:hAnsi="Times New Roman" w:cs="Times New Roman"/>
          <w:b/>
          <w:bCs/>
          <w:sz w:val="22"/>
          <w:szCs w:val="22"/>
        </w:rPr>
        <w:fldChar w:fldCharType="separate"/>
      </w:r>
      <w:r w:rsidRPr="0053346D">
        <w:rPr>
          <w:rFonts w:ascii="Times New Roman" w:hAnsi="Times New Roman" w:cs="Times New Roman"/>
          <w:b/>
          <w:bCs/>
          <w:noProof/>
          <w:sz w:val="22"/>
          <w:szCs w:val="22"/>
        </w:rPr>
        <w:t>11</w:t>
      </w:r>
      <w:r w:rsidRPr="0053346D">
        <w:rPr>
          <w:rFonts w:ascii="Times New Roman" w:hAnsi="Times New Roman" w:cs="Times New Roman"/>
          <w:b/>
          <w:bCs/>
          <w:sz w:val="22"/>
          <w:szCs w:val="22"/>
        </w:rPr>
        <w:fldChar w:fldCharType="end"/>
      </w:r>
      <w:r w:rsidRPr="0053346D">
        <w:rPr>
          <w:rFonts w:ascii="Times New Roman" w:hAnsi="Times New Roman" w:cs="Times New Roman"/>
          <w:b/>
          <w:bCs/>
          <w:sz w:val="22"/>
          <w:szCs w:val="22"/>
        </w:rPr>
        <w:t>.</w:t>
      </w:r>
      <w:r w:rsidRPr="0053346D">
        <w:rPr>
          <w:rFonts w:ascii="Times New Roman" w:hAnsi="Times New Roman" w:cs="Times New Roman"/>
          <w:sz w:val="22"/>
          <w:szCs w:val="22"/>
        </w:rPr>
        <w:t xml:space="preserve"> Board Independence of Sinopec and CNOOC, 2020</w:t>
      </w:r>
      <w:r w:rsidR="00393F7D">
        <w:rPr>
          <w:rFonts w:ascii="Times New Roman" w:hAnsi="Times New Roman" w:cs="Times New Roman"/>
          <w:sz w:val="22"/>
          <w:szCs w:val="22"/>
        </w:rPr>
        <w:t>-</w:t>
      </w:r>
      <w:r w:rsidRPr="0053346D">
        <w:rPr>
          <w:rFonts w:ascii="Times New Roman" w:hAnsi="Times New Roman" w:cs="Times New Roman"/>
          <w:sz w:val="22"/>
          <w:szCs w:val="22"/>
        </w:rPr>
        <w:t>2024</w:t>
      </w:r>
      <w:bookmarkEnd w:id="27"/>
    </w:p>
    <w:p w14:paraId="1C71B489" w14:textId="02641AAE" w:rsidR="003F7F86" w:rsidRDefault="003F7F86" w:rsidP="00502470">
      <w:pPr>
        <w:spacing w:line="360" w:lineRule="auto"/>
        <w:jc w:val="both"/>
        <w:rPr>
          <w:rFonts w:ascii="Times New Roman" w:hAnsi="Times New Roman" w:cs="Times New Roman"/>
          <w:sz w:val="24"/>
        </w:rPr>
      </w:pPr>
      <w:r w:rsidRPr="003F7F86">
        <w:rPr>
          <w:rFonts w:ascii="Times New Roman" w:hAnsi="Times New Roman" w:cs="Times New Roman" w:hint="eastAsia"/>
          <w:sz w:val="24"/>
        </w:rPr>
        <w:t>In terms of board structure, Figure 11 shows that Sinopec</w:t>
      </w:r>
      <w:r w:rsidR="00011E46">
        <w:rPr>
          <w:rFonts w:ascii="Times New Roman" w:hAnsi="Times New Roman" w:cs="Times New Roman"/>
          <w:sz w:val="24"/>
        </w:rPr>
        <w:t>’</w:t>
      </w:r>
      <w:r w:rsidRPr="003F7F86">
        <w:rPr>
          <w:rFonts w:ascii="Times New Roman" w:hAnsi="Times New Roman" w:cs="Times New Roman" w:hint="eastAsia"/>
          <w:sz w:val="24"/>
        </w:rPr>
        <w:t>s independent board members increased to 50.00% in 2024, compared with CNOOC</w:t>
      </w:r>
      <w:r w:rsidR="00011E46">
        <w:rPr>
          <w:rFonts w:ascii="Times New Roman" w:hAnsi="Times New Roman" w:cs="Times New Roman"/>
          <w:sz w:val="24"/>
        </w:rPr>
        <w:t>’</w:t>
      </w:r>
      <w:r w:rsidRPr="003F7F86">
        <w:rPr>
          <w:rFonts w:ascii="Times New Roman" w:hAnsi="Times New Roman" w:cs="Times New Roman" w:hint="eastAsia"/>
          <w:sz w:val="24"/>
        </w:rPr>
        <w:t>s 36.36%. This suggests stronger formal board independence for Sinopec, which may support oversight of ESG and climate</w:t>
      </w:r>
      <w:r w:rsidR="00393F7D">
        <w:rPr>
          <w:rFonts w:ascii="Times New Roman" w:hAnsi="Times New Roman" w:cs="Times New Roman" w:hint="eastAsia"/>
          <w:sz w:val="24"/>
        </w:rPr>
        <w:t>-</w:t>
      </w:r>
      <w:r w:rsidRPr="003F7F86">
        <w:rPr>
          <w:rFonts w:ascii="Times New Roman" w:hAnsi="Times New Roman" w:cs="Times New Roman" w:hint="eastAsia"/>
          <w:sz w:val="24"/>
        </w:rPr>
        <w:t>related risks. This is also consistent with Sinopec</w:t>
      </w:r>
      <w:r w:rsidR="00011E46">
        <w:rPr>
          <w:rFonts w:ascii="Times New Roman" w:hAnsi="Times New Roman" w:cs="Times New Roman"/>
          <w:sz w:val="24"/>
        </w:rPr>
        <w:t>’</w:t>
      </w:r>
      <w:r w:rsidRPr="003F7F86">
        <w:rPr>
          <w:rFonts w:ascii="Times New Roman" w:hAnsi="Times New Roman" w:cs="Times New Roman" w:hint="eastAsia"/>
          <w:sz w:val="24"/>
        </w:rPr>
        <w:t>s disclosure that the Board is responsible for ESG governance and that its Sustainability Committee oversees key issues such as climate change, safety and social responsibility (Sinopec Corp., 2025b). However, formal independence should still be interpreted with actual control structures, as governance constraints may remain in state</w:t>
      </w:r>
      <w:r w:rsidR="00393F7D">
        <w:rPr>
          <w:rFonts w:ascii="Times New Roman" w:hAnsi="Times New Roman" w:cs="Times New Roman" w:hint="eastAsia"/>
          <w:sz w:val="24"/>
        </w:rPr>
        <w:t>-</w:t>
      </w:r>
      <w:r w:rsidRPr="003F7F86">
        <w:rPr>
          <w:rFonts w:ascii="Times New Roman" w:hAnsi="Times New Roman" w:cs="Times New Roman" w:hint="eastAsia"/>
          <w:sz w:val="24"/>
        </w:rPr>
        <w:t>linked companies.</w:t>
      </w:r>
    </w:p>
    <w:p w14:paraId="7D93CDC0" w14:textId="1D370B0C" w:rsidR="0030490D" w:rsidRPr="0030490D" w:rsidRDefault="0030490D" w:rsidP="00502470">
      <w:pPr>
        <w:pStyle w:val="af4"/>
        <w:keepNext/>
        <w:spacing w:line="240" w:lineRule="auto"/>
        <w:rPr>
          <w:rFonts w:ascii="Times New Roman" w:hAnsi="Times New Roman" w:cs="Times New Roman"/>
          <w:sz w:val="22"/>
          <w:szCs w:val="22"/>
        </w:rPr>
      </w:pPr>
      <w:bookmarkStart w:id="28" w:name="_Toc230654744"/>
      <w:r w:rsidRPr="0030490D">
        <w:rPr>
          <w:rFonts w:ascii="Times New Roman" w:hAnsi="Times New Roman" w:cs="Times New Roman"/>
          <w:b/>
          <w:bCs/>
          <w:sz w:val="22"/>
          <w:szCs w:val="22"/>
        </w:rPr>
        <w:t xml:space="preserve">Table </w:t>
      </w:r>
      <w:r w:rsidRPr="0030490D">
        <w:rPr>
          <w:rFonts w:ascii="Times New Roman" w:hAnsi="Times New Roman" w:cs="Times New Roman"/>
          <w:b/>
          <w:bCs/>
          <w:sz w:val="22"/>
          <w:szCs w:val="22"/>
        </w:rPr>
        <w:fldChar w:fldCharType="begin"/>
      </w:r>
      <w:r w:rsidRPr="0030490D">
        <w:rPr>
          <w:rFonts w:ascii="Times New Roman" w:hAnsi="Times New Roman" w:cs="Times New Roman"/>
          <w:b/>
          <w:bCs/>
          <w:sz w:val="22"/>
          <w:szCs w:val="22"/>
        </w:rPr>
        <w:instrText xml:space="preserve"> SEQ Table \* ARABIC </w:instrText>
      </w:r>
      <w:r w:rsidRPr="0030490D">
        <w:rPr>
          <w:rFonts w:ascii="Times New Roman" w:hAnsi="Times New Roman" w:cs="Times New Roman"/>
          <w:b/>
          <w:bCs/>
          <w:sz w:val="22"/>
          <w:szCs w:val="22"/>
        </w:rPr>
        <w:fldChar w:fldCharType="separate"/>
      </w:r>
      <w:r w:rsidR="00D1368E">
        <w:rPr>
          <w:rFonts w:ascii="Times New Roman" w:hAnsi="Times New Roman" w:cs="Times New Roman"/>
          <w:b/>
          <w:bCs/>
          <w:noProof/>
          <w:sz w:val="22"/>
          <w:szCs w:val="22"/>
        </w:rPr>
        <w:t>6</w:t>
      </w:r>
      <w:r w:rsidRPr="0030490D">
        <w:rPr>
          <w:rFonts w:ascii="Times New Roman" w:hAnsi="Times New Roman" w:cs="Times New Roman"/>
          <w:b/>
          <w:bCs/>
          <w:sz w:val="22"/>
          <w:szCs w:val="22"/>
        </w:rPr>
        <w:fldChar w:fldCharType="end"/>
      </w:r>
      <w:r w:rsidRPr="0030490D">
        <w:rPr>
          <w:rFonts w:ascii="Times New Roman" w:hAnsi="Times New Roman" w:cs="Times New Roman"/>
          <w:b/>
          <w:bCs/>
          <w:sz w:val="22"/>
          <w:szCs w:val="22"/>
        </w:rPr>
        <w:t>.</w:t>
      </w:r>
      <w:r w:rsidRPr="0030490D">
        <w:rPr>
          <w:rFonts w:ascii="Times New Roman" w:hAnsi="Times New Roman" w:cs="Times New Roman"/>
          <w:sz w:val="22"/>
          <w:szCs w:val="22"/>
        </w:rPr>
        <w:t xml:space="preserve"> Shareholder Governance Signals of Sinopec and CNOOC, 2020</w:t>
      </w:r>
      <w:r w:rsidR="00393F7D">
        <w:rPr>
          <w:rFonts w:ascii="Times New Roman" w:hAnsi="Times New Roman" w:cs="Times New Roman"/>
          <w:sz w:val="22"/>
          <w:szCs w:val="22"/>
        </w:rPr>
        <w:t>-</w:t>
      </w:r>
      <w:r w:rsidRPr="0030490D">
        <w:rPr>
          <w:rFonts w:ascii="Times New Roman" w:hAnsi="Times New Roman" w:cs="Times New Roman"/>
          <w:sz w:val="22"/>
          <w:szCs w:val="22"/>
        </w:rPr>
        <w:t>2024</w:t>
      </w:r>
      <w:bookmarkEnd w:id="28"/>
    </w:p>
    <w:p w14:paraId="4CDD6A66" w14:textId="77777777" w:rsidR="003F7F86" w:rsidRPr="003F7F86" w:rsidRDefault="003F7F86" w:rsidP="00502470">
      <w:pPr>
        <w:spacing w:line="240" w:lineRule="auto"/>
        <w:jc w:val="center"/>
        <w:rPr>
          <w:rFonts w:ascii="Times New Roman" w:hAnsi="Times New Roman" w:cs="Times New Roman"/>
          <w:sz w:val="24"/>
        </w:rPr>
      </w:pPr>
      <w:r w:rsidRPr="003F7F86">
        <w:rPr>
          <w:rFonts w:ascii="Times New Roman" w:hAnsi="Times New Roman" w:cs="Times New Roman"/>
          <w:noProof/>
          <w:sz w:val="24"/>
        </w:rPr>
        <w:drawing>
          <wp:inline distT="0" distB="0" distL="0" distR="0" wp14:anchorId="02B972BD" wp14:editId="08CE5321">
            <wp:extent cx="4425696" cy="583097"/>
            <wp:effectExtent l="0" t="0" r="0" b="7620"/>
            <wp:docPr id="294304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04028" name=""/>
                    <pic:cNvPicPr/>
                  </pic:nvPicPr>
                  <pic:blipFill>
                    <a:blip r:embed="rId24"/>
                    <a:stretch>
                      <a:fillRect/>
                    </a:stretch>
                  </pic:blipFill>
                  <pic:spPr>
                    <a:xfrm>
                      <a:off x="0" y="0"/>
                      <a:ext cx="4971754" cy="655042"/>
                    </a:xfrm>
                    <a:prstGeom prst="rect">
                      <a:avLst/>
                    </a:prstGeom>
                  </pic:spPr>
                </pic:pic>
              </a:graphicData>
            </a:graphic>
          </wp:inline>
        </w:drawing>
      </w:r>
    </w:p>
    <w:p w14:paraId="77996B1E" w14:textId="3C388813" w:rsidR="003F7F86" w:rsidRDefault="0030490D" w:rsidP="00502470">
      <w:pPr>
        <w:spacing w:line="360" w:lineRule="auto"/>
        <w:jc w:val="both"/>
        <w:rPr>
          <w:rFonts w:ascii="Times New Roman" w:hAnsi="Times New Roman" w:cs="Times New Roman"/>
          <w:sz w:val="24"/>
        </w:rPr>
      </w:pPr>
      <w:r>
        <w:rPr>
          <w:rFonts w:ascii="Times New Roman" w:hAnsi="Times New Roman" w:cs="Times New Roman" w:hint="eastAsia"/>
          <w:sz w:val="24"/>
        </w:rPr>
        <w:t>Table 6</w:t>
      </w:r>
      <w:r w:rsidR="003F7F86" w:rsidRPr="003F7F86">
        <w:rPr>
          <w:rFonts w:ascii="Times New Roman" w:hAnsi="Times New Roman" w:cs="Times New Roman" w:hint="eastAsia"/>
          <w:sz w:val="24"/>
        </w:rPr>
        <w:t xml:space="preserve"> shows that both companies remained state</w:t>
      </w:r>
      <w:r w:rsidR="00393F7D">
        <w:rPr>
          <w:rFonts w:ascii="Times New Roman" w:hAnsi="Times New Roman" w:cs="Times New Roman" w:hint="eastAsia"/>
          <w:sz w:val="24"/>
        </w:rPr>
        <w:t>-</w:t>
      </w:r>
      <w:r w:rsidR="003F7F86" w:rsidRPr="003F7F86">
        <w:rPr>
          <w:rFonts w:ascii="Times New Roman" w:hAnsi="Times New Roman" w:cs="Times New Roman" w:hint="eastAsia"/>
          <w:sz w:val="24"/>
        </w:rPr>
        <w:t>owned enterprises during 2020</w:t>
      </w:r>
      <w:r w:rsidR="00393F7D">
        <w:rPr>
          <w:rFonts w:ascii="Times New Roman" w:hAnsi="Times New Roman" w:cs="Times New Roman" w:hint="eastAsia"/>
          <w:sz w:val="24"/>
        </w:rPr>
        <w:t>-</w:t>
      </w:r>
      <w:r w:rsidR="003F7F86" w:rsidRPr="003F7F86">
        <w:rPr>
          <w:rFonts w:ascii="Times New Roman" w:hAnsi="Times New Roman" w:cs="Times New Roman" w:hint="eastAsia"/>
          <w:sz w:val="24"/>
        </w:rPr>
        <w:t>2024, but Sinopec</w:t>
      </w:r>
      <w:r w:rsidR="00011E46">
        <w:rPr>
          <w:rFonts w:ascii="Times New Roman" w:hAnsi="Times New Roman" w:cs="Times New Roman"/>
          <w:sz w:val="24"/>
        </w:rPr>
        <w:t>’</w:t>
      </w:r>
      <w:r w:rsidR="003F7F86" w:rsidRPr="003F7F86">
        <w:rPr>
          <w:rFonts w:ascii="Times New Roman" w:hAnsi="Times New Roman" w:cs="Times New Roman" w:hint="eastAsia"/>
          <w:sz w:val="24"/>
        </w:rPr>
        <w:t>s shareholders score was stronger in 2024, at C compared with CNOOC</w:t>
      </w:r>
      <w:r w:rsidR="00011E46">
        <w:rPr>
          <w:rFonts w:ascii="Times New Roman" w:hAnsi="Times New Roman" w:cs="Times New Roman"/>
          <w:sz w:val="24"/>
        </w:rPr>
        <w:t>’</w:t>
      </w:r>
      <w:r w:rsidR="003F7F86" w:rsidRPr="003F7F86">
        <w:rPr>
          <w:rFonts w:ascii="Times New Roman" w:hAnsi="Times New Roman" w:cs="Times New Roman" w:hint="eastAsia"/>
          <w:sz w:val="24"/>
        </w:rPr>
        <w:t>s D</w:t>
      </w:r>
      <w:r w:rsidR="00393F7D">
        <w:rPr>
          <w:rFonts w:ascii="Times New Roman" w:hAnsi="Times New Roman" w:cs="Times New Roman" w:hint="eastAsia"/>
          <w:sz w:val="24"/>
        </w:rPr>
        <w:t>-</w:t>
      </w:r>
      <w:r w:rsidR="003F7F86" w:rsidRPr="003F7F86">
        <w:rPr>
          <w:rFonts w:ascii="Times New Roman" w:hAnsi="Times New Roman" w:cs="Times New Roman" w:hint="eastAsia"/>
          <w:sz w:val="24"/>
        </w:rPr>
        <w:t xml:space="preserve">. </w:t>
      </w:r>
      <w:r w:rsidR="003B74F1" w:rsidRPr="003B74F1">
        <w:rPr>
          <w:rFonts w:ascii="Times New Roman" w:hAnsi="Times New Roman" w:cs="Times New Roman"/>
          <w:sz w:val="24"/>
        </w:rPr>
        <w:t xml:space="preserve">This indicates a relatively stronger shareholder-governance signal for Sinopec, although it remains controlled by </w:t>
      </w:r>
      <w:r w:rsidR="00850050">
        <w:rPr>
          <w:rFonts w:ascii="Times New Roman" w:hAnsi="Times New Roman" w:cs="Times New Roman" w:hint="eastAsia"/>
          <w:sz w:val="24"/>
        </w:rPr>
        <w:t>Sinopec Group</w:t>
      </w:r>
      <w:r w:rsidR="003B74F1" w:rsidRPr="003B74F1">
        <w:rPr>
          <w:rFonts w:ascii="Times New Roman" w:hAnsi="Times New Roman" w:cs="Times New Roman"/>
          <w:sz w:val="24"/>
        </w:rPr>
        <w:t>.</w:t>
      </w:r>
      <w:r w:rsidR="003F7F86" w:rsidRPr="003F7F86">
        <w:rPr>
          <w:rFonts w:ascii="Times New Roman" w:hAnsi="Times New Roman" w:cs="Times New Roman" w:hint="eastAsia"/>
          <w:sz w:val="24"/>
        </w:rPr>
        <w:t xml:space="preserve"> State ownership may support policy alignment and long</w:t>
      </w:r>
      <w:r w:rsidR="00393F7D">
        <w:rPr>
          <w:rFonts w:ascii="Times New Roman" w:hAnsi="Times New Roman" w:cs="Times New Roman" w:hint="eastAsia"/>
          <w:sz w:val="24"/>
        </w:rPr>
        <w:t>-</w:t>
      </w:r>
      <w:r w:rsidR="003F7F86" w:rsidRPr="003F7F86">
        <w:rPr>
          <w:rFonts w:ascii="Times New Roman" w:hAnsi="Times New Roman" w:cs="Times New Roman" w:hint="eastAsia"/>
          <w:sz w:val="24"/>
        </w:rPr>
        <w:t>term strategic stability, especially in energy</w:t>
      </w:r>
      <w:r w:rsidR="00393F7D">
        <w:rPr>
          <w:rFonts w:ascii="Times New Roman" w:hAnsi="Times New Roman" w:cs="Times New Roman" w:hint="eastAsia"/>
          <w:sz w:val="24"/>
        </w:rPr>
        <w:t>-</w:t>
      </w:r>
      <w:r w:rsidR="003F7F86" w:rsidRPr="003F7F86">
        <w:rPr>
          <w:rFonts w:ascii="Times New Roman" w:hAnsi="Times New Roman" w:cs="Times New Roman" w:hint="eastAsia"/>
          <w:sz w:val="24"/>
        </w:rPr>
        <w:t>transition investment, but it may also create minority</w:t>
      </w:r>
      <w:r w:rsidR="00393F7D">
        <w:rPr>
          <w:rFonts w:ascii="Times New Roman" w:hAnsi="Times New Roman" w:cs="Times New Roman" w:hint="eastAsia"/>
          <w:sz w:val="24"/>
        </w:rPr>
        <w:t>-</w:t>
      </w:r>
      <w:r w:rsidR="003F7F86" w:rsidRPr="003F7F86">
        <w:rPr>
          <w:rFonts w:ascii="Times New Roman" w:hAnsi="Times New Roman" w:cs="Times New Roman" w:hint="eastAsia"/>
          <w:sz w:val="24"/>
        </w:rPr>
        <w:t>shareholder and policy</w:t>
      </w:r>
      <w:r w:rsidR="00393F7D">
        <w:rPr>
          <w:rFonts w:ascii="Times New Roman" w:hAnsi="Times New Roman" w:cs="Times New Roman" w:hint="eastAsia"/>
          <w:sz w:val="24"/>
        </w:rPr>
        <w:t>-</w:t>
      </w:r>
      <w:r w:rsidR="003F7F86" w:rsidRPr="003F7F86">
        <w:rPr>
          <w:rFonts w:ascii="Times New Roman" w:hAnsi="Times New Roman" w:cs="Times New Roman" w:hint="eastAsia"/>
          <w:sz w:val="24"/>
        </w:rPr>
        <w:t>driven capital</w:t>
      </w:r>
      <w:r w:rsidR="00393F7D">
        <w:rPr>
          <w:rFonts w:ascii="Times New Roman" w:hAnsi="Times New Roman" w:cs="Times New Roman" w:hint="eastAsia"/>
          <w:sz w:val="24"/>
        </w:rPr>
        <w:t>-</w:t>
      </w:r>
      <w:r w:rsidR="003F7F86" w:rsidRPr="003F7F86">
        <w:rPr>
          <w:rFonts w:ascii="Times New Roman" w:hAnsi="Times New Roman" w:cs="Times New Roman" w:hint="eastAsia"/>
          <w:sz w:val="24"/>
        </w:rPr>
        <w:t>allocation concerns (OECD, 2024; Sinopec Corp., 2025b; CNOOC Limited, 2025b).</w:t>
      </w:r>
    </w:p>
    <w:p w14:paraId="4A0155C6" w14:textId="56A3AD16" w:rsidR="00D1368E" w:rsidRPr="00D1368E" w:rsidRDefault="00D1368E" w:rsidP="00502470">
      <w:pPr>
        <w:pStyle w:val="af4"/>
        <w:keepNext/>
        <w:spacing w:line="360" w:lineRule="auto"/>
        <w:jc w:val="both"/>
        <w:rPr>
          <w:rFonts w:ascii="Times New Roman" w:hAnsi="Times New Roman" w:cs="Times New Roman"/>
          <w:sz w:val="22"/>
          <w:szCs w:val="22"/>
        </w:rPr>
      </w:pPr>
      <w:bookmarkStart w:id="29" w:name="_Toc230654745"/>
      <w:r w:rsidRPr="00D1368E">
        <w:rPr>
          <w:rFonts w:ascii="Times New Roman" w:hAnsi="Times New Roman" w:cs="Times New Roman"/>
          <w:b/>
          <w:bCs/>
          <w:sz w:val="22"/>
          <w:szCs w:val="22"/>
        </w:rPr>
        <w:lastRenderedPageBreak/>
        <w:t xml:space="preserve">Table </w:t>
      </w:r>
      <w:r w:rsidRPr="00D1368E">
        <w:rPr>
          <w:rFonts w:ascii="Times New Roman" w:hAnsi="Times New Roman" w:cs="Times New Roman"/>
          <w:b/>
          <w:bCs/>
          <w:sz w:val="22"/>
          <w:szCs w:val="22"/>
        </w:rPr>
        <w:fldChar w:fldCharType="begin"/>
      </w:r>
      <w:r w:rsidRPr="00D1368E">
        <w:rPr>
          <w:rFonts w:ascii="Times New Roman" w:hAnsi="Times New Roman" w:cs="Times New Roman"/>
          <w:b/>
          <w:bCs/>
          <w:sz w:val="22"/>
          <w:szCs w:val="22"/>
        </w:rPr>
        <w:instrText xml:space="preserve"> SEQ Table \* ARABIC </w:instrText>
      </w:r>
      <w:r w:rsidRPr="00D1368E">
        <w:rPr>
          <w:rFonts w:ascii="Times New Roman" w:hAnsi="Times New Roman" w:cs="Times New Roman"/>
          <w:b/>
          <w:bCs/>
          <w:sz w:val="22"/>
          <w:szCs w:val="22"/>
        </w:rPr>
        <w:fldChar w:fldCharType="separate"/>
      </w:r>
      <w:r w:rsidRPr="00D1368E">
        <w:rPr>
          <w:rFonts w:ascii="Times New Roman" w:hAnsi="Times New Roman" w:cs="Times New Roman"/>
          <w:b/>
          <w:bCs/>
          <w:noProof/>
          <w:sz w:val="22"/>
          <w:szCs w:val="22"/>
        </w:rPr>
        <w:t>7</w:t>
      </w:r>
      <w:r w:rsidRPr="00D1368E">
        <w:rPr>
          <w:rFonts w:ascii="Times New Roman" w:hAnsi="Times New Roman" w:cs="Times New Roman"/>
          <w:b/>
          <w:bCs/>
          <w:sz w:val="22"/>
          <w:szCs w:val="22"/>
        </w:rPr>
        <w:fldChar w:fldCharType="end"/>
      </w:r>
      <w:r w:rsidRPr="00D1368E">
        <w:rPr>
          <w:rFonts w:ascii="Times New Roman" w:hAnsi="Times New Roman" w:cs="Times New Roman"/>
          <w:b/>
          <w:bCs/>
          <w:sz w:val="22"/>
          <w:szCs w:val="22"/>
        </w:rPr>
        <w:t xml:space="preserve">. </w:t>
      </w:r>
      <w:r w:rsidRPr="00D1368E">
        <w:rPr>
          <w:rFonts w:ascii="Times New Roman" w:hAnsi="Times New Roman" w:cs="Times New Roman"/>
          <w:sz w:val="22"/>
          <w:szCs w:val="22"/>
        </w:rPr>
        <w:t>Sustainability Reporting Quality Checklist</w:t>
      </w:r>
      <w:r w:rsidR="00D746B3">
        <w:rPr>
          <w:rFonts w:ascii="Times New Roman" w:hAnsi="Times New Roman" w:cs="Times New Roman" w:hint="eastAsia"/>
          <w:sz w:val="22"/>
          <w:szCs w:val="22"/>
        </w:rPr>
        <w:t xml:space="preserve"> of Sinopec and CNOOC</w:t>
      </w:r>
      <w:r w:rsidRPr="00D1368E">
        <w:rPr>
          <w:rFonts w:ascii="Times New Roman" w:hAnsi="Times New Roman" w:cs="Times New Roman"/>
          <w:sz w:val="22"/>
          <w:szCs w:val="22"/>
        </w:rPr>
        <w:t>, 2024</w:t>
      </w:r>
      <w:bookmarkEnd w:id="29"/>
    </w:p>
    <w:p w14:paraId="03B3CF3A" w14:textId="3BAD986E" w:rsidR="00D1368E" w:rsidRDefault="00D1368E" w:rsidP="00502470">
      <w:pPr>
        <w:spacing w:line="360" w:lineRule="auto"/>
        <w:jc w:val="both"/>
        <w:rPr>
          <w:rFonts w:ascii="Times New Roman" w:hAnsi="Times New Roman" w:cs="Times New Roman"/>
          <w:szCs w:val="22"/>
        </w:rPr>
      </w:pPr>
      <w:r w:rsidRPr="00D1368E">
        <w:rPr>
          <w:noProof/>
        </w:rPr>
        <w:drawing>
          <wp:inline distT="0" distB="0" distL="0" distR="0" wp14:anchorId="6212655C" wp14:editId="0925E3C0">
            <wp:extent cx="5759450" cy="1274632"/>
            <wp:effectExtent l="0" t="0" r="0" b="1905"/>
            <wp:docPr id="20485857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85773" name="图片 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759450" cy="1274632"/>
                    </a:xfrm>
                    <a:prstGeom prst="rect">
                      <a:avLst/>
                    </a:prstGeom>
                    <a:noFill/>
                    <a:ln>
                      <a:noFill/>
                    </a:ln>
                  </pic:spPr>
                </pic:pic>
              </a:graphicData>
            </a:graphic>
          </wp:inline>
        </w:drawing>
      </w:r>
    </w:p>
    <w:p w14:paraId="0815DECB" w14:textId="77777777" w:rsidR="00502470" w:rsidRDefault="00502470" w:rsidP="00502470">
      <w:pPr>
        <w:spacing w:line="240" w:lineRule="auto"/>
        <w:jc w:val="both"/>
        <w:rPr>
          <w:rFonts w:ascii="Times New Roman" w:hAnsi="Times New Roman" w:cs="Times New Roman"/>
          <w:szCs w:val="22"/>
        </w:rPr>
      </w:pPr>
      <w:r w:rsidRPr="00502470">
        <w:rPr>
          <w:rFonts w:ascii="Times New Roman" w:hAnsi="Times New Roman" w:cs="Times New Roman"/>
          <w:b/>
          <w:bCs/>
          <w:szCs w:val="22"/>
        </w:rPr>
        <w:t>Note:</w:t>
      </w:r>
      <w:r w:rsidRPr="00502470">
        <w:rPr>
          <w:rFonts w:ascii="Times New Roman" w:hAnsi="Times New Roman" w:cs="Times New Roman"/>
          <w:szCs w:val="22"/>
        </w:rPr>
        <w:t xml:space="preserve"> GRI = Global Reporting Initiative; TCFD = Task Force on Climate-related Financial Disclosures; MD&amp;A = Management Discussion and Analysis; SASB = Sustainability Accounting Standards Board.</w:t>
      </w:r>
    </w:p>
    <w:p w14:paraId="1B31DD5D" w14:textId="4092F3B1" w:rsidR="000B1ECC" w:rsidRDefault="00AD5293" w:rsidP="00502470">
      <w:pPr>
        <w:spacing w:line="360" w:lineRule="auto"/>
        <w:jc w:val="both"/>
        <w:rPr>
          <w:rFonts w:ascii="Times New Roman" w:hAnsi="Times New Roman" w:cs="Times New Roman"/>
          <w:sz w:val="24"/>
        </w:rPr>
      </w:pPr>
      <w:r w:rsidRPr="00AD5293">
        <w:rPr>
          <w:rFonts w:ascii="Times New Roman" w:hAnsi="Times New Roman" w:cs="Times New Roman"/>
          <w:sz w:val="24"/>
        </w:rPr>
        <w:t xml:space="preserve">Regarding reporting transparency, Table 7 shows that both companies disclosed ESG governance arrangements, external assurance by named accounting firms and framework-based reporting. These mechanisms enhance non-financial information credibility, as GRI Standards support structured reporting and IFRS S2 emphasises investor-useful climate disclosures (GRI, 2023; IFRS Foundation, 2023). However, </w:t>
      </w:r>
      <w:r w:rsidR="000B1ECC">
        <w:rPr>
          <w:rFonts w:ascii="Times New Roman" w:hAnsi="Times New Roman" w:cs="Times New Roman" w:hint="eastAsia"/>
          <w:sz w:val="24"/>
        </w:rPr>
        <w:t>n</w:t>
      </w:r>
      <w:r w:rsidR="000B1ECC" w:rsidRPr="000B1ECC">
        <w:rPr>
          <w:rFonts w:ascii="Times New Roman" w:hAnsi="Times New Roman" w:cs="Times New Roman"/>
          <w:sz w:val="24"/>
        </w:rPr>
        <w:t>o explicit reference to SASB was found in the ESG data or sustainability reports reviewed, which may affect sector-specific comparability. With state ownership remaining an important governance factor, Sinopec still appears to have an edge over CNOOC in board independence and shareholder score.</w:t>
      </w:r>
    </w:p>
    <w:p w14:paraId="41004E6D" w14:textId="77777777" w:rsidR="000B1ECC" w:rsidRPr="000B1ECC" w:rsidRDefault="000B1ECC" w:rsidP="00502470">
      <w:pPr>
        <w:spacing w:line="360" w:lineRule="auto"/>
        <w:jc w:val="both"/>
        <w:rPr>
          <w:rFonts w:ascii="Times New Roman" w:hAnsi="Times New Roman" w:cs="Times New Roman"/>
          <w:sz w:val="24"/>
        </w:rPr>
      </w:pPr>
    </w:p>
    <w:p w14:paraId="4C2BA332" w14:textId="0734508F" w:rsidR="007F70B8" w:rsidRPr="00815660" w:rsidRDefault="00CE731C" w:rsidP="00502470">
      <w:pPr>
        <w:pStyle w:val="31"/>
        <w:rPr>
          <w:rFonts w:eastAsiaTheme="minorEastAsia"/>
          <w:i w:val="0"/>
          <w:iCs w:val="0"/>
          <w:szCs w:val="24"/>
        </w:rPr>
      </w:pPr>
      <w:bookmarkStart w:id="30" w:name="_Toc230578738"/>
      <w:r w:rsidRPr="00815660">
        <w:rPr>
          <w:i w:val="0"/>
          <w:iCs w:val="0"/>
          <w:szCs w:val="24"/>
        </w:rPr>
        <w:t>3.</w:t>
      </w:r>
      <w:r w:rsidR="001C1C1D" w:rsidRPr="00815660">
        <w:rPr>
          <w:i w:val="0"/>
          <w:iCs w:val="0"/>
          <w:szCs w:val="24"/>
        </w:rPr>
        <w:t>4</w:t>
      </w:r>
      <w:r w:rsidRPr="00815660">
        <w:rPr>
          <w:i w:val="0"/>
          <w:iCs w:val="0"/>
          <w:szCs w:val="24"/>
        </w:rPr>
        <w:t xml:space="preserve"> </w:t>
      </w:r>
      <w:r w:rsidR="00E5035B">
        <w:rPr>
          <w:rFonts w:eastAsiaTheme="minorEastAsia" w:hint="eastAsia"/>
          <w:i w:val="0"/>
          <w:iCs w:val="0"/>
          <w:szCs w:val="24"/>
        </w:rPr>
        <w:t>Integrated</w:t>
      </w:r>
      <w:r w:rsidRPr="00815660">
        <w:rPr>
          <w:i w:val="0"/>
          <w:iCs w:val="0"/>
          <w:szCs w:val="24"/>
        </w:rPr>
        <w:t xml:space="preserve"> ESG Summary</w:t>
      </w:r>
      <w:bookmarkEnd w:id="30"/>
    </w:p>
    <w:p w14:paraId="1667C6A5" w14:textId="69C21430" w:rsidR="000B1ECC" w:rsidRPr="00815660" w:rsidRDefault="000B1ECC" w:rsidP="00502470">
      <w:pPr>
        <w:spacing w:line="360" w:lineRule="auto"/>
        <w:jc w:val="both"/>
        <w:rPr>
          <w:rFonts w:ascii="Times New Roman" w:hAnsi="Times New Roman" w:cs="Times New Roman"/>
          <w:sz w:val="24"/>
        </w:rPr>
      </w:pPr>
      <w:r w:rsidRPr="000B1ECC">
        <w:rPr>
          <w:rFonts w:ascii="Times New Roman" w:hAnsi="Times New Roman" w:cs="Times New Roman"/>
          <w:sz w:val="24"/>
        </w:rPr>
        <w:t xml:space="preserve">Sinopec’s ESG performance profile shows overall improvement, but with mixed trends across the three pillars. Environmentally, relatively stable Scope 1 and Scope 2 emissions, water-use improvement and visible low-carbon infrastructure investment show positive transition signals. Socially, Sinopec still trailed CNOOC in injury intensity, training depth, leadership inclusion and community contribution intensity. In governance, Sinopec exhibited stronger formal board independence and shareholder-governance signals, but state ownership has mixed effects because it can support policy alignment while also raising minority-shareholder and capital-allocation concerns. Thus, Sinopec has a reasonable ESG profile, but its sustainability </w:t>
      </w:r>
      <w:r w:rsidR="00156A77">
        <w:rPr>
          <w:rFonts w:ascii="Times New Roman" w:hAnsi="Times New Roman" w:cs="Times New Roman" w:hint="eastAsia"/>
          <w:sz w:val="24"/>
        </w:rPr>
        <w:t xml:space="preserve">case </w:t>
      </w:r>
      <w:r w:rsidRPr="000B1ECC">
        <w:rPr>
          <w:rFonts w:ascii="Times New Roman" w:hAnsi="Times New Roman" w:cs="Times New Roman"/>
          <w:sz w:val="24"/>
        </w:rPr>
        <w:t>relies on whether transition investment can counterbalance the risks from traditional oil, refining and chemical activities (Sinopec Corp., 2025a; CNOOC Limited, 2025a; OECD, 2024).</w:t>
      </w:r>
    </w:p>
    <w:p w14:paraId="7E4C9434" w14:textId="068B5B2A" w:rsidR="007F70B8" w:rsidRPr="00815660" w:rsidRDefault="002B0E57" w:rsidP="00502470">
      <w:pPr>
        <w:pStyle w:val="21"/>
        <w:rPr>
          <w:rFonts w:eastAsiaTheme="minorEastAsia"/>
          <w:color w:val="auto"/>
        </w:rPr>
      </w:pPr>
      <w:bookmarkStart w:id="31" w:name="_Toc230578739"/>
      <w:r w:rsidRPr="00815660">
        <w:rPr>
          <w:color w:val="auto"/>
        </w:rPr>
        <w:lastRenderedPageBreak/>
        <w:t>Section 4: Synthesis and Integrated Conclusion</w:t>
      </w:r>
      <w:bookmarkEnd w:id="31"/>
    </w:p>
    <w:p w14:paraId="6B821168" w14:textId="336A0EAB" w:rsidR="00E5035B" w:rsidRPr="00E5035B" w:rsidRDefault="00E5035B" w:rsidP="00502470">
      <w:pPr>
        <w:pStyle w:val="31"/>
        <w:rPr>
          <w:i w:val="0"/>
          <w:iCs w:val="0"/>
          <w:szCs w:val="24"/>
        </w:rPr>
      </w:pPr>
      <w:bookmarkStart w:id="32" w:name="_Toc230578740"/>
      <w:r w:rsidRPr="00E5035B">
        <w:rPr>
          <w:rFonts w:hint="eastAsia"/>
          <w:i w:val="0"/>
          <w:iCs w:val="0"/>
          <w:szCs w:val="24"/>
        </w:rPr>
        <w:t>4.1 Overall Assessment</w:t>
      </w:r>
      <w:bookmarkEnd w:id="32"/>
    </w:p>
    <w:p w14:paraId="1BC12D29" w14:textId="5BD2E953" w:rsidR="000B1ECC" w:rsidRPr="00E5035B" w:rsidRDefault="000B1ECC" w:rsidP="00502470">
      <w:pPr>
        <w:spacing w:line="360" w:lineRule="auto"/>
        <w:jc w:val="both"/>
        <w:rPr>
          <w:rFonts w:ascii="Times New Roman" w:hAnsi="Times New Roman" w:cs="Times New Roman"/>
          <w:sz w:val="24"/>
        </w:rPr>
      </w:pPr>
      <w:r w:rsidRPr="000B1ECC">
        <w:rPr>
          <w:rFonts w:ascii="Times New Roman" w:hAnsi="Times New Roman" w:cs="Times New Roman"/>
          <w:sz w:val="24"/>
        </w:rPr>
        <w:t xml:space="preserve">This section consolidates the financial and ESG data and analysis by evaluating Sinopec’s investment attractiveness, the tension between its traditional business model and sustainability goals, and the opportunities and challenges it may face over the next five years. </w:t>
      </w:r>
      <w:r w:rsidR="00156A77">
        <w:rPr>
          <w:rFonts w:ascii="Times New Roman" w:hAnsi="Times New Roman" w:cs="Times New Roman" w:hint="eastAsia"/>
          <w:sz w:val="24"/>
        </w:rPr>
        <w:t>Overall</w:t>
      </w:r>
      <w:r w:rsidRPr="000B1ECC">
        <w:rPr>
          <w:rFonts w:ascii="Times New Roman" w:hAnsi="Times New Roman" w:cs="Times New Roman"/>
          <w:sz w:val="24"/>
        </w:rPr>
        <w:t>, Sinopec appears to be a strategically important but increasingly conditional investment case. It has a large downstream network, a closely integrated refining and chemicals base, and visible low-carbon infrastructure investment within China’s energy system (Sinopec Corp., 2025a). However, the investment thesis should still be viewed with caution, as the company’s profitability remains exposed to oil-price cycles, weaker refining margins and chemical-sector weakness. Relative to CNOOC, Sinopec appears less profitable and weaker in several social indicators, although it has stronger formal governance signals and broader downstream transition infrastructure (CNOOC Limited, 2025a; Sinopec Corp., 2025a).</w:t>
      </w:r>
    </w:p>
    <w:p w14:paraId="58E4F99F" w14:textId="481360B0" w:rsidR="00E5035B" w:rsidRPr="00E5035B" w:rsidRDefault="00E5035B" w:rsidP="00502470">
      <w:pPr>
        <w:pStyle w:val="31"/>
        <w:rPr>
          <w:i w:val="0"/>
          <w:iCs w:val="0"/>
          <w:szCs w:val="24"/>
        </w:rPr>
      </w:pPr>
      <w:bookmarkStart w:id="33" w:name="_Toc230578741"/>
      <w:r w:rsidRPr="00E5035B">
        <w:rPr>
          <w:rFonts w:hint="eastAsia"/>
          <w:i w:val="0"/>
          <w:iCs w:val="0"/>
          <w:szCs w:val="24"/>
        </w:rPr>
        <w:t>4.2 Financial Strengths and ESG Tensions</w:t>
      </w:r>
      <w:bookmarkEnd w:id="33"/>
    </w:p>
    <w:p w14:paraId="3E19D700" w14:textId="148E3838" w:rsidR="003B74F1" w:rsidRPr="00E5035B" w:rsidRDefault="00E5035B" w:rsidP="00502470">
      <w:pPr>
        <w:spacing w:line="360" w:lineRule="auto"/>
        <w:jc w:val="both"/>
        <w:rPr>
          <w:rFonts w:ascii="Times New Roman" w:hAnsi="Times New Roman" w:cs="Times New Roman"/>
          <w:sz w:val="24"/>
        </w:rPr>
      </w:pPr>
      <w:r w:rsidRPr="00E5035B">
        <w:rPr>
          <w:rFonts w:ascii="Times New Roman" w:hAnsi="Times New Roman" w:cs="Times New Roman" w:hint="eastAsia"/>
          <w:sz w:val="24"/>
        </w:rPr>
        <w:t>The main tension is that Sinopec</w:t>
      </w:r>
      <w:r w:rsidR="00011E46">
        <w:rPr>
          <w:rFonts w:ascii="Times New Roman" w:hAnsi="Times New Roman" w:cs="Times New Roman"/>
          <w:sz w:val="24"/>
        </w:rPr>
        <w:t>’</w:t>
      </w:r>
      <w:r w:rsidRPr="00E5035B">
        <w:rPr>
          <w:rFonts w:ascii="Times New Roman" w:hAnsi="Times New Roman" w:cs="Times New Roman" w:hint="eastAsia"/>
          <w:sz w:val="24"/>
        </w:rPr>
        <w:t>s financial resilience still depends heavily on traditional refining, chemicals and petroleum</w:t>
      </w:r>
      <w:r w:rsidR="00393F7D">
        <w:rPr>
          <w:rFonts w:ascii="Times New Roman" w:hAnsi="Times New Roman" w:cs="Times New Roman" w:hint="eastAsia"/>
          <w:sz w:val="24"/>
        </w:rPr>
        <w:t>-</w:t>
      </w:r>
      <w:r w:rsidRPr="00E5035B">
        <w:rPr>
          <w:rFonts w:ascii="Times New Roman" w:hAnsi="Times New Roman" w:cs="Times New Roman" w:hint="eastAsia"/>
          <w:sz w:val="24"/>
        </w:rPr>
        <w:t>product demand, while its long</w:t>
      </w:r>
      <w:r w:rsidR="00393F7D">
        <w:rPr>
          <w:rFonts w:ascii="Times New Roman" w:hAnsi="Times New Roman" w:cs="Times New Roman" w:hint="eastAsia"/>
          <w:sz w:val="24"/>
        </w:rPr>
        <w:t>-</w:t>
      </w:r>
      <w:r w:rsidRPr="00E5035B">
        <w:rPr>
          <w:rFonts w:ascii="Times New Roman" w:hAnsi="Times New Roman" w:cs="Times New Roman" w:hint="eastAsia"/>
          <w:sz w:val="24"/>
        </w:rPr>
        <w:t>term sustainability requires continued investment in lower</w:t>
      </w:r>
      <w:r w:rsidR="00393F7D">
        <w:rPr>
          <w:rFonts w:ascii="Times New Roman" w:hAnsi="Times New Roman" w:cs="Times New Roman" w:hint="eastAsia"/>
          <w:sz w:val="24"/>
        </w:rPr>
        <w:t>-</w:t>
      </w:r>
      <w:r w:rsidRPr="00E5035B">
        <w:rPr>
          <w:rFonts w:ascii="Times New Roman" w:hAnsi="Times New Roman" w:cs="Times New Roman" w:hint="eastAsia"/>
          <w:sz w:val="24"/>
        </w:rPr>
        <w:t xml:space="preserve">carbon businesses. Its operating scale and manageable solvency position may help fund hydrogen, EV charging, geothermal and other transition initiatives, creating a possible synergy between legacy cash flows and gradual decarbonisation (Sinopec Corp., 2025a). </w:t>
      </w:r>
      <w:r w:rsidR="002073FB" w:rsidRPr="002073FB">
        <w:rPr>
          <w:rFonts w:ascii="Times New Roman" w:hAnsi="Times New Roman" w:cs="Times New Roman"/>
          <w:sz w:val="24"/>
        </w:rPr>
        <w:t>Commitments alone are unlikely to make an energy transition strategy credible; investors also need decision</w:t>
      </w:r>
      <w:r w:rsidR="00393F7D">
        <w:rPr>
          <w:rFonts w:ascii="Times New Roman" w:hAnsi="Times New Roman" w:cs="Times New Roman"/>
          <w:sz w:val="24"/>
        </w:rPr>
        <w:t>-</w:t>
      </w:r>
      <w:r w:rsidR="002073FB" w:rsidRPr="002073FB">
        <w:rPr>
          <w:rFonts w:ascii="Times New Roman" w:hAnsi="Times New Roman" w:cs="Times New Roman"/>
          <w:sz w:val="24"/>
        </w:rPr>
        <w:t>useful information on climate</w:t>
      </w:r>
      <w:r w:rsidR="00393F7D">
        <w:rPr>
          <w:rFonts w:ascii="Times New Roman" w:hAnsi="Times New Roman" w:cs="Times New Roman"/>
          <w:sz w:val="24"/>
        </w:rPr>
        <w:t>-</w:t>
      </w:r>
      <w:r w:rsidR="002073FB" w:rsidRPr="002073FB">
        <w:rPr>
          <w:rFonts w:ascii="Times New Roman" w:hAnsi="Times New Roman" w:cs="Times New Roman"/>
          <w:sz w:val="24"/>
        </w:rPr>
        <w:t>related risks, opportunities, metrics and targets (IFRS Foundation, 2023).</w:t>
      </w:r>
      <w:r w:rsidRPr="00E5035B">
        <w:rPr>
          <w:rFonts w:ascii="Times New Roman" w:hAnsi="Times New Roman" w:cs="Times New Roman" w:hint="eastAsia"/>
          <w:sz w:val="24"/>
        </w:rPr>
        <w:t xml:space="preserve"> However, this synergy should not be overstated. The same asset base remains carbon</w:t>
      </w:r>
      <w:r w:rsidR="00393F7D">
        <w:rPr>
          <w:rFonts w:ascii="Times New Roman" w:hAnsi="Times New Roman" w:cs="Times New Roman" w:hint="eastAsia"/>
          <w:sz w:val="24"/>
        </w:rPr>
        <w:t>-</w:t>
      </w:r>
      <w:r w:rsidRPr="00E5035B">
        <w:rPr>
          <w:rFonts w:ascii="Times New Roman" w:hAnsi="Times New Roman" w:cs="Times New Roman" w:hint="eastAsia"/>
          <w:sz w:val="24"/>
        </w:rPr>
        <w:t xml:space="preserve"> and resource</w:t>
      </w:r>
      <w:r w:rsidR="00393F7D">
        <w:rPr>
          <w:rFonts w:ascii="Times New Roman" w:hAnsi="Times New Roman" w:cs="Times New Roman" w:hint="eastAsia"/>
          <w:sz w:val="24"/>
        </w:rPr>
        <w:t>-</w:t>
      </w:r>
      <w:r w:rsidRPr="00E5035B">
        <w:rPr>
          <w:rFonts w:ascii="Times New Roman" w:hAnsi="Times New Roman" w:cs="Times New Roman" w:hint="eastAsia"/>
          <w:sz w:val="24"/>
        </w:rPr>
        <w:t>intensive, and the oil and gas sector continues to face pressure to reduce operational emissions, methane and flaring while scaling credible low</w:t>
      </w:r>
      <w:r w:rsidR="00393F7D">
        <w:rPr>
          <w:rFonts w:ascii="Times New Roman" w:hAnsi="Times New Roman" w:cs="Times New Roman" w:hint="eastAsia"/>
          <w:sz w:val="24"/>
        </w:rPr>
        <w:t>-</w:t>
      </w:r>
      <w:r w:rsidRPr="00E5035B">
        <w:rPr>
          <w:rFonts w:ascii="Times New Roman" w:hAnsi="Times New Roman" w:cs="Times New Roman" w:hint="eastAsia"/>
          <w:sz w:val="24"/>
        </w:rPr>
        <w:t xml:space="preserve">emission solutions (IEA, 2023). </w:t>
      </w:r>
      <w:r w:rsidR="003B74F1" w:rsidRPr="003B74F1">
        <w:rPr>
          <w:rFonts w:ascii="Times New Roman" w:hAnsi="Times New Roman" w:cs="Times New Roman"/>
          <w:sz w:val="24"/>
        </w:rPr>
        <w:t>Therefore, Sinopec</w:t>
      </w:r>
      <w:r w:rsidR="00011E46">
        <w:rPr>
          <w:rFonts w:ascii="Times New Roman" w:hAnsi="Times New Roman" w:cs="Times New Roman"/>
          <w:sz w:val="24"/>
        </w:rPr>
        <w:t>’</w:t>
      </w:r>
      <w:r w:rsidR="003B74F1" w:rsidRPr="003B74F1">
        <w:rPr>
          <w:rFonts w:ascii="Times New Roman" w:hAnsi="Times New Roman" w:cs="Times New Roman"/>
          <w:sz w:val="24"/>
        </w:rPr>
        <w:t>s transition strategy appears financially feasible, but does not yet seem strong enough to materially reduce exposure to carbon regulation, fossil-fuel demand uncertainty and margin volatility.</w:t>
      </w:r>
    </w:p>
    <w:p w14:paraId="7DBD065B" w14:textId="062F8CF1" w:rsidR="00E5035B" w:rsidRPr="00E5035B" w:rsidRDefault="00E5035B" w:rsidP="00502470">
      <w:pPr>
        <w:pStyle w:val="31"/>
        <w:rPr>
          <w:i w:val="0"/>
          <w:iCs w:val="0"/>
          <w:szCs w:val="24"/>
        </w:rPr>
      </w:pPr>
      <w:bookmarkStart w:id="34" w:name="_Toc230578742"/>
      <w:r w:rsidRPr="00E5035B">
        <w:rPr>
          <w:rFonts w:hint="eastAsia"/>
          <w:i w:val="0"/>
          <w:iCs w:val="0"/>
          <w:szCs w:val="24"/>
        </w:rPr>
        <w:lastRenderedPageBreak/>
        <w:t>4.3 Forward</w:t>
      </w:r>
      <w:r w:rsidR="00393F7D">
        <w:rPr>
          <w:rFonts w:hint="eastAsia"/>
          <w:i w:val="0"/>
          <w:iCs w:val="0"/>
          <w:szCs w:val="24"/>
        </w:rPr>
        <w:t>-</w:t>
      </w:r>
      <w:r w:rsidRPr="00E5035B">
        <w:rPr>
          <w:rFonts w:hint="eastAsia"/>
          <w:i w:val="0"/>
          <w:iCs w:val="0"/>
          <w:szCs w:val="24"/>
        </w:rPr>
        <w:t>looking Recommendation</w:t>
      </w:r>
      <w:bookmarkEnd w:id="34"/>
    </w:p>
    <w:p w14:paraId="6CD51B7C" w14:textId="68D4FB91" w:rsidR="005F5E89" w:rsidRPr="00815660" w:rsidRDefault="00E5035B" w:rsidP="000B1ECC">
      <w:pPr>
        <w:spacing w:line="360" w:lineRule="auto"/>
        <w:jc w:val="both"/>
        <w:rPr>
          <w:rFonts w:ascii="Times New Roman" w:hAnsi="Times New Roman" w:cs="Times New Roman"/>
          <w:sz w:val="24"/>
        </w:rPr>
      </w:pPr>
      <w:r w:rsidRPr="00E5035B">
        <w:rPr>
          <w:rFonts w:ascii="Times New Roman" w:hAnsi="Times New Roman" w:cs="Times New Roman" w:hint="eastAsia"/>
          <w:sz w:val="24"/>
        </w:rPr>
        <w:t>Over the next five years, Sinopec</w:t>
      </w:r>
      <w:r w:rsidR="00011E46">
        <w:rPr>
          <w:rFonts w:ascii="Times New Roman" w:hAnsi="Times New Roman" w:cs="Times New Roman"/>
          <w:sz w:val="24"/>
        </w:rPr>
        <w:t>’</w:t>
      </w:r>
      <w:r w:rsidRPr="00E5035B">
        <w:rPr>
          <w:rFonts w:ascii="Times New Roman" w:hAnsi="Times New Roman" w:cs="Times New Roman" w:hint="eastAsia"/>
          <w:sz w:val="24"/>
        </w:rPr>
        <w:t>s main opportunities are likely to come from China</w:t>
      </w:r>
      <w:r w:rsidR="00011E46">
        <w:rPr>
          <w:rFonts w:ascii="Times New Roman" w:hAnsi="Times New Roman" w:cs="Times New Roman"/>
          <w:sz w:val="24"/>
        </w:rPr>
        <w:t>’</w:t>
      </w:r>
      <w:r w:rsidRPr="00E5035B">
        <w:rPr>
          <w:rFonts w:ascii="Times New Roman" w:hAnsi="Times New Roman" w:cs="Times New Roman" w:hint="eastAsia"/>
          <w:sz w:val="24"/>
        </w:rPr>
        <w:t>s energy</w:t>
      </w:r>
      <w:r w:rsidR="00393F7D">
        <w:rPr>
          <w:rFonts w:ascii="Times New Roman" w:hAnsi="Times New Roman" w:cs="Times New Roman" w:hint="eastAsia"/>
          <w:sz w:val="24"/>
        </w:rPr>
        <w:t>-</w:t>
      </w:r>
      <w:r w:rsidRPr="00E5035B">
        <w:rPr>
          <w:rFonts w:ascii="Times New Roman" w:hAnsi="Times New Roman" w:cs="Times New Roman" w:hint="eastAsia"/>
          <w:sz w:val="24"/>
        </w:rPr>
        <w:t>security needs, expansion of integrated energy services and potential recovery in refining and chemical margins. Its transition infrastructure, especially hydrogen refuelling and EV charging/swapping stations, may also strengthen its relevance as customer demand gradually shifts towards cleaner mobility and lower</w:t>
      </w:r>
      <w:r w:rsidR="00393F7D">
        <w:rPr>
          <w:rFonts w:ascii="Times New Roman" w:hAnsi="Times New Roman" w:cs="Times New Roman" w:hint="eastAsia"/>
          <w:sz w:val="24"/>
        </w:rPr>
        <w:t>-</w:t>
      </w:r>
      <w:r w:rsidRPr="00E5035B">
        <w:rPr>
          <w:rFonts w:ascii="Times New Roman" w:hAnsi="Times New Roman" w:cs="Times New Roman" w:hint="eastAsia"/>
          <w:sz w:val="24"/>
        </w:rPr>
        <w:t xml:space="preserve">carbon energy services (Sinopec Corp., 2025a). However, these opportunities remain conditional. </w:t>
      </w:r>
      <w:r w:rsidR="002073FB" w:rsidRPr="002073FB">
        <w:rPr>
          <w:rFonts w:ascii="Times New Roman" w:hAnsi="Times New Roman" w:cs="Times New Roman"/>
          <w:sz w:val="24"/>
        </w:rPr>
        <w:t>The main risks are likely to come from weaker profitability than CNOOC, social</w:t>
      </w:r>
      <w:r w:rsidR="00393F7D">
        <w:rPr>
          <w:rFonts w:ascii="Times New Roman" w:hAnsi="Times New Roman" w:cs="Times New Roman"/>
          <w:sz w:val="24"/>
        </w:rPr>
        <w:t>-</w:t>
      </w:r>
      <w:r w:rsidR="002073FB" w:rsidRPr="002073FB">
        <w:rPr>
          <w:rFonts w:ascii="Times New Roman" w:hAnsi="Times New Roman" w:cs="Times New Roman"/>
          <w:sz w:val="24"/>
        </w:rPr>
        <w:t>performance gaps in safety, training depth and leadership inclusion, and uncertainty over whether low</w:t>
      </w:r>
      <w:r w:rsidR="00393F7D">
        <w:rPr>
          <w:rFonts w:ascii="Times New Roman" w:hAnsi="Times New Roman" w:cs="Times New Roman"/>
          <w:sz w:val="24"/>
        </w:rPr>
        <w:t>-</w:t>
      </w:r>
      <w:r w:rsidR="002073FB" w:rsidRPr="002073FB">
        <w:rPr>
          <w:rFonts w:ascii="Times New Roman" w:hAnsi="Times New Roman" w:cs="Times New Roman"/>
          <w:sz w:val="24"/>
        </w:rPr>
        <w:t>carbon projects can generate commercially meaningful returns.</w:t>
      </w:r>
      <w:r w:rsidR="002073FB">
        <w:rPr>
          <w:rFonts w:ascii="Times New Roman" w:hAnsi="Times New Roman" w:cs="Times New Roman" w:hint="eastAsia"/>
          <w:sz w:val="24"/>
        </w:rPr>
        <w:t xml:space="preserve"> </w:t>
      </w:r>
      <w:r w:rsidR="000B1ECC" w:rsidRPr="000B1ECC">
        <w:rPr>
          <w:rFonts w:ascii="Times New Roman" w:hAnsi="Times New Roman" w:cs="Times New Roman"/>
          <w:sz w:val="24"/>
        </w:rPr>
        <w:t>Governance offers some support, as board independence and reporting infrastructure are relatively strong, although state ownership remains a mixed factor. According to OECD guidance, state ownership may affect the objectives and governance role of state-owned enterprises (SOEs), so investors need to consider both the policy-alignment benefits and the minority-shareholder or capital-allocation concerns (OECD, 2024). While GRI-based reporting and external assurance can enhance the credibility of ESG information, investors should remain mindful of assurance scope, comparability and decision-usefulness (GRI, 2023). Hence, a cautious hold / selective investment recommendation, rather than a strong buy, is more suitable. Clients may maintain exposure to Sinopec, but any increase should be contingent on clearer signs of margin improvement, transition-project returns, reduced emissions intensity, better social metrics and consistent shareholder-governance quality.</w:t>
      </w:r>
    </w:p>
    <w:p w14:paraId="0DE13732" w14:textId="77777777" w:rsidR="005F5E89" w:rsidRPr="00815660" w:rsidRDefault="005F5E89" w:rsidP="00502470">
      <w:pPr>
        <w:spacing w:line="360" w:lineRule="auto"/>
        <w:rPr>
          <w:rFonts w:ascii="Times New Roman" w:hAnsi="Times New Roman" w:cs="Times New Roman"/>
          <w:sz w:val="24"/>
        </w:rPr>
      </w:pPr>
    </w:p>
    <w:p w14:paraId="6D52FFB9" w14:textId="77777777" w:rsidR="005F5E89" w:rsidRPr="00815660" w:rsidRDefault="005F5E89" w:rsidP="00502470">
      <w:pPr>
        <w:spacing w:line="360" w:lineRule="auto"/>
        <w:rPr>
          <w:rFonts w:ascii="Times New Roman" w:hAnsi="Times New Roman" w:cs="Times New Roman"/>
          <w:sz w:val="24"/>
        </w:rPr>
      </w:pPr>
    </w:p>
    <w:p w14:paraId="18F686AA" w14:textId="77777777" w:rsidR="00417B38" w:rsidRDefault="00417B38" w:rsidP="00502470">
      <w:pPr>
        <w:spacing w:line="360" w:lineRule="auto"/>
        <w:rPr>
          <w:rFonts w:ascii="Times New Roman" w:hAnsi="Times New Roman" w:cs="Times New Roman"/>
          <w:sz w:val="24"/>
        </w:rPr>
      </w:pPr>
    </w:p>
    <w:p w14:paraId="7813B017" w14:textId="77777777" w:rsidR="006518D3" w:rsidRDefault="006518D3" w:rsidP="00502470">
      <w:pPr>
        <w:spacing w:line="360" w:lineRule="auto"/>
        <w:rPr>
          <w:rFonts w:ascii="Times New Roman" w:hAnsi="Times New Roman" w:cs="Times New Roman"/>
          <w:sz w:val="24"/>
        </w:rPr>
      </w:pPr>
    </w:p>
    <w:p w14:paraId="43C6BF19" w14:textId="77777777" w:rsidR="000B1ECC" w:rsidRPr="000B1ECC" w:rsidRDefault="000B1ECC" w:rsidP="00502470">
      <w:pPr>
        <w:spacing w:line="360" w:lineRule="auto"/>
        <w:rPr>
          <w:rFonts w:ascii="Times New Roman" w:hAnsi="Times New Roman" w:cs="Times New Roman"/>
          <w:sz w:val="24"/>
        </w:rPr>
      </w:pPr>
    </w:p>
    <w:p w14:paraId="5CB2B16D" w14:textId="77777777" w:rsidR="00335F15" w:rsidRPr="00815660" w:rsidRDefault="00335F15" w:rsidP="00502470">
      <w:pPr>
        <w:spacing w:line="360" w:lineRule="auto"/>
        <w:rPr>
          <w:rFonts w:ascii="Times New Roman" w:hAnsi="Times New Roman" w:cs="Times New Roman"/>
          <w:sz w:val="24"/>
        </w:rPr>
      </w:pPr>
    </w:p>
    <w:p w14:paraId="3A0814FA" w14:textId="77777777" w:rsidR="00417B38" w:rsidRPr="00815660" w:rsidRDefault="00417B38" w:rsidP="00502470">
      <w:pPr>
        <w:pStyle w:val="21"/>
        <w:rPr>
          <w:color w:val="auto"/>
        </w:rPr>
      </w:pPr>
      <w:bookmarkStart w:id="35" w:name="_Toc230578743"/>
      <w:r w:rsidRPr="00815660">
        <w:rPr>
          <w:color w:val="auto"/>
        </w:rPr>
        <w:lastRenderedPageBreak/>
        <w:t>References</w:t>
      </w:r>
      <w:bookmarkEnd w:id="35"/>
    </w:p>
    <w:p w14:paraId="5E0CCF1F" w14:textId="13788E39"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ACCA (no date) </w:t>
      </w:r>
      <w:r w:rsidRPr="00C30107">
        <w:rPr>
          <w:rFonts w:ascii="Times New Roman" w:hAnsi="Times New Roman" w:cs="Times New Roman"/>
          <w:i/>
          <w:iCs/>
          <w:sz w:val="24"/>
          <w:lang w:val="en-US"/>
        </w:rPr>
        <w:t>Working capital management</w:t>
      </w:r>
      <w:r w:rsidRPr="00C30107">
        <w:rPr>
          <w:rFonts w:ascii="Times New Roman" w:hAnsi="Times New Roman" w:cs="Times New Roman"/>
          <w:sz w:val="24"/>
          <w:lang w:val="en-US"/>
        </w:rPr>
        <w:t xml:space="preserve">. Available at: </w:t>
      </w:r>
      <w:hyperlink r:id="rId26" w:tgtFrame="_new" w:history="1">
        <w:r w:rsidRPr="00C30107">
          <w:rPr>
            <w:rStyle w:val="af2"/>
            <w:rFonts w:ascii="Times New Roman" w:hAnsi="Times New Roman" w:cs="Times New Roman"/>
            <w:sz w:val="24"/>
            <w:lang w:val="en-US"/>
          </w:rPr>
          <w:t>https://www.accaglobal.com/gb/en/student/exam</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support</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resources/fundamentals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exams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study</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resources/f9/technical</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articles/wcm.html</w:t>
        </w:r>
      </w:hyperlink>
      <w:r w:rsidRPr="00C30107">
        <w:rPr>
          <w:rFonts w:ascii="Times New Roman" w:hAnsi="Times New Roman" w:cs="Times New Roman"/>
          <w:sz w:val="24"/>
          <w:lang w:val="en-US"/>
        </w:rPr>
        <w:t xml:space="preserve"> (Accessed: 31 May 2026).</w:t>
      </w:r>
    </w:p>
    <w:p w14:paraId="2C72C18A" w14:textId="3598A8C6"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CFA Institute (2026) </w:t>
      </w:r>
      <w:r w:rsidRPr="00C30107">
        <w:rPr>
          <w:rFonts w:ascii="Times New Roman" w:hAnsi="Times New Roman" w:cs="Times New Roman"/>
          <w:i/>
          <w:iCs/>
          <w:sz w:val="24"/>
          <w:lang w:val="en-US"/>
        </w:rPr>
        <w:t>Financial analysis techniques</w:t>
      </w:r>
      <w:r w:rsidRPr="00C30107">
        <w:rPr>
          <w:rFonts w:ascii="Times New Roman" w:hAnsi="Times New Roman" w:cs="Times New Roman"/>
          <w:sz w:val="24"/>
          <w:lang w:val="en-US"/>
        </w:rPr>
        <w:t xml:space="preserve">. Available at: </w:t>
      </w:r>
      <w:hyperlink r:id="rId27" w:tgtFrame="_new" w:history="1">
        <w:r w:rsidRPr="00C30107">
          <w:rPr>
            <w:rStyle w:val="af2"/>
            <w:rFonts w:ascii="Times New Roman" w:hAnsi="Times New Roman" w:cs="Times New Roman"/>
            <w:sz w:val="24"/>
            <w:lang w:val="en-US"/>
          </w:rPr>
          <w:t>https://www.cfainstitute.org/insights/professional</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learning/refresher</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readings/2026/financial</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analysis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techniques</w:t>
        </w:r>
      </w:hyperlink>
      <w:r w:rsidRPr="00C30107">
        <w:rPr>
          <w:rFonts w:ascii="Times New Roman" w:hAnsi="Times New Roman" w:cs="Times New Roman"/>
          <w:sz w:val="24"/>
          <w:lang w:val="en-US"/>
        </w:rPr>
        <w:t xml:space="preserve"> (Accessed: 31 May 2026).</w:t>
      </w:r>
    </w:p>
    <w:p w14:paraId="4977867A"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CNOOC Limited (2021a) </w:t>
      </w:r>
      <w:r w:rsidRPr="00C30107">
        <w:rPr>
          <w:rFonts w:ascii="Times New Roman" w:hAnsi="Times New Roman" w:cs="Times New Roman"/>
          <w:i/>
          <w:iCs/>
          <w:sz w:val="24"/>
          <w:lang w:val="en-US"/>
        </w:rPr>
        <w:t>Annual Report 2020</w:t>
      </w:r>
      <w:r w:rsidRPr="00C30107">
        <w:rPr>
          <w:rFonts w:ascii="Times New Roman" w:hAnsi="Times New Roman" w:cs="Times New Roman"/>
          <w:sz w:val="24"/>
          <w:lang w:val="en-US"/>
        </w:rPr>
        <w:t xml:space="preserve">. Hong Kong: CNOOC Limited. Available at: </w:t>
      </w:r>
      <w:hyperlink r:id="rId28" w:tgtFrame="_new" w:history="1">
        <w:r w:rsidRPr="00C30107">
          <w:rPr>
            <w:rStyle w:val="af2"/>
            <w:rFonts w:ascii="Times New Roman" w:hAnsi="Times New Roman" w:cs="Times New Roman"/>
            <w:sz w:val="24"/>
            <w:lang w:val="en-US"/>
          </w:rPr>
          <w:t>https://www.cnoocltd.com/english/investorrelations/reports/annualreport/202409/P020240925659556694484.pdf</w:t>
        </w:r>
      </w:hyperlink>
      <w:r w:rsidRPr="00C30107">
        <w:rPr>
          <w:rFonts w:ascii="Times New Roman" w:hAnsi="Times New Roman" w:cs="Times New Roman"/>
          <w:sz w:val="24"/>
          <w:lang w:val="en-US"/>
        </w:rPr>
        <w:t xml:space="preserve"> (Accessed: 31 May 2026).</w:t>
      </w:r>
    </w:p>
    <w:p w14:paraId="096ECAC5"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CNOOC Limited (2021b) </w:t>
      </w:r>
      <w:r w:rsidRPr="00C30107">
        <w:rPr>
          <w:rFonts w:ascii="Times New Roman" w:hAnsi="Times New Roman" w:cs="Times New Roman"/>
          <w:i/>
          <w:iCs/>
          <w:sz w:val="24"/>
          <w:lang w:val="en-US"/>
        </w:rPr>
        <w:t>Environmental, Social and Governance Report 2020</w:t>
      </w:r>
      <w:r w:rsidRPr="00C30107">
        <w:rPr>
          <w:rFonts w:ascii="Times New Roman" w:hAnsi="Times New Roman" w:cs="Times New Roman"/>
          <w:sz w:val="24"/>
          <w:lang w:val="en-US"/>
        </w:rPr>
        <w:t xml:space="preserve">. Hong Kong: CNOOC Limited. Available at: </w:t>
      </w:r>
      <w:hyperlink r:id="rId29" w:tgtFrame="_new" w:history="1">
        <w:r w:rsidRPr="00C30107">
          <w:rPr>
            <w:rStyle w:val="af2"/>
            <w:rFonts w:ascii="Times New Roman" w:hAnsi="Times New Roman" w:cs="Times New Roman"/>
            <w:sz w:val="24"/>
            <w:lang w:val="en-US"/>
          </w:rPr>
          <w:t>https://www.cnoocltd.com/english/sustainability/environmentalsocialandgovernancereports/202409/P020240925661396771350.pdf</w:t>
        </w:r>
      </w:hyperlink>
      <w:r w:rsidRPr="00C30107">
        <w:rPr>
          <w:rFonts w:ascii="Times New Roman" w:hAnsi="Times New Roman" w:cs="Times New Roman"/>
          <w:sz w:val="24"/>
          <w:lang w:val="en-US"/>
        </w:rPr>
        <w:t xml:space="preserve"> (Accessed: 31 May 2026).</w:t>
      </w:r>
    </w:p>
    <w:p w14:paraId="7A658FE0"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CNOOC Limited (2022a) </w:t>
      </w:r>
      <w:r w:rsidRPr="00C30107">
        <w:rPr>
          <w:rFonts w:ascii="Times New Roman" w:hAnsi="Times New Roman" w:cs="Times New Roman"/>
          <w:i/>
          <w:iCs/>
          <w:sz w:val="24"/>
          <w:lang w:val="en-US"/>
        </w:rPr>
        <w:t>Annual Report 2021</w:t>
      </w:r>
      <w:r w:rsidRPr="00C30107">
        <w:rPr>
          <w:rFonts w:ascii="Times New Roman" w:hAnsi="Times New Roman" w:cs="Times New Roman"/>
          <w:sz w:val="24"/>
          <w:lang w:val="en-US"/>
        </w:rPr>
        <w:t xml:space="preserve">. Hong Kong: CNOOC Limited. Available at: </w:t>
      </w:r>
      <w:hyperlink r:id="rId30" w:tgtFrame="_new" w:history="1">
        <w:r w:rsidRPr="00C30107">
          <w:rPr>
            <w:rStyle w:val="af2"/>
            <w:rFonts w:ascii="Times New Roman" w:hAnsi="Times New Roman" w:cs="Times New Roman"/>
            <w:sz w:val="24"/>
            <w:lang w:val="en-US"/>
          </w:rPr>
          <w:t>https://www.cnoocltd.com/english/investorrelations/reports/annualreport/202409/P020240925659599448565.pdf</w:t>
        </w:r>
      </w:hyperlink>
      <w:r w:rsidRPr="00C30107">
        <w:rPr>
          <w:rFonts w:ascii="Times New Roman" w:hAnsi="Times New Roman" w:cs="Times New Roman"/>
          <w:sz w:val="24"/>
          <w:lang w:val="en-US"/>
        </w:rPr>
        <w:t xml:space="preserve"> (Accessed: 31 May 2026).</w:t>
      </w:r>
    </w:p>
    <w:p w14:paraId="254D79F0"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CNOOC Limited (2022b) </w:t>
      </w:r>
      <w:r w:rsidRPr="00C30107">
        <w:rPr>
          <w:rFonts w:ascii="Times New Roman" w:hAnsi="Times New Roman" w:cs="Times New Roman"/>
          <w:i/>
          <w:iCs/>
          <w:sz w:val="24"/>
          <w:lang w:val="en-US"/>
        </w:rPr>
        <w:t>Environmental, Social and Governance Report 2021</w:t>
      </w:r>
      <w:r w:rsidRPr="00C30107">
        <w:rPr>
          <w:rFonts w:ascii="Times New Roman" w:hAnsi="Times New Roman" w:cs="Times New Roman"/>
          <w:sz w:val="24"/>
          <w:lang w:val="en-US"/>
        </w:rPr>
        <w:t xml:space="preserve">. Hong Kong: CNOOC Limited. Available at: </w:t>
      </w:r>
      <w:hyperlink r:id="rId31" w:tgtFrame="_new" w:history="1">
        <w:r w:rsidRPr="00C30107">
          <w:rPr>
            <w:rStyle w:val="af2"/>
            <w:rFonts w:ascii="Times New Roman" w:hAnsi="Times New Roman" w:cs="Times New Roman"/>
            <w:sz w:val="24"/>
            <w:lang w:val="en-US"/>
          </w:rPr>
          <w:t>https://www.cnoocltd.com/english/sustainability/environmentalsocialandgovernancereports/202409/P020241216399987105594.pdf</w:t>
        </w:r>
      </w:hyperlink>
      <w:r w:rsidRPr="00C30107">
        <w:rPr>
          <w:rFonts w:ascii="Times New Roman" w:hAnsi="Times New Roman" w:cs="Times New Roman"/>
          <w:sz w:val="24"/>
          <w:lang w:val="en-US"/>
        </w:rPr>
        <w:t xml:space="preserve"> (Accessed: 31 May 2026).</w:t>
      </w:r>
    </w:p>
    <w:p w14:paraId="284BC5E1"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CNOOC Limited (2023a) </w:t>
      </w:r>
      <w:r w:rsidRPr="00C30107">
        <w:rPr>
          <w:rFonts w:ascii="Times New Roman" w:hAnsi="Times New Roman" w:cs="Times New Roman"/>
          <w:i/>
          <w:iCs/>
          <w:sz w:val="24"/>
          <w:lang w:val="en-US"/>
        </w:rPr>
        <w:t>Annual Report 2022</w:t>
      </w:r>
      <w:r w:rsidRPr="00C30107">
        <w:rPr>
          <w:rFonts w:ascii="Times New Roman" w:hAnsi="Times New Roman" w:cs="Times New Roman"/>
          <w:sz w:val="24"/>
          <w:lang w:val="en-US"/>
        </w:rPr>
        <w:t xml:space="preserve">. Hong Kong: CNOOC Limited. Available at: </w:t>
      </w:r>
      <w:hyperlink r:id="rId32" w:tgtFrame="_new" w:history="1">
        <w:r w:rsidRPr="00C30107">
          <w:rPr>
            <w:rStyle w:val="af2"/>
            <w:rFonts w:ascii="Times New Roman" w:hAnsi="Times New Roman" w:cs="Times New Roman"/>
            <w:sz w:val="24"/>
            <w:lang w:val="en-US"/>
          </w:rPr>
          <w:t>https://www.cnoocltd.com/english/investorrelations/reports/annualreport/202409/P020240925659649817016.pdf</w:t>
        </w:r>
      </w:hyperlink>
      <w:r w:rsidRPr="00C30107">
        <w:rPr>
          <w:rFonts w:ascii="Times New Roman" w:hAnsi="Times New Roman" w:cs="Times New Roman"/>
          <w:sz w:val="24"/>
          <w:lang w:val="en-US"/>
        </w:rPr>
        <w:t xml:space="preserve"> (Accessed: 31 May 2026).</w:t>
      </w:r>
    </w:p>
    <w:p w14:paraId="7DF30C78"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CNOOC Limited (2023b) </w:t>
      </w:r>
      <w:r w:rsidRPr="00C30107">
        <w:rPr>
          <w:rFonts w:ascii="Times New Roman" w:hAnsi="Times New Roman" w:cs="Times New Roman"/>
          <w:i/>
          <w:iCs/>
          <w:sz w:val="24"/>
          <w:lang w:val="en-US"/>
        </w:rPr>
        <w:t>Environmental, Social and Governance Report 2022</w:t>
      </w:r>
      <w:r w:rsidRPr="00C30107">
        <w:rPr>
          <w:rFonts w:ascii="Times New Roman" w:hAnsi="Times New Roman" w:cs="Times New Roman"/>
          <w:sz w:val="24"/>
          <w:lang w:val="en-US"/>
        </w:rPr>
        <w:t xml:space="preserve">. Hong Kong: CNOOC Limited. Available at: </w:t>
      </w:r>
      <w:hyperlink r:id="rId33" w:tgtFrame="_new" w:history="1">
        <w:r w:rsidRPr="00C30107">
          <w:rPr>
            <w:rStyle w:val="af2"/>
            <w:rFonts w:ascii="Times New Roman" w:hAnsi="Times New Roman" w:cs="Times New Roman"/>
            <w:sz w:val="24"/>
            <w:lang w:val="en-US"/>
          </w:rPr>
          <w:t>https://www.cnoocltd.com/english/sustainability/environmentalsocialandgovernancereports/202409/P020241216471641747961.pdf</w:t>
        </w:r>
      </w:hyperlink>
      <w:r w:rsidRPr="00C30107">
        <w:rPr>
          <w:rFonts w:ascii="Times New Roman" w:hAnsi="Times New Roman" w:cs="Times New Roman"/>
          <w:sz w:val="24"/>
          <w:lang w:val="en-US"/>
        </w:rPr>
        <w:t xml:space="preserve"> (Accessed: 31 May 2026).</w:t>
      </w:r>
    </w:p>
    <w:p w14:paraId="70325F96"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CNOOC Limited (2024a) </w:t>
      </w:r>
      <w:r w:rsidRPr="00C30107">
        <w:rPr>
          <w:rFonts w:ascii="Times New Roman" w:hAnsi="Times New Roman" w:cs="Times New Roman"/>
          <w:i/>
          <w:iCs/>
          <w:sz w:val="24"/>
          <w:lang w:val="en-US"/>
        </w:rPr>
        <w:t>Annual Report 2023</w:t>
      </w:r>
      <w:r w:rsidRPr="00C30107">
        <w:rPr>
          <w:rFonts w:ascii="Times New Roman" w:hAnsi="Times New Roman" w:cs="Times New Roman"/>
          <w:sz w:val="24"/>
          <w:lang w:val="en-US"/>
        </w:rPr>
        <w:t xml:space="preserve">. Hong Kong: CNOOC Limited. Available at: </w:t>
      </w:r>
      <w:hyperlink r:id="rId34" w:tgtFrame="_new" w:history="1">
        <w:r w:rsidRPr="00C30107">
          <w:rPr>
            <w:rStyle w:val="af2"/>
            <w:rFonts w:ascii="Times New Roman" w:hAnsi="Times New Roman" w:cs="Times New Roman"/>
            <w:sz w:val="24"/>
            <w:lang w:val="en-US"/>
          </w:rPr>
          <w:t>https://www.cnoocltd.com/english/investorrelations/reports/annualreport/202409/P020240925659674329475.pdf</w:t>
        </w:r>
      </w:hyperlink>
      <w:r w:rsidRPr="00C30107">
        <w:rPr>
          <w:rFonts w:ascii="Times New Roman" w:hAnsi="Times New Roman" w:cs="Times New Roman"/>
          <w:sz w:val="24"/>
          <w:lang w:val="en-US"/>
        </w:rPr>
        <w:t xml:space="preserve"> (Accessed: 31 May 2026).</w:t>
      </w:r>
    </w:p>
    <w:p w14:paraId="5789F168"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CNOOC Limited (2024b) </w:t>
      </w:r>
      <w:r w:rsidRPr="00C30107">
        <w:rPr>
          <w:rFonts w:ascii="Times New Roman" w:hAnsi="Times New Roman" w:cs="Times New Roman"/>
          <w:i/>
          <w:iCs/>
          <w:sz w:val="24"/>
          <w:lang w:val="en-US"/>
        </w:rPr>
        <w:t>Environmental, Social and Governance Report 2023</w:t>
      </w:r>
      <w:r w:rsidRPr="00C30107">
        <w:rPr>
          <w:rFonts w:ascii="Times New Roman" w:hAnsi="Times New Roman" w:cs="Times New Roman"/>
          <w:sz w:val="24"/>
          <w:lang w:val="en-US"/>
        </w:rPr>
        <w:t xml:space="preserve">. Hong Kong: CNOOC Limited. Available at: </w:t>
      </w:r>
      <w:hyperlink r:id="rId35" w:tgtFrame="_new" w:history="1">
        <w:r w:rsidRPr="00C30107">
          <w:rPr>
            <w:rStyle w:val="af2"/>
            <w:rFonts w:ascii="Times New Roman" w:hAnsi="Times New Roman" w:cs="Times New Roman"/>
            <w:sz w:val="24"/>
            <w:lang w:val="en-US"/>
          </w:rPr>
          <w:t>https://www.cnoocltd.com/english/sustainability/environmentalsocialandgovernancereports/202409/P020241216473769449925.pdf</w:t>
        </w:r>
      </w:hyperlink>
      <w:r w:rsidRPr="00C30107">
        <w:rPr>
          <w:rFonts w:ascii="Times New Roman" w:hAnsi="Times New Roman" w:cs="Times New Roman"/>
          <w:sz w:val="24"/>
          <w:lang w:val="en-US"/>
        </w:rPr>
        <w:t xml:space="preserve"> (Accessed: 31 May 2026).</w:t>
      </w:r>
    </w:p>
    <w:p w14:paraId="61FEFC9E"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CNOOC Limited (2025a) </w:t>
      </w:r>
      <w:r w:rsidRPr="00C30107">
        <w:rPr>
          <w:rFonts w:ascii="Times New Roman" w:hAnsi="Times New Roman" w:cs="Times New Roman"/>
          <w:i/>
          <w:iCs/>
          <w:sz w:val="24"/>
          <w:lang w:val="en-US"/>
        </w:rPr>
        <w:t>Annual Report 2024</w:t>
      </w:r>
      <w:r w:rsidRPr="00C30107">
        <w:rPr>
          <w:rFonts w:ascii="Times New Roman" w:hAnsi="Times New Roman" w:cs="Times New Roman"/>
          <w:sz w:val="24"/>
          <w:lang w:val="en-US"/>
        </w:rPr>
        <w:t xml:space="preserve">. Hong Kong: CNOOC Limited. Available at: </w:t>
      </w:r>
      <w:hyperlink r:id="rId36" w:tgtFrame="_new" w:history="1">
        <w:r w:rsidRPr="00C30107">
          <w:rPr>
            <w:rStyle w:val="af2"/>
            <w:rFonts w:ascii="Times New Roman" w:hAnsi="Times New Roman" w:cs="Times New Roman"/>
            <w:sz w:val="24"/>
            <w:lang w:val="en-US"/>
          </w:rPr>
          <w:t>https://www.cnoocltd.com/english/investorrelations/reports/annualreport/202504/P020250408585333246566.pdf</w:t>
        </w:r>
      </w:hyperlink>
      <w:r w:rsidRPr="00C30107">
        <w:rPr>
          <w:rFonts w:ascii="Times New Roman" w:hAnsi="Times New Roman" w:cs="Times New Roman"/>
          <w:sz w:val="24"/>
          <w:lang w:val="en-US"/>
        </w:rPr>
        <w:t xml:space="preserve"> (Accessed: 31 May 2026).</w:t>
      </w:r>
    </w:p>
    <w:p w14:paraId="0E2E3170"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CNOOC Limited (2025b) </w:t>
      </w:r>
      <w:r w:rsidRPr="00C30107">
        <w:rPr>
          <w:rFonts w:ascii="Times New Roman" w:hAnsi="Times New Roman" w:cs="Times New Roman"/>
          <w:i/>
          <w:iCs/>
          <w:sz w:val="24"/>
          <w:lang w:val="en-US"/>
        </w:rPr>
        <w:t>Environmental, Social and Governance Report 2024</w:t>
      </w:r>
      <w:r w:rsidRPr="00C30107">
        <w:rPr>
          <w:rFonts w:ascii="Times New Roman" w:hAnsi="Times New Roman" w:cs="Times New Roman"/>
          <w:sz w:val="24"/>
          <w:lang w:val="en-US"/>
        </w:rPr>
        <w:t xml:space="preserve">. Hong Kong: CNOOC Limited. Available at: </w:t>
      </w:r>
      <w:hyperlink r:id="rId37" w:tgtFrame="_new" w:history="1">
        <w:r w:rsidRPr="00C30107">
          <w:rPr>
            <w:rStyle w:val="af2"/>
            <w:rFonts w:ascii="Times New Roman" w:hAnsi="Times New Roman" w:cs="Times New Roman"/>
            <w:sz w:val="24"/>
            <w:lang w:val="en-US"/>
          </w:rPr>
          <w:t>https://www.cnoocltd.com/english/sustainability/environmentalsocialandgovernancereports/202504/P020250408542745334285.pdf</w:t>
        </w:r>
      </w:hyperlink>
      <w:r w:rsidRPr="00C30107">
        <w:rPr>
          <w:rFonts w:ascii="Times New Roman" w:hAnsi="Times New Roman" w:cs="Times New Roman"/>
          <w:sz w:val="24"/>
          <w:lang w:val="en-US"/>
        </w:rPr>
        <w:t xml:space="preserve"> (Accessed: 31 May 2026).</w:t>
      </w:r>
    </w:p>
    <w:p w14:paraId="1D2B48B7" w14:textId="73600C0F"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Global Reporting Initiative </w:t>
      </w:r>
      <w:r w:rsidR="009B506D">
        <w:rPr>
          <w:rFonts w:ascii="Times New Roman" w:hAnsi="Times New Roman" w:cs="Times New Roman" w:hint="eastAsia"/>
          <w:sz w:val="24"/>
          <w:lang w:val="en-US"/>
        </w:rPr>
        <w:t xml:space="preserve">(GRI) </w:t>
      </w:r>
      <w:r w:rsidRPr="00C30107">
        <w:rPr>
          <w:rFonts w:ascii="Times New Roman" w:hAnsi="Times New Roman" w:cs="Times New Roman"/>
          <w:sz w:val="24"/>
          <w:lang w:val="en-US"/>
        </w:rPr>
        <w:t xml:space="preserve">(2023) </w:t>
      </w:r>
      <w:r w:rsidRPr="00C30107">
        <w:rPr>
          <w:rFonts w:ascii="Times New Roman" w:hAnsi="Times New Roman" w:cs="Times New Roman"/>
          <w:i/>
          <w:iCs/>
          <w:sz w:val="24"/>
          <w:lang w:val="en-US"/>
        </w:rPr>
        <w:t>GRI Universal Standards</w:t>
      </w:r>
      <w:r w:rsidRPr="00C30107">
        <w:rPr>
          <w:rFonts w:ascii="Times New Roman" w:hAnsi="Times New Roman" w:cs="Times New Roman"/>
          <w:sz w:val="24"/>
          <w:lang w:val="en-US"/>
        </w:rPr>
        <w:t xml:space="preserve">. Available at: </w:t>
      </w:r>
      <w:hyperlink r:id="rId38" w:tgtFrame="_new" w:history="1">
        <w:r w:rsidRPr="00C30107">
          <w:rPr>
            <w:rStyle w:val="af2"/>
            <w:rFonts w:ascii="Times New Roman" w:hAnsi="Times New Roman" w:cs="Times New Roman"/>
            <w:sz w:val="24"/>
            <w:lang w:val="en-US"/>
          </w:rPr>
          <w:t>https://www.globalreporting.org/standards/standards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development/universal</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standards/</w:t>
        </w:r>
      </w:hyperlink>
      <w:r w:rsidRPr="00C30107">
        <w:rPr>
          <w:rFonts w:ascii="Times New Roman" w:hAnsi="Times New Roman" w:cs="Times New Roman"/>
          <w:sz w:val="24"/>
          <w:lang w:val="en-US"/>
        </w:rPr>
        <w:t xml:space="preserve"> (Accessed: 31 May 2026).</w:t>
      </w:r>
    </w:p>
    <w:p w14:paraId="209162B5" w14:textId="530E49C6"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IEA (2023) </w:t>
      </w:r>
      <w:r w:rsidRPr="00C30107">
        <w:rPr>
          <w:rFonts w:ascii="Times New Roman" w:hAnsi="Times New Roman" w:cs="Times New Roman"/>
          <w:i/>
          <w:iCs/>
          <w:sz w:val="24"/>
          <w:lang w:val="en-US"/>
        </w:rPr>
        <w:t>Emissions from Oil and Gas Operations in Net Zero Transitions</w:t>
      </w:r>
      <w:r w:rsidRPr="00C30107">
        <w:rPr>
          <w:rFonts w:ascii="Times New Roman" w:hAnsi="Times New Roman" w:cs="Times New Roman"/>
          <w:sz w:val="24"/>
          <w:lang w:val="en-US"/>
        </w:rPr>
        <w:t xml:space="preserve">. Paris: International Energy Agency. Available at: </w:t>
      </w:r>
      <w:hyperlink r:id="rId39" w:tgtFrame="_new" w:history="1">
        <w:r w:rsidRPr="00C30107">
          <w:rPr>
            <w:rStyle w:val="af2"/>
            <w:rFonts w:ascii="Times New Roman" w:hAnsi="Times New Roman" w:cs="Times New Roman"/>
            <w:sz w:val="24"/>
            <w:lang w:val="en-US"/>
          </w:rPr>
          <w:t>https://www.iea.org/reports/emissions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from</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oil</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and</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gas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operations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in</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net</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zero</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transitions</w:t>
        </w:r>
      </w:hyperlink>
      <w:r w:rsidRPr="00C30107">
        <w:rPr>
          <w:rFonts w:ascii="Times New Roman" w:hAnsi="Times New Roman" w:cs="Times New Roman"/>
          <w:sz w:val="24"/>
          <w:lang w:val="en-US"/>
        </w:rPr>
        <w:t xml:space="preserve"> (Accessed: 31 May 2026).</w:t>
      </w:r>
    </w:p>
    <w:p w14:paraId="04848583" w14:textId="478D509E"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IEA (2024) </w:t>
      </w:r>
      <w:r w:rsidRPr="00C30107">
        <w:rPr>
          <w:rFonts w:ascii="Times New Roman" w:hAnsi="Times New Roman" w:cs="Times New Roman"/>
          <w:i/>
          <w:iCs/>
          <w:sz w:val="24"/>
          <w:lang w:val="en-US"/>
        </w:rPr>
        <w:t>Oil 2024: Executive summary</w:t>
      </w:r>
      <w:r w:rsidRPr="00C30107">
        <w:rPr>
          <w:rFonts w:ascii="Times New Roman" w:hAnsi="Times New Roman" w:cs="Times New Roman"/>
          <w:sz w:val="24"/>
          <w:lang w:val="en-US"/>
        </w:rPr>
        <w:t xml:space="preserve">. Paris: International Energy Agency. Available at: </w:t>
      </w:r>
      <w:hyperlink r:id="rId40" w:tgtFrame="_new" w:history="1">
        <w:r w:rsidRPr="00C30107">
          <w:rPr>
            <w:rStyle w:val="af2"/>
            <w:rFonts w:ascii="Times New Roman" w:hAnsi="Times New Roman" w:cs="Times New Roman"/>
            <w:sz w:val="24"/>
            <w:lang w:val="en-US"/>
          </w:rPr>
          <w:t>https://www.iea.org/reports/oil</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2024/executive</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summary</w:t>
        </w:r>
      </w:hyperlink>
      <w:r w:rsidRPr="00C30107">
        <w:rPr>
          <w:rFonts w:ascii="Times New Roman" w:hAnsi="Times New Roman" w:cs="Times New Roman"/>
          <w:sz w:val="24"/>
          <w:lang w:val="en-US"/>
        </w:rPr>
        <w:t xml:space="preserve"> (Accessed: 31 May 2026).</w:t>
      </w:r>
    </w:p>
    <w:p w14:paraId="6B029834" w14:textId="274607DE"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IEA (2025) </w:t>
      </w:r>
      <w:r w:rsidRPr="00C30107">
        <w:rPr>
          <w:rFonts w:ascii="Times New Roman" w:hAnsi="Times New Roman" w:cs="Times New Roman"/>
          <w:i/>
          <w:iCs/>
          <w:sz w:val="24"/>
          <w:lang w:val="en-US"/>
        </w:rPr>
        <w:t>Oil demand for fuels in China has reached a plateau</w:t>
      </w:r>
      <w:r w:rsidRPr="00C30107">
        <w:rPr>
          <w:rFonts w:ascii="Times New Roman" w:hAnsi="Times New Roman" w:cs="Times New Roman"/>
          <w:sz w:val="24"/>
          <w:lang w:val="en-US"/>
        </w:rPr>
        <w:t xml:space="preserve">. Paris: International Energy Agency. Available at: </w:t>
      </w:r>
      <w:hyperlink r:id="rId41" w:tgtFrame="_new" w:history="1">
        <w:r w:rsidRPr="00C30107">
          <w:rPr>
            <w:rStyle w:val="af2"/>
            <w:rFonts w:ascii="Times New Roman" w:hAnsi="Times New Roman" w:cs="Times New Roman"/>
            <w:sz w:val="24"/>
            <w:lang w:val="en-US"/>
          </w:rPr>
          <w:t>https://www.iea.org/commentaries/oil</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demand</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for</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fuels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in</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china</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has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lastRenderedPageBreak/>
          <w:t>reached</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a</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plateau</w:t>
        </w:r>
      </w:hyperlink>
      <w:r w:rsidRPr="00C30107">
        <w:rPr>
          <w:rFonts w:ascii="Times New Roman" w:hAnsi="Times New Roman" w:cs="Times New Roman"/>
          <w:sz w:val="24"/>
          <w:lang w:val="en-US"/>
        </w:rPr>
        <w:t xml:space="preserve"> (Accessed: 31 May 2026).</w:t>
      </w:r>
    </w:p>
    <w:p w14:paraId="5D95E3C5" w14:textId="18C3999B"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IFRS Foundation (2023) </w:t>
      </w:r>
      <w:r w:rsidRPr="00C30107">
        <w:rPr>
          <w:rFonts w:ascii="Times New Roman" w:hAnsi="Times New Roman" w:cs="Times New Roman"/>
          <w:i/>
          <w:iCs/>
          <w:sz w:val="24"/>
          <w:lang w:val="en-US"/>
        </w:rPr>
        <w:t>IFRS S2 Climate</w:t>
      </w:r>
      <w:r w:rsidR="00393F7D">
        <w:rPr>
          <w:rFonts w:ascii="Times New Roman" w:hAnsi="Times New Roman" w:cs="Times New Roman"/>
          <w:i/>
          <w:iCs/>
          <w:sz w:val="24"/>
          <w:lang w:val="en-US"/>
        </w:rPr>
        <w:t>-</w:t>
      </w:r>
      <w:r w:rsidRPr="00C30107">
        <w:rPr>
          <w:rFonts w:ascii="Times New Roman" w:hAnsi="Times New Roman" w:cs="Times New Roman"/>
          <w:i/>
          <w:iCs/>
          <w:sz w:val="24"/>
          <w:lang w:val="en-US"/>
        </w:rPr>
        <w:t>related Disclosures</w:t>
      </w:r>
      <w:r w:rsidRPr="00C30107">
        <w:rPr>
          <w:rFonts w:ascii="Times New Roman" w:hAnsi="Times New Roman" w:cs="Times New Roman"/>
          <w:sz w:val="24"/>
          <w:lang w:val="en-US"/>
        </w:rPr>
        <w:t xml:space="preserve">. London: IFRS Foundation. Available at: </w:t>
      </w:r>
      <w:hyperlink r:id="rId42" w:tgtFrame="_new" w:history="1">
        <w:r w:rsidRPr="00C30107">
          <w:rPr>
            <w:rStyle w:val="af2"/>
            <w:rFonts w:ascii="Times New Roman" w:hAnsi="Times New Roman" w:cs="Times New Roman"/>
            <w:sz w:val="24"/>
            <w:lang w:val="en-US"/>
          </w:rPr>
          <w:t>https://www.ifrs.org/content/dam/ifrs/publications/pdf</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standards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issb/english/2023/issued/part</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a/issb</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2023</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a</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ifrs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s2</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climate</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related</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disclosures.pdf</w:t>
        </w:r>
      </w:hyperlink>
      <w:r w:rsidRPr="00C30107">
        <w:rPr>
          <w:rFonts w:ascii="Times New Roman" w:hAnsi="Times New Roman" w:cs="Times New Roman"/>
          <w:sz w:val="24"/>
          <w:lang w:val="en-US"/>
        </w:rPr>
        <w:t xml:space="preserve"> (Accessed: 31 May 2026).</w:t>
      </w:r>
    </w:p>
    <w:p w14:paraId="5A4FF786" w14:textId="5B4C22E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International Finance Corporation </w:t>
      </w:r>
      <w:r w:rsidR="00F44889">
        <w:rPr>
          <w:rFonts w:ascii="Times New Roman" w:hAnsi="Times New Roman" w:cs="Times New Roman" w:hint="eastAsia"/>
          <w:sz w:val="24"/>
          <w:lang w:val="en-US"/>
        </w:rPr>
        <w:t xml:space="preserve">(IFC) </w:t>
      </w:r>
      <w:r w:rsidRPr="00C30107">
        <w:rPr>
          <w:rFonts w:ascii="Times New Roman" w:hAnsi="Times New Roman" w:cs="Times New Roman"/>
          <w:sz w:val="24"/>
          <w:lang w:val="en-US"/>
        </w:rPr>
        <w:t xml:space="preserve">(2012) </w:t>
      </w:r>
      <w:r w:rsidRPr="00C30107">
        <w:rPr>
          <w:rFonts w:ascii="Times New Roman" w:hAnsi="Times New Roman" w:cs="Times New Roman"/>
          <w:i/>
          <w:iCs/>
          <w:sz w:val="24"/>
          <w:lang w:val="en-US"/>
        </w:rPr>
        <w:t>Performance Standard 1: Assessment and Management of Environmental and Social Risks and Impacts</w:t>
      </w:r>
      <w:r w:rsidRPr="00C30107">
        <w:rPr>
          <w:rFonts w:ascii="Times New Roman" w:hAnsi="Times New Roman" w:cs="Times New Roman"/>
          <w:sz w:val="24"/>
          <w:lang w:val="en-US"/>
        </w:rPr>
        <w:t xml:space="preserve">. Washington, DC: International Finance Corporation. Available at: </w:t>
      </w:r>
      <w:hyperlink r:id="rId43" w:tgtFrame="_new" w:history="1">
        <w:r w:rsidRPr="00C30107">
          <w:rPr>
            <w:rStyle w:val="af2"/>
            <w:rFonts w:ascii="Times New Roman" w:hAnsi="Times New Roman" w:cs="Times New Roman"/>
            <w:sz w:val="24"/>
            <w:lang w:val="en-US"/>
          </w:rPr>
          <w:t>https://www.ifc.org/content/dam/ifc/doc/2010/2012</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ifc</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performance</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standard</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1</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en.pdf</w:t>
        </w:r>
      </w:hyperlink>
      <w:r w:rsidRPr="00C30107">
        <w:rPr>
          <w:rFonts w:ascii="Times New Roman" w:hAnsi="Times New Roman" w:cs="Times New Roman"/>
          <w:sz w:val="24"/>
          <w:lang w:val="en-US"/>
        </w:rPr>
        <w:t xml:space="preserve"> (Accessed: 31 May 2026).</w:t>
      </w:r>
    </w:p>
    <w:p w14:paraId="48D7AC4A" w14:textId="009E9A7D"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International Labour Organization (2022) </w:t>
      </w:r>
      <w:r w:rsidRPr="00C30107">
        <w:rPr>
          <w:rFonts w:ascii="Times New Roman" w:hAnsi="Times New Roman" w:cs="Times New Roman"/>
          <w:i/>
          <w:iCs/>
          <w:sz w:val="24"/>
          <w:lang w:val="en-US"/>
        </w:rPr>
        <w:t>A safe and healthy working environment is a fundamental principle and right at work</w:t>
      </w:r>
      <w:r w:rsidRPr="00C30107">
        <w:rPr>
          <w:rFonts w:ascii="Times New Roman" w:hAnsi="Times New Roman" w:cs="Times New Roman"/>
          <w:sz w:val="24"/>
          <w:lang w:val="en-US"/>
        </w:rPr>
        <w:t xml:space="preserve">. Available at: </w:t>
      </w:r>
      <w:hyperlink r:id="rId44" w:tgtFrame="_new" w:history="1">
        <w:r w:rsidRPr="00C30107">
          <w:rPr>
            <w:rStyle w:val="af2"/>
            <w:rFonts w:ascii="Times New Roman" w:hAnsi="Times New Roman" w:cs="Times New Roman"/>
            <w:sz w:val="24"/>
            <w:lang w:val="en-US"/>
          </w:rPr>
          <w:t>https://www.ilo.org/topics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and</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sectors/safety</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and</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health</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work/safe</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and</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healthy</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working</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environment</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fundamental</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principle</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and</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right</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work</w:t>
        </w:r>
      </w:hyperlink>
      <w:r w:rsidRPr="00C30107">
        <w:rPr>
          <w:rFonts w:ascii="Times New Roman" w:hAnsi="Times New Roman" w:cs="Times New Roman"/>
          <w:sz w:val="24"/>
          <w:lang w:val="en-US"/>
        </w:rPr>
        <w:t xml:space="preserve"> (Accessed: 31 May 2026).</w:t>
      </w:r>
    </w:p>
    <w:p w14:paraId="14F98035" w14:textId="1833E943"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McKinsey &amp; Company (2024) </w:t>
      </w:r>
      <w:r w:rsidRPr="00C30107">
        <w:rPr>
          <w:rFonts w:ascii="Times New Roman" w:hAnsi="Times New Roman" w:cs="Times New Roman"/>
          <w:i/>
          <w:iCs/>
          <w:sz w:val="24"/>
          <w:lang w:val="en-US"/>
        </w:rPr>
        <w:t>The State of Energy Organizations 2024</w:t>
      </w:r>
      <w:r w:rsidRPr="00C30107">
        <w:rPr>
          <w:rFonts w:ascii="Times New Roman" w:hAnsi="Times New Roman" w:cs="Times New Roman"/>
          <w:sz w:val="24"/>
          <w:lang w:val="en-US"/>
        </w:rPr>
        <w:t xml:space="preserve">. Available at: </w:t>
      </w:r>
      <w:hyperlink r:id="rId45" w:tgtFrame="_new" w:history="1">
        <w:r w:rsidRPr="00C30107">
          <w:rPr>
            <w:rStyle w:val="af2"/>
            <w:rFonts w:ascii="Times New Roman" w:hAnsi="Times New Roman" w:cs="Times New Roman"/>
            <w:sz w:val="24"/>
            <w:lang w:val="en-US"/>
          </w:rPr>
          <w:t>https://www.mckinsey.com/~/media/mckinsey/industries/oil%20and%20gas/our%20insights/the%20state%20of%20energy%20organizations%202024/the</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state</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of</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energy</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organizations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2024.pdf</w:t>
        </w:r>
      </w:hyperlink>
      <w:r w:rsidRPr="00C30107">
        <w:rPr>
          <w:rFonts w:ascii="Times New Roman" w:hAnsi="Times New Roman" w:cs="Times New Roman"/>
          <w:sz w:val="24"/>
          <w:lang w:val="en-US"/>
        </w:rPr>
        <w:t xml:space="preserve"> (Accessed: 31 May 2026).</w:t>
      </w:r>
    </w:p>
    <w:p w14:paraId="42B82541" w14:textId="3E9FE6AD"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OECD (2022) </w:t>
      </w:r>
      <w:r w:rsidRPr="00C30107">
        <w:rPr>
          <w:rFonts w:ascii="Times New Roman" w:hAnsi="Times New Roman" w:cs="Times New Roman"/>
          <w:i/>
          <w:iCs/>
          <w:sz w:val="24"/>
          <w:lang w:val="en-US"/>
        </w:rPr>
        <w:t>Enhancing Gender Diversity on Boards and in Senior Management of Listed Companies</w:t>
      </w:r>
      <w:r w:rsidRPr="00C30107">
        <w:rPr>
          <w:rFonts w:ascii="Times New Roman" w:hAnsi="Times New Roman" w:cs="Times New Roman"/>
          <w:sz w:val="24"/>
          <w:lang w:val="en-US"/>
        </w:rPr>
        <w:t xml:space="preserve">. Paris: OECD Publishing. Available at: </w:t>
      </w:r>
      <w:hyperlink r:id="rId46" w:tgtFrame="_new" w:history="1">
        <w:r w:rsidRPr="00C30107">
          <w:rPr>
            <w:rStyle w:val="af2"/>
            <w:rFonts w:ascii="Times New Roman" w:hAnsi="Times New Roman" w:cs="Times New Roman"/>
            <w:sz w:val="24"/>
            <w:lang w:val="en-US"/>
          </w:rPr>
          <w:t>https://www.oecd.org/content/dam/oecd/en/publications/reports/2022/09/enhancing</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gender</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diversity</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on</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boards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and</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in</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senior</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management</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of</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listed</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companies_50213bfe/4f7ca695</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en.pdf</w:t>
        </w:r>
      </w:hyperlink>
      <w:r w:rsidRPr="00C30107">
        <w:rPr>
          <w:rFonts w:ascii="Times New Roman" w:hAnsi="Times New Roman" w:cs="Times New Roman"/>
          <w:sz w:val="24"/>
          <w:lang w:val="en-US"/>
        </w:rPr>
        <w:t xml:space="preserve"> (Accessed: 31 May 2026).</w:t>
      </w:r>
    </w:p>
    <w:p w14:paraId="2D7A0AB4" w14:textId="35855BED"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OECD (2024) </w:t>
      </w:r>
      <w:r w:rsidRPr="00C30107">
        <w:rPr>
          <w:rFonts w:ascii="Times New Roman" w:hAnsi="Times New Roman" w:cs="Times New Roman"/>
          <w:i/>
          <w:iCs/>
          <w:sz w:val="24"/>
          <w:lang w:val="en-US"/>
        </w:rPr>
        <w:t>OECD Guidelines on Corporate Governance of State</w:t>
      </w:r>
      <w:r w:rsidR="00393F7D">
        <w:rPr>
          <w:rFonts w:ascii="Times New Roman" w:hAnsi="Times New Roman" w:cs="Times New Roman"/>
          <w:i/>
          <w:iCs/>
          <w:sz w:val="24"/>
          <w:lang w:val="en-US"/>
        </w:rPr>
        <w:t>-</w:t>
      </w:r>
      <w:r w:rsidRPr="00C30107">
        <w:rPr>
          <w:rFonts w:ascii="Times New Roman" w:hAnsi="Times New Roman" w:cs="Times New Roman"/>
          <w:i/>
          <w:iCs/>
          <w:sz w:val="24"/>
          <w:lang w:val="en-US"/>
        </w:rPr>
        <w:t>Owned Enterprises 2024</w:t>
      </w:r>
      <w:r w:rsidRPr="00C30107">
        <w:rPr>
          <w:rFonts w:ascii="Times New Roman" w:hAnsi="Times New Roman" w:cs="Times New Roman"/>
          <w:sz w:val="24"/>
          <w:lang w:val="en-US"/>
        </w:rPr>
        <w:t xml:space="preserve">. Paris: OECD Publishing. Available at: </w:t>
      </w:r>
      <w:hyperlink r:id="rId47" w:tgtFrame="_new" w:history="1">
        <w:r w:rsidRPr="00C30107">
          <w:rPr>
            <w:rStyle w:val="af2"/>
            <w:rFonts w:ascii="Times New Roman" w:hAnsi="Times New Roman" w:cs="Times New Roman"/>
            <w:sz w:val="24"/>
            <w:lang w:val="en-US"/>
          </w:rPr>
          <w:t>https://www.oecd.org/content/dam/oecd/en/publications/reports/2024/06/oecd</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guidelines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on</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corporate</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governance</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of</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state</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owned</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enterprises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2024_68fa05cd/18a24f43</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en.pdf</w:t>
        </w:r>
      </w:hyperlink>
      <w:r w:rsidRPr="00C30107">
        <w:rPr>
          <w:rFonts w:ascii="Times New Roman" w:hAnsi="Times New Roman" w:cs="Times New Roman"/>
          <w:sz w:val="24"/>
          <w:lang w:val="en-US"/>
        </w:rPr>
        <w:t xml:space="preserve"> (Accessed: 31 May 2026).</w:t>
      </w:r>
    </w:p>
    <w:p w14:paraId="3DF957EF" w14:textId="4E86EA46"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lastRenderedPageBreak/>
        <w:t xml:space="preserve">Principles for Responsible Investment </w:t>
      </w:r>
      <w:r w:rsidR="00F44889">
        <w:rPr>
          <w:rFonts w:ascii="Times New Roman" w:hAnsi="Times New Roman" w:cs="Times New Roman" w:hint="eastAsia"/>
          <w:sz w:val="24"/>
          <w:lang w:val="en-US"/>
        </w:rPr>
        <w:t xml:space="preserve">(PRI) </w:t>
      </w:r>
      <w:r w:rsidRPr="00C30107">
        <w:rPr>
          <w:rFonts w:ascii="Times New Roman" w:hAnsi="Times New Roman" w:cs="Times New Roman"/>
          <w:sz w:val="24"/>
          <w:lang w:val="en-US"/>
        </w:rPr>
        <w:t xml:space="preserve">(no date) </w:t>
      </w:r>
      <w:r w:rsidRPr="00C30107">
        <w:rPr>
          <w:rFonts w:ascii="Times New Roman" w:hAnsi="Times New Roman" w:cs="Times New Roman"/>
          <w:i/>
          <w:iCs/>
          <w:sz w:val="24"/>
          <w:lang w:val="en-US"/>
        </w:rPr>
        <w:t>What are the Principles for Responsible Investment?</w:t>
      </w:r>
      <w:r w:rsidRPr="00C30107">
        <w:rPr>
          <w:rFonts w:ascii="Times New Roman" w:hAnsi="Times New Roman" w:cs="Times New Roman"/>
          <w:sz w:val="24"/>
          <w:lang w:val="en-US"/>
        </w:rPr>
        <w:t xml:space="preserve"> Available at: </w:t>
      </w:r>
      <w:hyperlink r:id="rId48" w:tgtFrame="_new" w:history="1">
        <w:r w:rsidRPr="00C30107">
          <w:rPr>
            <w:rStyle w:val="af2"/>
            <w:rFonts w:ascii="Times New Roman" w:hAnsi="Times New Roman" w:cs="Times New Roman"/>
            <w:sz w:val="24"/>
            <w:lang w:val="en-US"/>
          </w:rPr>
          <w:t>https://www.unpri.org/about</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PRI/what</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principles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for</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responsible</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investment</w:t>
        </w:r>
      </w:hyperlink>
      <w:r w:rsidRPr="00C30107">
        <w:rPr>
          <w:rFonts w:ascii="Times New Roman" w:hAnsi="Times New Roman" w:cs="Times New Roman"/>
          <w:sz w:val="24"/>
          <w:lang w:val="en-US"/>
        </w:rPr>
        <w:t xml:space="preserve"> (Accessed: 31 May 2026).</w:t>
      </w:r>
    </w:p>
    <w:p w14:paraId="21AF3CAD" w14:textId="68C8BA8E"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Reuters (2025a) ‘China</w:t>
      </w:r>
      <w:r w:rsidR="00011E46">
        <w:rPr>
          <w:rFonts w:ascii="Times New Roman" w:hAnsi="Times New Roman" w:cs="Times New Roman"/>
          <w:sz w:val="24"/>
          <w:lang w:val="en-US"/>
        </w:rPr>
        <w:t>’</w:t>
      </w:r>
      <w:r w:rsidRPr="00C30107">
        <w:rPr>
          <w:rFonts w:ascii="Times New Roman" w:hAnsi="Times New Roman" w:cs="Times New Roman"/>
          <w:sz w:val="24"/>
          <w:lang w:val="en-US"/>
        </w:rPr>
        <w:t>s fuel demand may have passed its peak, IEA says</w:t>
      </w:r>
      <w:r w:rsidR="00011E46">
        <w:rPr>
          <w:rFonts w:ascii="Times New Roman" w:hAnsi="Times New Roman" w:cs="Times New Roman"/>
          <w:sz w:val="24"/>
          <w:lang w:val="en-US"/>
        </w:rPr>
        <w:t>’</w:t>
      </w:r>
      <w:r w:rsidRPr="00C30107">
        <w:rPr>
          <w:rFonts w:ascii="Times New Roman" w:hAnsi="Times New Roman" w:cs="Times New Roman"/>
          <w:sz w:val="24"/>
          <w:lang w:val="en-US"/>
        </w:rPr>
        <w:t xml:space="preserve">, </w:t>
      </w:r>
      <w:r w:rsidRPr="00C30107">
        <w:rPr>
          <w:rFonts w:ascii="Times New Roman" w:hAnsi="Times New Roman" w:cs="Times New Roman"/>
          <w:i/>
          <w:iCs/>
          <w:sz w:val="24"/>
          <w:lang w:val="en-US"/>
        </w:rPr>
        <w:t>Reuters</w:t>
      </w:r>
      <w:r w:rsidRPr="00C30107">
        <w:rPr>
          <w:rFonts w:ascii="Times New Roman" w:hAnsi="Times New Roman" w:cs="Times New Roman"/>
          <w:sz w:val="24"/>
          <w:lang w:val="en-US"/>
        </w:rPr>
        <w:t xml:space="preserve">, 13 February. Available at: </w:t>
      </w:r>
      <w:hyperlink r:id="rId49" w:tgtFrame="_new" w:history="1">
        <w:r w:rsidRPr="00C30107">
          <w:rPr>
            <w:rStyle w:val="af2"/>
            <w:rFonts w:ascii="Times New Roman" w:hAnsi="Times New Roman" w:cs="Times New Roman"/>
            <w:sz w:val="24"/>
            <w:lang w:val="en-US"/>
          </w:rPr>
          <w:t>https://www.reuters.com/business/energy/chinas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fuel</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demand</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may</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have</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passed</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its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peak</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iea</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says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2025</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02</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13/</w:t>
        </w:r>
      </w:hyperlink>
      <w:r w:rsidRPr="00C30107">
        <w:rPr>
          <w:rFonts w:ascii="Times New Roman" w:hAnsi="Times New Roman" w:cs="Times New Roman"/>
          <w:sz w:val="24"/>
          <w:lang w:val="en-US"/>
        </w:rPr>
        <w:t xml:space="preserve"> (Accessed: 31 May 2026).</w:t>
      </w:r>
    </w:p>
    <w:p w14:paraId="5AB76BF3" w14:textId="116930ED"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Reuters (2025b) ‘Sinopec</w:t>
      </w:r>
      <w:r w:rsidR="00011E46">
        <w:rPr>
          <w:rFonts w:ascii="Times New Roman" w:hAnsi="Times New Roman" w:cs="Times New Roman"/>
          <w:sz w:val="24"/>
          <w:lang w:val="en-US"/>
        </w:rPr>
        <w:t>’</w:t>
      </w:r>
      <w:r w:rsidRPr="00C30107">
        <w:rPr>
          <w:rFonts w:ascii="Times New Roman" w:hAnsi="Times New Roman" w:cs="Times New Roman"/>
          <w:sz w:val="24"/>
          <w:lang w:val="en-US"/>
        </w:rPr>
        <w:t>s 2024 net profit drops 16.8% due to falling oil prices, NEVs</w:t>
      </w:r>
      <w:r w:rsidR="00011E46">
        <w:rPr>
          <w:rFonts w:ascii="Times New Roman" w:hAnsi="Times New Roman" w:cs="Times New Roman"/>
          <w:sz w:val="24"/>
          <w:lang w:val="en-US"/>
        </w:rPr>
        <w:t>’</w:t>
      </w:r>
      <w:r w:rsidRPr="00C30107">
        <w:rPr>
          <w:rFonts w:ascii="Times New Roman" w:hAnsi="Times New Roman" w:cs="Times New Roman"/>
          <w:sz w:val="24"/>
          <w:lang w:val="en-US"/>
        </w:rPr>
        <w:t xml:space="preserve">, </w:t>
      </w:r>
      <w:r w:rsidRPr="00C30107">
        <w:rPr>
          <w:rFonts w:ascii="Times New Roman" w:hAnsi="Times New Roman" w:cs="Times New Roman"/>
          <w:i/>
          <w:iCs/>
          <w:sz w:val="24"/>
          <w:lang w:val="en-US"/>
        </w:rPr>
        <w:t>Reuters</w:t>
      </w:r>
      <w:r w:rsidRPr="00C30107">
        <w:rPr>
          <w:rFonts w:ascii="Times New Roman" w:hAnsi="Times New Roman" w:cs="Times New Roman"/>
          <w:sz w:val="24"/>
          <w:lang w:val="en-US"/>
        </w:rPr>
        <w:t xml:space="preserve">, 24 March. Available at: </w:t>
      </w:r>
      <w:hyperlink r:id="rId50" w:tgtFrame="_new" w:history="1">
        <w:r w:rsidRPr="00C30107">
          <w:rPr>
            <w:rStyle w:val="af2"/>
            <w:rFonts w:ascii="Times New Roman" w:hAnsi="Times New Roman" w:cs="Times New Roman"/>
            <w:sz w:val="24"/>
            <w:lang w:val="en-US"/>
          </w:rPr>
          <w:t>https://www.reuters.com/business/energy/sinopecs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2024</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net</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profit</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plunges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168</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due</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falling</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oil</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prices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nevs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2025</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03</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23/</w:t>
        </w:r>
      </w:hyperlink>
      <w:r w:rsidRPr="00C30107">
        <w:rPr>
          <w:rFonts w:ascii="Times New Roman" w:hAnsi="Times New Roman" w:cs="Times New Roman"/>
          <w:sz w:val="24"/>
          <w:lang w:val="en-US"/>
        </w:rPr>
        <w:t xml:space="preserve"> (Accessed: 31 May 2026).</w:t>
      </w:r>
    </w:p>
    <w:p w14:paraId="49B51E78"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Sinopec Corp. (2021a) </w:t>
      </w:r>
      <w:r w:rsidRPr="00C30107">
        <w:rPr>
          <w:rFonts w:ascii="Times New Roman" w:hAnsi="Times New Roman" w:cs="Times New Roman"/>
          <w:i/>
          <w:iCs/>
          <w:sz w:val="24"/>
          <w:lang w:val="en-US"/>
        </w:rPr>
        <w:t>2020 Annual Report and Accounts</w:t>
      </w:r>
      <w:r w:rsidRPr="00C30107">
        <w:rPr>
          <w:rFonts w:ascii="Times New Roman" w:hAnsi="Times New Roman" w:cs="Times New Roman"/>
          <w:sz w:val="24"/>
          <w:lang w:val="en-US"/>
        </w:rPr>
        <w:t xml:space="preserve">. Beijing: China Petroleum &amp; Chemical Corporation. Available at: </w:t>
      </w:r>
      <w:hyperlink r:id="rId51" w:tgtFrame="_new" w:history="1">
        <w:r w:rsidRPr="00C30107">
          <w:rPr>
            <w:rStyle w:val="af2"/>
            <w:rFonts w:ascii="Times New Roman" w:hAnsi="Times New Roman" w:cs="Times New Roman"/>
            <w:sz w:val="24"/>
            <w:lang w:val="en-US"/>
          </w:rPr>
          <w:t>http://www.sinopec.com/listco/en/annualreport/index.shtml</w:t>
        </w:r>
      </w:hyperlink>
      <w:r w:rsidRPr="00C30107">
        <w:rPr>
          <w:rFonts w:ascii="Times New Roman" w:hAnsi="Times New Roman" w:cs="Times New Roman"/>
          <w:sz w:val="24"/>
          <w:lang w:val="en-US"/>
        </w:rPr>
        <w:t xml:space="preserve"> (Accessed: 31 May 2026).</w:t>
      </w:r>
    </w:p>
    <w:p w14:paraId="445ECF97"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Sinopec Corp. (2021b) </w:t>
      </w:r>
      <w:r w:rsidRPr="00C30107">
        <w:rPr>
          <w:rFonts w:ascii="Times New Roman" w:hAnsi="Times New Roman" w:cs="Times New Roman"/>
          <w:i/>
          <w:iCs/>
          <w:sz w:val="24"/>
          <w:lang w:val="en-US"/>
        </w:rPr>
        <w:t>2020 Sinopec Corp. Sustainability Report</w:t>
      </w:r>
      <w:r w:rsidRPr="00C30107">
        <w:rPr>
          <w:rFonts w:ascii="Times New Roman" w:hAnsi="Times New Roman" w:cs="Times New Roman"/>
          <w:sz w:val="24"/>
          <w:lang w:val="en-US"/>
        </w:rPr>
        <w:t xml:space="preserve">. Beijing: China Petroleum &amp; Chemical Corporation. Available at: </w:t>
      </w:r>
      <w:hyperlink r:id="rId52" w:tgtFrame="_new" w:history="1">
        <w:r w:rsidRPr="00C30107">
          <w:rPr>
            <w:rStyle w:val="af2"/>
            <w:rFonts w:ascii="Times New Roman" w:hAnsi="Times New Roman" w:cs="Times New Roman"/>
            <w:sz w:val="24"/>
            <w:lang w:val="en-US"/>
          </w:rPr>
          <w:t>http://www.sinopec.com/u/cms/gfyw/202411/27093617gm73.pdf</w:t>
        </w:r>
      </w:hyperlink>
      <w:r w:rsidRPr="00C30107">
        <w:rPr>
          <w:rFonts w:ascii="Times New Roman" w:hAnsi="Times New Roman" w:cs="Times New Roman"/>
          <w:sz w:val="24"/>
          <w:lang w:val="en-US"/>
        </w:rPr>
        <w:t xml:space="preserve"> (Accessed: 31 May 2026).</w:t>
      </w:r>
    </w:p>
    <w:p w14:paraId="044EA036"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Sinopec Corp. (2022a) </w:t>
      </w:r>
      <w:r w:rsidRPr="00C30107">
        <w:rPr>
          <w:rFonts w:ascii="Times New Roman" w:hAnsi="Times New Roman" w:cs="Times New Roman"/>
          <w:i/>
          <w:iCs/>
          <w:sz w:val="24"/>
          <w:lang w:val="en-US"/>
        </w:rPr>
        <w:t>2021 Annual Report and Accounts</w:t>
      </w:r>
      <w:r w:rsidRPr="00C30107">
        <w:rPr>
          <w:rFonts w:ascii="Times New Roman" w:hAnsi="Times New Roman" w:cs="Times New Roman"/>
          <w:sz w:val="24"/>
          <w:lang w:val="en-US"/>
        </w:rPr>
        <w:t xml:space="preserve">. Beijing: China Petroleum &amp; Chemical Corporation. Available at: </w:t>
      </w:r>
      <w:hyperlink r:id="rId53" w:tgtFrame="_new" w:history="1">
        <w:r w:rsidRPr="00C30107">
          <w:rPr>
            <w:rStyle w:val="af2"/>
            <w:rFonts w:ascii="Times New Roman" w:hAnsi="Times New Roman" w:cs="Times New Roman"/>
            <w:sz w:val="24"/>
            <w:lang w:val="en-US"/>
          </w:rPr>
          <w:t>http://www.sinopec.com/u/cms/gfyw/202411/26140623giq8.pdf</w:t>
        </w:r>
      </w:hyperlink>
      <w:r w:rsidRPr="00C30107">
        <w:rPr>
          <w:rFonts w:ascii="Times New Roman" w:hAnsi="Times New Roman" w:cs="Times New Roman"/>
          <w:sz w:val="24"/>
          <w:lang w:val="en-US"/>
        </w:rPr>
        <w:t xml:space="preserve"> (Accessed: 31 May 2026).</w:t>
      </w:r>
    </w:p>
    <w:p w14:paraId="5764EE9D"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Sinopec Corp. (2022b) </w:t>
      </w:r>
      <w:r w:rsidRPr="00C30107">
        <w:rPr>
          <w:rFonts w:ascii="Times New Roman" w:hAnsi="Times New Roman" w:cs="Times New Roman"/>
          <w:i/>
          <w:iCs/>
          <w:sz w:val="24"/>
          <w:lang w:val="en-US"/>
        </w:rPr>
        <w:t>2021 Sinopec Corp. Sustainability Report</w:t>
      </w:r>
      <w:r w:rsidRPr="00C30107">
        <w:rPr>
          <w:rFonts w:ascii="Times New Roman" w:hAnsi="Times New Roman" w:cs="Times New Roman"/>
          <w:sz w:val="24"/>
          <w:lang w:val="en-US"/>
        </w:rPr>
        <w:t xml:space="preserve">. Beijing: China Petroleum &amp; Chemical Corporation. Available at: </w:t>
      </w:r>
      <w:hyperlink r:id="rId54" w:tgtFrame="_new" w:history="1">
        <w:r w:rsidRPr="00C30107">
          <w:rPr>
            <w:rStyle w:val="af2"/>
            <w:rFonts w:ascii="Times New Roman" w:hAnsi="Times New Roman" w:cs="Times New Roman"/>
            <w:sz w:val="24"/>
            <w:lang w:val="en-US"/>
          </w:rPr>
          <w:t>http://www.sinopec.com/u/cms/gfyw/202411/27093615cusz.pdf</w:t>
        </w:r>
      </w:hyperlink>
      <w:r w:rsidRPr="00C30107">
        <w:rPr>
          <w:rFonts w:ascii="Times New Roman" w:hAnsi="Times New Roman" w:cs="Times New Roman"/>
          <w:sz w:val="24"/>
          <w:lang w:val="en-US"/>
        </w:rPr>
        <w:t xml:space="preserve"> (Accessed: 31 May 2026).</w:t>
      </w:r>
    </w:p>
    <w:p w14:paraId="5622E350"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Sinopec Corp. (2023a) </w:t>
      </w:r>
      <w:r w:rsidRPr="00C30107">
        <w:rPr>
          <w:rFonts w:ascii="Times New Roman" w:hAnsi="Times New Roman" w:cs="Times New Roman"/>
          <w:i/>
          <w:iCs/>
          <w:sz w:val="24"/>
          <w:lang w:val="en-US"/>
        </w:rPr>
        <w:t>2022 Annual Report and Accounts</w:t>
      </w:r>
      <w:r w:rsidRPr="00C30107">
        <w:rPr>
          <w:rFonts w:ascii="Times New Roman" w:hAnsi="Times New Roman" w:cs="Times New Roman"/>
          <w:sz w:val="24"/>
          <w:lang w:val="en-US"/>
        </w:rPr>
        <w:t xml:space="preserve">. Beijing: China Petroleum &amp; Chemical Corporation. Available at: </w:t>
      </w:r>
      <w:hyperlink r:id="rId55" w:tgtFrame="_new" w:history="1">
        <w:r w:rsidRPr="00C30107">
          <w:rPr>
            <w:rStyle w:val="af2"/>
            <w:rFonts w:ascii="Times New Roman" w:hAnsi="Times New Roman" w:cs="Times New Roman"/>
            <w:sz w:val="24"/>
            <w:lang w:val="en-US"/>
          </w:rPr>
          <w:t>http://www.sinopec.com/u/cms/gfyw/202411/27092756kosx.pdf</w:t>
        </w:r>
      </w:hyperlink>
      <w:r w:rsidRPr="00C30107">
        <w:rPr>
          <w:rFonts w:ascii="Times New Roman" w:hAnsi="Times New Roman" w:cs="Times New Roman"/>
          <w:sz w:val="24"/>
          <w:lang w:val="en-US"/>
        </w:rPr>
        <w:t xml:space="preserve"> (Accessed: 31 May 2026).</w:t>
      </w:r>
    </w:p>
    <w:p w14:paraId="13774B95"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Sinopec Corp. (2023b) </w:t>
      </w:r>
      <w:r w:rsidRPr="00C30107">
        <w:rPr>
          <w:rFonts w:ascii="Times New Roman" w:hAnsi="Times New Roman" w:cs="Times New Roman"/>
          <w:i/>
          <w:iCs/>
          <w:sz w:val="24"/>
          <w:lang w:val="en-US"/>
        </w:rPr>
        <w:t>2022 Sinopec Corp. Sustainability Report</w:t>
      </w:r>
      <w:r w:rsidRPr="00C30107">
        <w:rPr>
          <w:rFonts w:ascii="Times New Roman" w:hAnsi="Times New Roman" w:cs="Times New Roman"/>
          <w:sz w:val="24"/>
          <w:lang w:val="en-US"/>
        </w:rPr>
        <w:t xml:space="preserve">. Beijing: China Petroleum &amp; Chemical Corporation. Available at: </w:t>
      </w:r>
      <w:hyperlink r:id="rId56" w:tgtFrame="_new" w:history="1">
        <w:r w:rsidRPr="00C30107">
          <w:rPr>
            <w:rStyle w:val="af2"/>
            <w:rFonts w:ascii="Times New Roman" w:hAnsi="Times New Roman" w:cs="Times New Roman"/>
            <w:sz w:val="24"/>
            <w:lang w:val="en-US"/>
          </w:rPr>
          <w:t>http://www.sinopec.com/u/cms/gfyw/202411/27093615d6xm.pdf</w:t>
        </w:r>
      </w:hyperlink>
      <w:r w:rsidRPr="00C30107">
        <w:rPr>
          <w:rFonts w:ascii="Times New Roman" w:hAnsi="Times New Roman" w:cs="Times New Roman"/>
          <w:sz w:val="24"/>
          <w:lang w:val="en-US"/>
        </w:rPr>
        <w:t xml:space="preserve"> (Accessed: 31 May 2026).</w:t>
      </w:r>
    </w:p>
    <w:p w14:paraId="629B4C99"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Sinopec Corp. (2024a) </w:t>
      </w:r>
      <w:r w:rsidRPr="00C30107">
        <w:rPr>
          <w:rFonts w:ascii="Times New Roman" w:hAnsi="Times New Roman" w:cs="Times New Roman"/>
          <w:i/>
          <w:iCs/>
          <w:sz w:val="24"/>
          <w:lang w:val="en-US"/>
        </w:rPr>
        <w:t>2023 Annual Report and Accounts</w:t>
      </w:r>
      <w:r w:rsidRPr="00C30107">
        <w:rPr>
          <w:rFonts w:ascii="Times New Roman" w:hAnsi="Times New Roman" w:cs="Times New Roman"/>
          <w:sz w:val="24"/>
          <w:lang w:val="en-US"/>
        </w:rPr>
        <w:t xml:space="preserve">. Beijing: China Petroleum &amp; Chemical Corporation. Available at: </w:t>
      </w:r>
      <w:hyperlink r:id="rId57" w:tgtFrame="_new" w:history="1">
        <w:r w:rsidRPr="00C30107">
          <w:rPr>
            <w:rStyle w:val="af2"/>
            <w:rFonts w:ascii="Times New Roman" w:hAnsi="Times New Roman" w:cs="Times New Roman"/>
            <w:sz w:val="24"/>
            <w:lang w:val="en-US"/>
          </w:rPr>
          <w:t>http://www.sinopec.com/u/cms/gfyw/202411/26140620pc04.pdf</w:t>
        </w:r>
      </w:hyperlink>
      <w:r w:rsidRPr="00C30107">
        <w:rPr>
          <w:rFonts w:ascii="Times New Roman" w:hAnsi="Times New Roman" w:cs="Times New Roman"/>
          <w:sz w:val="24"/>
          <w:lang w:val="en-US"/>
        </w:rPr>
        <w:t xml:space="preserve"> (Accessed: 31 May 2026).</w:t>
      </w:r>
    </w:p>
    <w:p w14:paraId="7AD66FA2"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Sinopec Corp. (2024b) </w:t>
      </w:r>
      <w:r w:rsidRPr="00C30107">
        <w:rPr>
          <w:rFonts w:ascii="Times New Roman" w:hAnsi="Times New Roman" w:cs="Times New Roman"/>
          <w:i/>
          <w:iCs/>
          <w:sz w:val="24"/>
          <w:lang w:val="en-US"/>
        </w:rPr>
        <w:t>2023 Sinopec Corp. Sustainability Report</w:t>
      </w:r>
      <w:r w:rsidRPr="00C30107">
        <w:rPr>
          <w:rFonts w:ascii="Times New Roman" w:hAnsi="Times New Roman" w:cs="Times New Roman"/>
          <w:sz w:val="24"/>
          <w:lang w:val="en-US"/>
        </w:rPr>
        <w:t xml:space="preserve">. Beijing: China Petroleum &amp; Chemical Corporation. Available at: </w:t>
      </w:r>
      <w:hyperlink r:id="rId58" w:tgtFrame="_new" w:history="1">
        <w:r w:rsidRPr="00C30107">
          <w:rPr>
            <w:rStyle w:val="af2"/>
            <w:rFonts w:ascii="Times New Roman" w:hAnsi="Times New Roman" w:cs="Times New Roman"/>
            <w:sz w:val="24"/>
            <w:lang w:val="en-US"/>
          </w:rPr>
          <w:t>http://www.sinopec.com/u/cms/gfyw/202411/27093613cz2n.pdf</w:t>
        </w:r>
      </w:hyperlink>
      <w:r w:rsidRPr="00C30107">
        <w:rPr>
          <w:rFonts w:ascii="Times New Roman" w:hAnsi="Times New Roman" w:cs="Times New Roman"/>
          <w:sz w:val="24"/>
          <w:lang w:val="en-US"/>
        </w:rPr>
        <w:t xml:space="preserve"> (Accessed: 31 May 2026).</w:t>
      </w:r>
    </w:p>
    <w:p w14:paraId="0F8582D4"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Sinopec Corp. (2025a) </w:t>
      </w:r>
      <w:r w:rsidRPr="00C30107">
        <w:rPr>
          <w:rFonts w:ascii="Times New Roman" w:hAnsi="Times New Roman" w:cs="Times New Roman"/>
          <w:i/>
          <w:iCs/>
          <w:sz w:val="24"/>
          <w:lang w:val="en-US"/>
        </w:rPr>
        <w:t>2024 Annual Report and Accounts</w:t>
      </w:r>
      <w:r w:rsidRPr="00C30107">
        <w:rPr>
          <w:rFonts w:ascii="Times New Roman" w:hAnsi="Times New Roman" w:cs="Times New Roman"/>
          <w:sz w:val="24"/>
          <w:lang w:val="en-US"/>
        </w:rPr>
        <w:t xml:space="preserve">. Beijing: China Petroleum &amp; Chemical Corporation. Available at: </w:t>
      </w:r>
      <w:hyperlink r:id="rId59" w:tgtFrame="_new" w:history="1">
        <w:r w:rsidRPr="00C30107">
          <w:rPr>
            <w:rStyle w:val="af2"/>
            <w:rFonts w:ascii="Times New Roman" w:hAnsi="Times New Roman" w:cs="Times New Roman"/>
            <w:sz w:val="24"/>
            <w:lang w:val="en-US"/>
          </w:rPr>
          <w:t>http://www.sinopec.com/u/cms/gfyw/202503/23195200ff76.pdf</w:t>
        </w:r>
      </w:hyperlink>
      <w:r w:rsidRPr="00C30107">
        <w:rPr>
          <w:rFonts w:ascii="Times New Roman" w:hAnsi="Times New Roman" w:cs="Times New Roman"/>
          <w:sz w:val="24"/>
          <w:lang w:val="en-US"/>
        </w:rPr>
        <w:t xml:space="preserve"> (Accessed: 31 May 2026).</w:t>
      </w:r>
    </w:p>
    <w:p w14:paraId="0FF8C4ED" w14:textId="77777777"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Sinopec Corp. (2025b) </w:t>
      </w:r>
      <w:r w:rsidRPr="00C30107">
        <w:rPr>
          <w:rFonts w:ascii="Times New Roman" w:hAnsi="Times New Roman" w:cs="Times New Roman"/>
          <w:i/>
          <w:iCs/>
          <w:sz w:val="24"/>
          <w:lang w:val="en-US"/>
        </w:rPr>
        <w:t>2024 Sustainability Report</w:t>
      </w:r>
      <w:r w:rsidRPr="00C30107">
        <w:rPr>
          <w:rFonts w:ascii="Times New Roman" w:hAnsi="Times New Roman" w:cs="Times New Roman"/>
          <w:sz w:val="24"/>
          <w:lang w:val="en-US"/>
        </w:rPr>
        <w:t xml:space="preserve">. Beijing: China Petroleum &amp; Chemical Corporation. Available at: </w:t>
      </w:r>
      <w:hyperlink r:id="rId60" w:tgtFrame="_new" w:history="1">
        <w:r w:rsidRPr="00C30107">
          <w:rPr>
            <w:rStyle w:val="af2"/>
            <w:rFonts w:ascii="Times New Roman" w:hAnsi="Times New Roman" w:cs="Times New Roman"/>
            <w:sz w:val="24"/>
            <w:lang w:val="en-US"/>
          </w:rPr>
          <w:t>http://www.sinopec.com/u/cms/gfyw/202503/23204822pyvg.pdf</w:t>
        </w:r>
      </w:hyperlink>
      <w:r w:rsidRPr="00C30107">
        <w:rPr>
          <w:rFonts w:ascii="Times New Roman" w:hAnsi="Times New Roman" w:cs="Times New Roman"/>
          <w:sz w:val="24"/>
          <w:lang w:val="en-US"/>
        </w:rPr>
        <w:t xml:space="preserve"> (Accessed: 31 May 2026).</w:t>
      </w:r>
    </w:p>
    <w:p w14:paraId="55A77DA1" w14:textId="39D41C98" w:rsidR="00C30107"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 xml:space="preserve">World Bank (2024) </w:t>
      </w:r>
      <w:r w:rsidRPr="00C30107">
        <w:rPr>
          <w:rFonts w:ascii="Times New Roman" w:hAnsi="Times New Roman" w:cs="Times New Roman"/>
          <w:i/>
          <w:iCs/>
          <w:sz w:val="24"/>
          <w:lang w:val="en-US"/>
        </w:rPr>
        <w:t>2024 Global Gas Flaring Tracker Report</w:t>
      </w:r>
      <w:r w:rsidRPr="00C30107">
        <w:rPr>
          <w:rFonts w:ascii="Times New Roman" w:hAnsi="Times New Roman" w:cs="Times New Roman"/>
          <w:sz w:val="24"/>
          <w:lang w:val="en-US"/>
        </w:rPr>
        <w:t xml:space="preserve">. Washington, DC: World Bank. Available at: </w:t>
      </w:r>
      <w:hyperlink r:id="rId61" w:tgtFrame="_new" w:history="1">
        <w:r w:rsidRPr="00C30107">
          <w:rPr>
            <w:rStyle w:val="af2"/>
            <w:rFonts w:ascii="Times New Roman" w:hAnsi="Times New Roman" w:cs="Times New Roman"/>
            <w:sz w:val="24"/>
            <w:lang w:val="en-US"/>
          </w:rPr>
          <w:t>https://www.worldbank.org/en/programs/gasflaringreduction/publication/2024</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global</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gas</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flaring</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tracker</w:t>
        </w:r>
        <w:r w:rsidR="00393F7D">
          <w:rPr>
            <w:rStyle w:val="af2"/>
            <w:rFonts w:ascii="Times New Roman" w:hAnsi="Times New Roman" w:cs="Times New Roman"/>
            <w:sz w:val="24"/>
            <w:lang w:val="en-US"/>
          </w:rPr>
          <w:t>-</w:t>
        </w:r>
        <w:r w:rsidRPr="00C30107">
          <w:rPr>
            <w:rStyle w:val="af2"/>
            <w:rFonts w:ascii="Times New Roman" w:hAnsi="Times New Roman" w:cs="Times New Roman"/>
            <w:sz w:val="24"/>
            <w:lang w:val="en-US"/>
          </w:rPr>
          <w:t>report</w:t>
        </w:r>
      </w:hyperlink>
      <w:r w:rsidRPr="00C30107">
        <w:rPr>
          <w:rFonts w:ascii="Times New Roman" w:hAnsi="Times New Roman" w:cs="Times New Roman"/>
          <w:sz w:val="24"/>
          <w:lang w:val="en-US"/>
        </w:rPr>
        <w:t xml:space="preserve"> (Accessed: 31 May 2026).</w:t>
      </w:r>
    </w:p>
    <w:p w14:paraId="2215AD34" w14:textId="49E2AC89" w:rsidR="00EA2D81" w:rsidRPr="00C30107" w:rsidRDefault="00C30107" w:rsidP="00502470">
      <w:pPr>
        <w:spacing w:line="360" w:lineRule="auto"/>
        <w:rPr>
          <w:rFonts w:ascii="Times New Roman" w:hAnsi="Times New Roman" w:cs="Times New Roman"/>
          <w:sz w:val="24"/>
          <w:lang w:val="en-US"/>
        </w:rPr>
      </w:pPr>
      <w:r w:rsidRPr="00C30107">
        <w:rPr>
          <w:rFonts w:ascii="Times New Roman" w:hAnsi="Times New Roman" w:cs="Times New Roman"/>
          <w:sz w:val="24"/>
          <w:lang w:val="en-US"/>
        </w:rPr>
        <w:t>Zhao, B. and Wijewardana, W.P. (2012) ‘Financial leverage, firm growth and financial strength in the listed companies in Sri Lanka</w:t>
      </w:r>
      <w:r w:rsidR="00011E46">
        <w:rPr>
          <w:rFonts w:ascii="Times New Roman" w:hAnsi="Times New Roman" w:cs="Times New Roman"/>
          <w:sz w:val="24"/>
          <w:lang w:val="en-US"/>
        </w:rPr>
        <w:t>’</w:t>
      </w:r>
      <w:r w:rsidRPr="00C30107">
        <w:rPr>
          <w:rFonts w:ascii="Times New Roman" w:hAnsi="Times New Roman" w:cs="Times New Roman"/>
          <w:sz w:val="24"/>
          <w:lang w:val="en-US"/>
        </w:rPr>
        <w:t xml:space="preserve">, </w:t>
      </w:r>
      <w:r w:rsidRPr="00C30107">
        <w:rPr>
          <w:rFonts w:ascii="Times New Roman" w:hAnsi="Times New Roman" w:cs="Times New Roman"/>
          <w:i/>
          <w:iCs/>
          <w:sz w:val="24"/>
          <w:lang w:val="en-US"/>
        </w:rPr>
        <w:t xml:space="preserve">Procedia </w:t>
      </w:r>
      <w:r w:rsidR="00393F7D">
        <w:rPr>
          <w:rFonts w:ascii="Times New Roman" w:hAnsi="Times New Roman" w:cs="Times New Roman"/>
          <w:i/>
          <w:iCs/>
          <w:sz w:val="24"/>
          <w:lang w:val="en-US"/>
        </w:rPr>
        <w:t>-</w:t>
      </w:r>
      <w:r w:rsidRPr="00C30107">
        <w:rPr>
          <w:rFonts w:ascii="Times New Roman" w:hAnsi="Times New Roman" w:cs="Times New Roman"/>
          <w:i/>
          <w:iCs/>
          <w:sz w:val="24"/>
          <w:lang w:val="en-US"/>
        </w:rPr>
        <w:t xml:space="preserve"> Social and Behavioral Sciences</w:t>
      </w:r>
      <w:r w:rsidRPr="00C30107">
        <w:rPr>
          <w:rFonts w:ascii="Times New Roman" w:hAnsi="Times New Roman" w:cs="Times New Roman"/>
          <w:sz w:val="24"/>
          <w:lang w:val="en-US"/>
        </w:rPr>
        <w:t>, 40, pp. 709</w:t>
      </w:r>
      <w:r w:rsidR="00393F7D">
        <w:rPr>
          <w:rFonts w:ascii="Times New Roman" w:hAnsi="Times New Roman" w:cs="Times New Roman"/>
          <w:sz w:val="24"/>
          <w:lang w:val="en-US"/>
        </w:rPr>
        <w:t>-</w:t>
      </w:r>
      <w:r w:rsidRPr="00C30107">
        <w:rPr>
          <w:rFonts w:ascii="Times New Roman" w:hAnsi="Times New Roman" w:cs="Times New Roman"/>
          <w:sz w:val="24"/>
          <w:lang w:val="en-US"/>
        </w:rPr>
        <w:t>715. doi: 10.1016/j.sbspro.2012.03.253.</w:t>
      </w:r>
    </w:p>
    <w:sectPr w:rsidR="00EA2D81" w:rsidRPr="00C30107" w:rsidSect="0018257D">
      <w:headerReference w:type="default" r:id="rId62"/>
      <w:footerReference w:type="default" r:id="rId63"/>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C4107" w14:textId="77777777" w:rsidR="00801C91" w:rsidRPr="00815660" w:rsidRDefault="00801C91" w:rsidP="0018257D">
      <w:pPr>
        <w:spacing w:after="0" w:line="240" w:lineRule="auto"/>
        <w:rPr>
          <w:rFonts w:hint="eastAsia"/>
        </w:rPr>
      </w:pPr>
      <w:r w:rsidRPr="00815660">
        <w:separator/>
      </w:r>
    </w:p>
  </w:endnote>
  <w:endnote w:type="continuationSeparator" w:id="0">
    <w:p w14:paraId="41661A88" w14:textId="77777777" w:rsidR="00801C91" w:rsidRPr="00815660" w:rsidRDefault="00801C91" w:rsidP="0018257D">
      <w:pPr>
        <w:spacing w:after="0" w:line="240" w:lineRule="auto"/>
        <w:rPr>
          <w:rFonts w:hint="eastAsia"/>
        </w:rPr>
      </w:pPr>
      <w:r w:rsidRPr="0081566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485288"/>
      <w:docPartObj>
        <w:docPartGallery w:val="Page Numbers (Bottom of Page)"/>
        <w:docPartUnique/>
      </w:docPartObj>
    </w:sdtPr>
    <w:sdtContent>
      <w:p w14:paraId="28BC0B12" w14:textId="365E45E6" w:rsidR="00086C5C" w:rsidRPr="00815660" w:rsidRDefault="00086C5C">
        <w:pPr>
          <w:pStyle w:val="af0"/>
          <w:jc w:val="center"/>
          <w:rPr>
            <w:rFonts w:hint="eastAsia"/>
          </w:rPr>
        </w:pPr>
        <w:r w:rsidRPr="00815660">
          <w:fldChar w:fldCharType="begin"/>
        </w:r>
        <w:r w:rsidRPr="00815660">
          <w:instrText>PAGE   \* MERGEFORMAT</w:instrText>
        </w:r>
        <w:r w:rsidRPr="00815660">
          <w:fldChar w:fldCharType="separate"/>
        </w:r>
        <w:r w:rsidRPr="00815660">
          <w:t>2</w:t>
        </w:r>
        <w:r w:rsidRPr="00815660">
          <w:fldChar w:fldCharType="end"/>
        </w:r>
      </w:p>
    </w:sdtContent>
  </w:sdt>
  <w:p w14:paraId="150893BF" w14:textId="77777777" w:rsidR="00086C5C" w:rsidRPr="00815660" w:rsidRDefault="00086C5C">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DC1B7" w14:textId="77777777" w:rsidR="00801C91" w:rsidRPr="00815660" w:rsidRDefault="00801C91" w:rsidP="0018257D">
      <w:pPr>
        <w:spacing w:after="0" w:line="240" w:lineRule="auto"/>
        <w:rPr>
          <w:rFonts w:hint="eastAsia"/>
        </w:rPr>
      </w:pPr>
      <w:r w:rsidRPr="00815660">
        <w:separator/>
      </w:r>
    </w:p>
  </w:footnote>
  <w:footnote w:type="continuationSeparator" w:id="0">
    <w:p w14:paraId="07A6E3CB" w14:textId="77777777" w:rsidR="00801C91" w:rsidRPr="00815660" w:rsidRDefault="00801C91" w:rsidP="0018257D">
      <w:pPr>
        <w:spacing w:after="0" w:line="240" w:lineRule="auto"/>
        <w:rPr>
          <w:rFonts w:hint="eastAsia"/>
        </w:rPr>
      </w:pPr>
      <w:r w:rsidRPr="0081566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4760" w14:textId="19ED29AA" w:rsidR="00086C5C" w:rsidRPr="00815660" w:rsidRDefault="00086C5C">
    <w:pPr>
      <w:pStyle w:val="ae"/>
      <w:rPr>
        <w:rFonts w:hint="eastAsia"/>
      </w:rPr>
    </w:pPr>
    <w:r w:rsidRPr="00815660">
      <w:rPr>
        <w:rFonts w:ascii="Times New Roman" w:hAnsi="Times New Roman" w:cs="Times New Roman"/>
        <w:sz w:val="20"/>
        <w:szCs w:val="20"/>
      </w:rPr>
      <w:t>Jingwei Liu 2253336</w:t>
    </w:r>
    <w:r w:rsidRPr="00815660">
      <w:ptab w:relativeTo="margin" w:alignment="center" w:leader="none"/>
    </w:r>
    <w:r w:rsidRPr="00815660">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A0622"/>
    <w:multiLevelType w:val="hybridMultilevel"/>
    <w:tmpl w:val="117C43BE"/>
    <w:lvl w:ilvl="0" w:tplc="F314D94C">
      <w:start w:val="1"/>
      <w:numFmt w:val="bullet"/>
      <w:lvlText w:val=""/>
      <w:lvlJc w:val="left"/>
      <w:pPr>
        <w:ind w:left="440" w:hanging="440"/>
      </w:pPr>
      <w:rPr>
        <w:rFonts w:ascii="Wingdings" w:hAnsi="Wingdings" w:hint="default"/>
        <w:sz w:val="1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589A488B"/>
    <w:multiLevelType w:val="hybridMultilevel"/>
    <w:tmpl w:val="700E29AA"/>
    <w:lvl w:ilvl="0" w:tplc="D8769E9A">
      <w:numFmt w:val="bullet"/>
      <w:lvlText w:val=""/>
      <w:lvlJc w:val="left"/>
      <w:pPr>
        <w:ind w:left="1058" w:hanging="360"/>
      </w:pPr>
      <w:rPr>
        <w:rFonts w:ascii="Symbol" w:eastAsia="Symbol" w:hAnsi="Symbol" w:cs="Symbol" w:hint="default"/>
        <w:w w:val="41"/>
        <w:sz w:val="20"/>
        <w:szCs w:val="20"/>
        <w:lang w:val="en-US" w:eastAsia="en-US" w:bidi="ar-SA"/>
      </w:rPr>
    </w:lvl>
    <w:lvl w:ilvl="1" w:tplc="E7949DAC">
      <w:numFmt w:val="bullet"/>
      <w:lvlText w:val="•"/>
      <w:lvlJc w:val="left"/>
      <w:pPr>
        <w:ind w:left="1942" w:hanging="360"/>
      </w:pPr>
      <w:rPr>
        <w:rFonts w:hint="default"/>
        <w:lang w:val="en-US" w:eastAsia="en-US" w:bidi="ar-SA"/>
      </w:rPr>
    </w:lvl>
    <w:lvl w:ilvl="2" w:tplc="3C760852">
      <w:numFmt w:val="bullet"/>
      <w:lvlText w:val="•"/>
      <w:lvlJc w:val="left"/>
      <w:pPr>
        <w:ind w:left="2824" w:hanging="360"/>
      </w:pPr>
      <w:rPr>
        <w:rFonts w:hint="default"/>
        <w:lang w:val="en-US" w:eastAsia="en-US" w:bidi="ar-SA"/>
      </w:rPr>
    </w:lvl>
    <w:lvl w:ilvl="3" w:tplc="7B94816E">
      <w:numFmt w:val="bullet"/>
      <w:lvlText w:val="•"/>
      <w:lvlJc w:val="left"/>
      <w:pPr>
        <w:ind w:left="3706" w:hanging="360"/>
      </w:pPr>
      <w:rPr>
        <w:rFonts w:hint="default"/>
        <w:lang w:val="en-US" w:eastAsia="en-US" w:bidi="ar-SA"/>
      </w:rPr>
    </w:lvl>
    <w:lvl w:ilvl="4" w:tplc="F7F63572">
      <w:numFmt w:val="bullet"/>
      <w:lvlText w:val="•"/>
      <w:lvlJc w:val="left"/>
      <w:pPr>
        <w:ind w:left="4588" w:hanging="360"/>
      </w:pPr>
      <w:rPr>
        <w:rFonts w:hint="default"/>
        <w:lang w:val="en-US" w:eastAsia="en-US" w:bidi="ar-SA"/>
      </w:rPr>
    </w:lvl>
    <w:lvl w:ilvl="5" w:tplc="CE46CFB6">
      <w:numFmt w:val="bullet"/>
      <w:lvlText w:val="•"/>
      <w:lvlJc w:val="left"/>
      <w:pPr>
        <w:ind w:left="5470" w:hanging="360"/>
      </w:pPr>
      <w:rPr>
        <w:rFonts w:hint="default"/>
        <w:lang w:val="en-US" w:eastAsia="en-US" w:bidi="ar-SA"/>
      </w:rPr>
    </w:lvl>
    <w:lvl w:ilvl="6" w:tplc="155E061C">
      <w:numFmt w:val="bullet"/>
      <w:lvlText w:val="•"/>
      <w:lvlJc w:val="left"/>
      <w:pPr>
        <w:ind w:left="6352" w:hanging="360"/>
      </w:pPr>
      <w:rPr>
        <w:rFonts w:hint="default"/>
        <w:lang w:val="en-US" w:eastAsia="en-US" w:bidi="ar-SA"/>
      </w:rPr>
    </w:lvl>
    <w:lvl w:ilvl="7" w:tplc="B618456A">
      <w:numFmt w:val="bullet"/>
      <w:lvlText w:val="•"/>
      <w:lvlJc w:val="left"/>
      <w:pPr>
        <w:ind w:left="7234" w:hanging="360"/>
      </w:pPr>
      <w:rPr>
        <w:rFonts w:hint="default"/>
        <w:lang w:val="en-US" w:eastAsia="en-US" w:bidi="ar-SA"/>
      </w:rPr>
    </w:lvl>
    <w:lvl w:ilvl="8" w:tplc="81227DAE">
      <w:numFmt w:val="bullet"/>
      <w:lvlText w:val="•"/>
      <w:lvlJc w:val="left"/>
      <w:pPr>
        <w:ind w:left="8116" w:hanging="360"/>
      </w:pPr>
      <w:rPr>
        <w:rFonts w:hint="default"/>
        <w:lang w:val="en-US" w:eastAsia="en-US" w:bidi="ar-SA"/>
      </w:rPr>
    </w:lvl>
  </w:abstractNum>
  <w:num w:numId="1" w16cid:durableId="1677926780">
    <w:abstractNumId w:val="1"/>
  </w:num>
  <w:num w:numId="2" w16cid:durableId="1964068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055"/>
    <w:rsid w:val="00001278"/>
    <w:rsid w:val="00006C9E"/>
    <w:rsid w:val="00011E46"/>
    <w:rsid w:val="00021FC9"/>
    <w:rsid w:val="00025764"/>
    <w:rsid w:val="00034AAA"/>
    <w:rsid w:val="000660DA"/>
    <w:rsid w:val="00071720"/>
    <w:rsid w:val="000832CF"/>
    <w:rsid w:val="00086C5C"/>
    <w:rsid w:val="0009668D"/>
    <w:rsid w:val="00096CE1"/>
    <w:rsid w:val="000B1ECC"/>
    <w:rsid w:val="000D0D44"/>
    <w:rsid w:val="00104F7A"/>
    <w:rsid w:val="00115A00"/>
    <w:rsid w:val="00115D03"/>
    <w:rsid w:val="00125D51"/>
    <w:rsid w:val="00125DA4"/>
    <w:rsid w:val="0013190A"/>
    <w:rsid w:val="001355DA"/>
    <w:rsid w:val="00142440"/>
    <w:rsid w:val="00156A77"/>
    <w:rsid w:val="0018257D"/>
    <w:rsid w:val="0018689C"/>
    <w:rsid w:val="00191086"/>
    <w:rsid w:val="001946B3"/>
    <w:rsid w:val="001A579A"/>
    <w:rsid w:val="001B6B38"/>
    <w:rsid w:val="001C1C1D"/>
    <w:rsid w:val="001E76AA"/>
    <w:rsid w:val="001E7BD1"/>
    <w:rsid w:val="001F4A80"/>
    <w:rsid w:val="002030A5"/>
    <w:rsid w:val="002073FB"/>
    <w:rsid w:val="00216C6A"/>
    <w:rsid w:val="00294A93"/>
    <w:rsid w:val="00297055"/>
    <w:rsid w:val="002A4BB6"/>
    <w:rsid w:val="002B0A94"/>
    <w:rsid w:val="002B0E57"/>
    <w:rsid w:val="002E4592"/>
    <w:rsid w:val="0030490D"/>
    <w:rsid w:val="00317E4B"/>
    <w:rsid w:val="0033571A"/>
    <w:rsid w:val="00335F15"/>
    <w:rsid w:val="00393F7D"/>
    <w:rsid w:val="003A4D7C"/>
    <w:rsid w:val="003B74F1"/>
    <w:rsid w:val="003C1D15"/>
    <w:rsid w:val="003D09F2"/>
    <w:rsid w:val="003E2528"/>
    <w:rsid w:val="003E7924"/>
    <w:rsid w:val="003E7BC0"/>
    <w:rsid w:val="003F7F86"/>
    <w:rsid w:val="004004AD"/>
    <w:rsid w:val="00417B38"/>
    <w:rsid w:val="004400BA"/>
    <w:rsid w:val="00481C15"/>
    <w:rsid w:val="00484D4A"/>
    <w:rsid w:val="004932BC"/>
    <w:rsid w:val="004974A1"/>
    <w:rsid w:val="004A4BB3"/>
    <w:rsid w:val="004A72A9"/>
    <w:rsid w:val="004D47FD"/>
    <w:rsid w:val="005001E1"/>
    <w:rsid w:val="00502470"/>
    <w:rsid w:val="005107DB"/>
    <w:rsid w:val="0051585F"/>
    <w:rsid w:val="0053346D"/>
    <w:rsid w:val="0055396E"/>
    <w:rsid w:val="00565DEC"/>
    <w:rsid w:val="00573880"/>
    <w:rsid w:val="005837A2"/>
    <w:rsid w:val="005D0255"/>
    <w:rsid w:val="005D0EA0"/>
    <w:rsid w:val="005E042C"/>
    <w:rsid w:val="005E73F6"/>
    <w:rsid w:val="005F5E89"/>
    <w:rsid w:val="00605A9F"/>
    <w:rsid w:val="00616855"/>
    <w:rsid w:val="0062623C"/>
    <w:rsid w:val="00631B9A"/>
    <w:rsid w:val="0063401A"/>
    <w:rsid w:val="006360B6"/>
    <w:rsid w:val="00645C2E"/>
    <w:rsid w:val="006518D3"/>
    <w:rsid w:val="006530B0"/>
    <w:rsid w:val="006532FE"/>
    <w:rsid w:val="00672AB9"/>
    <w:rsid w:val="00676FDC"/>
    <w:rsid w:val="00686E1A"/>
    <w:rsid w:val="00696597"/>
    <w:rsid w:val="00697993"/>
    <w:rsid w:val="006A081D"/>
    <w:rsid w:val="006F5C82"/>
    <w:rsid w:val="00700BF0"/>
    <w:rsid w:val="0071242A"/>
    <w:rsid w:val="0072038F"/>
    <w:rsid w:val="007239BF"/>
    <w:rsid w:val="00735D2E"/>
    <w:rsid w:val="00735EA6"/>
    <w:rsid w:val="00756D31"/>
    <w:rsid w:val="0077443F"/>
    <w:rsid w:val="00777F30"/>
    <w:rsid w:val="00787F53"/>
    <w:rsid w:val="0079542D"/>
    <w:rsid w:val="007962ED"/>
    <w:rsid w:val="00797163"/>
    <w:rsid w:val="007B4C48"/>
    <w:rsid w:val="007D379A"/>
    <w:rsid w:val="007E4F76"/>
    <w:rsid w:val="007F1D07"/>
    <w:rsid w:val="007F70B8"/>
    <w:rsid w:val="00801C91"/>
    <w:rsid w:val="0080621F"/>
    <w:rsid w:val="00813971"/>
    <w:rsid w:val="00814737"/>
    <w:rsid w:val="00815660"/>
    <w:rsid w:val="00831870"/>
    <w:rsid w:val="00850050"/>
    <w:rsid w:val="00850B45"/>
    <w:rsid w:val="008562F7"/>
    <w:rsid w:val="0085653B"/>
    <w:rsid w:val="00862B2A"/>
    <w:rsid w:val="008B0714"/>
    <w:rsid w:val="008B70CF"/>
    <w:rsid w:val="008C5225"/>
    <w:rsid w:val="008F58DB"/>
    <w:rsid w:val="00911319"/>
    <w:rsid w:val="00921115"/>
    <w:rsid w:val="009221EE"/>
    <w:rsid w:val="0092673C"/>
    <w:rsid w:val="00951F47"/>
    <w:rsid w:val="00956C26"/>
    <w:rsid w:val="00960013"/>
    <w:rsid w:val="009971CB"/>
    <w:rsid w:val="009B506D"/>
    <w:rsid w:val="009D0DA8"/>
    <w:rsid w:val="009F7B9D"/>
    <w:rsid w:val="00A0691A"/>
    <w:rsid w:val="00A10131"/>
    <w:rsid w:val="00A31AB2"/>
    <w:rsid w:val="00A41E68"/>
    <w:rsid w:val="00A44BE5"/>
    <w:rsid w:val="00A5247A"/>
    <w:rsid w:val="00A543BD"/>
    <w:rsid w:val="00A81DF2"/>
    <w:rsid w:val="00A92946"/>
    <w:rsid w:val="00AA559E"/>
    <w:rsid w:val="00AA7FC0"/>
    <w:rsid w:val="00AB1040"/>
    <w:rsid w:val="00AB1C61"/>
    <w:rsid w:val="00AB3D2D"/>
    <w:rsid w:val="00AD5293"/>
    <w:rsid w:val="00AD76AF"/>
    <w:rsid w:val="00AE345A"/>
    <w:rsid w:val="00AF5541"/>
    <w:rsid w:val="00B23A76"/>
    <w:rsid w:val="00B336E9"/>
    <w:rsid w:val="00B407E0"/>
    <w:rsid w:val="00B44DFA"/>
    <w:rsid w:val="00B53EF6"/>
    <w:rsid w:val="00B5590F"/>
    <w:rsid w:val="00B73A9F"/>
    <w:rsid w:val="00B7469E"/>
    <w:rsid w:val="00B75B58"/>
    <w:rsid w:val="00B87825"/>
    <w:rsid w:val="00BA2292"/>
    <w:rsid w:val="00BB5F75"/>
    <w:rsid w:val="00BD0C15"/>
    <w:rsid w:val="00BE4C46"/>
    <w:rsid w:val="00BE5D93"/>
    <w:rsid w:val="00BE5EE8"/>
    <w:rsid w:val="00BF3C31"/>
    <w:rsid w:val="00C30107"/>
    <w:rsid w:val="00C310D2"/>
    <w:rsid w:val="00C360BC"/>
    <w:rsid w:val="00C54DB1"/>
    <w:rsid w:val="00C73E1D"/>
    <w:rsid w:val="00CA5818"/>
    <w:rsid w:val="00CB677B"/>
    <w:rsid w:val="00CB70AB"/>
    <w:rsid w:val="00CC4974"/>
    <w:rsid w:val="00CD2731"/>
    <w:rsid w:val="00CE731C"/>
    <w:rsid w:val="00D02961"/>
    <w:rsid w:val="00D04D8A"/>
    <w:rsid w:val="00D06BF3"/>
    <w:rsid w:val="00D117EF"/>
    <w:rsid w:val="00D12D9D"/>
    <w:rsid w:val="00D1368E"/>
    <w:rsid w:val="00D26623"/>
    <w:rsid w:val="00D32DA1"/>
    <w:rsid w:val="00D3739E"/>
    <w:rsid w:val="00D474FD"/>
    <w:rsid w:val="00D62DBD"/>
    <w:rsid w:val="00D746B3"/>
    <w:rsid w:val="00D9172A"/>
    <w:rsid w:val="00DD2FA1"/>
    <w:rsid w:val="00DD5169"/>
    <w:rsid w:val="00DE2A8E"/>
    <w:rsid w:val="00DF3ABB"/>
    <w:rsid w:val="00E015DF"/>
    <w:rsid w:val="00E036F7"/>
    <w:rsid w:val="00E07213"/>
    <w:rsid w:val="00E07638"/>
    <w:rsid w:val="00E15EE6"/>
    <w:rsid w:val="00E44278"/>
    <w:rsid w:val="00E5035B"/>
    <w:rsid w:val="00E50A89"/>
    <w:rsid w:val="00E561EF"/>
    <w:rsid w:val="00E96DEF"/>
    <w:rsid w:val="00EA2D81"/>
    <w:rsid w:val="00EB0EEB"/>
    <w:rsid w:val="00EC4785"/>
    <w:rsid w:val="00ED2BA8"/>
    <w:rsid w:val="00ED701E"/>
    <w:rsid w:val="00ED7682"/>
    <w:rsid w:val="00EF13DB"/>
    <w:rsid w:val="00F00CE6"/>
    <w:rsid w:val="00F13D89"/>
    <w:rsid w:val="00F413A6"/>
    <w:rsid w:val="00F41A0F"/>
    <w:rsid w:val="00F44889"/>
    <w:rsid w:val="00F76273"/>
    <w:rsid w:val="00FA3F8E"/>
    <w:rsid w:val="00FC27E0"/>
    <w:rsid w:val="00FD49E9"/>
    <w:rsid w:val="00FE02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4FCC1B"/>
  <w15:chartTrackingRefBased/>
  <w15:docId w15:val="{2375698E-2CF0-4C73-9256-6D57001C3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29705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9705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9705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9705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9705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9705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9705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705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9705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705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9705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9705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97055"/>
    <w:rPr>
      <w:rFonts w:cstheme="majorBidi"/>
      <w:color w:val="2F5496" w:themeColor="accent1" w:themeShade="BF"/>
      <w:sz w:val="28"/>
      <w:szCs w:val="28"/>
    </w:rPr>
  </w:style>
  <w:style w:type="character" w:customStyle="1" w:styleId="50">
    <w:name w:val="标题 5 字符"/>
    <w:basedOn w:val="a0"/>
    <w:link w:val="5"/>
    <w:uiPriority w:val="9"/>
    <w:semiHidden/>
    <w:rsid w:val="00297055"/>
    <w:rPr>
      <w:rFonts w:cstheme="majorBidi"/>
      <w:color w:val="2F5496" w:themeColor="accent1" w:themeShade="BF"/>
      <w:sz w:val="24"/>
    </w:rPr>
  </w:style>
  <w:style w:type="character" w:customStyle="1" w:styleId="60">
    <w:name w:val="标题 6 字符"/>
    <w:basedOn w:val="a0"/>
    <w:link w:val="6"/>
    <w:uiPriority w:val="9"/>
    <w:semiHidden/>
    <w:rsid w:val="00297055"/>
    <w:rPr>
      <w:rFonts w:cstheme="majorBidi"/>
      <w:b/>
      <w:bCs/>
      <w:color w:val="2F5496" w:themeColor="accent1" w:themeShade="BF"/>
    </w:rPr>
  </w:style>
  <w:style w:type="character" w:customStyle="1" w:styleId="70">
    <w:name w:val="标题 7 字符"/>
    <w:basedOn w:val="a0"/>
    <w:link w:val="7"/>
    <w:uiPriority w:val="9"/>
    <w:semiHidden/>
    <w:rsid w:val="00297055"/>
    <w:rPr>
      <w:rFonts w:cstheme="majorBidi"/>
      <w:b/>
      <w:bCs/>
      <w:color w:val="595959" w:themeColor="text1" w:themeTint="A6"/>
    </w:rPr>
  </w:style>
  <w:style w:type="character" w:customStyle="1" w:styleId="80">
    <w:name w:val="标题 8 字符"/>
    <w:basedOn w:val="a0"/>
    <w:link w:val="8"/>
    <w:uiPriority w:val="9"/>
    <w:semiHidden/>
    <w:rsid w:val="00297055"/>
    <w:rPr>
      <w:rFonts w:cstheme="majorBidi"/>
      <w:color w:val="595959" w:themeColor="text1" w:themeTint="A6"/>
    </w:rPr>
  </w:style>
  <w:style w:type="character" w:customStyle="1" w:styleId="90">
    <w:name w:val="标题 9 字符"/>
    <w:basedOn w:val="a0"/>
    <w:link w:val="9"/>
    <w:uiPriority w:val="9"/>
    <w:semiHidden/>
    <w:rsid w:val="00297055"/>
    <w:rPr>
      <w:rFonts w:eastAsiaTheme="majorEastAsia" w:cstheme="majorBidi"/>
      <w:color w:val="595959" w:themeColor="text1" w:themeTint="A6"/>
    </w:rPr>
  </w:style>
  <w:style w:type="paragraph" w:styleId="a3">
    <w:name w:val="Title"/>
    <w:basedOn w:val="a"/>
    <w:next w:val="a"/>
    <w:link w:val="a4"/>
    <w:uiPriority w:val="10"/>
    <w:qFormat/>
    <w:rsid w:val="002970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70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70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70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7055"/>
    <w:pPr>
      <w:spacing w:before="160"/>
      <w:jc w:val="center"/>
    </w:pPr>
    <w:rPr>
      <w:i/>
      <w:iCs/>
      <w:color w:val="404040" w:themeColor="text1" w:themeTint="BF"/>
    </w:rPr>
  </w:style>
  <w:style w:type="character" w:customStyle="1" w:styleId="a8">
    <w:name w:val="引用 字符"/>
    <w:basedOn w:val="a0"/>
    <w:link w:val="a7"/>
    <w:uiPriority w:val="29"/>
    <w:rsid w:val="00297055"/>
    <w:rPr>
      <w:i/>
      <w:iCs/>
      <w:color w:val="404040" w:themeColor="text1" w:themeTint="BF"/>
    </w:rPr>
  </w:style>
  <w:style w:type="paragraph" w:styleId="a9">
    <w:name w:val="List Paragraph"/>
    <w:basedOn w:val="a"/>
    <w:uiPriority w:val="34"/>
    <w:qFormat/>
    <w:rsid w:val="00297055"/>
    <w:pPr>
      <w:ind w:left="720"/>
      <w:contextualSpacing/>
    </w:pPr>
  </w:style>
  <w:style w:type="character" w:styleId="aa">
    <w:name w:val="Intense Emphasis"/>
    <w:basedOn w:val="a0"/>
    <w:uiPriority w:val="21"/>
    <w:qFormat/>
    <w:rsid w:val="00297055"/>
    <w:rPr>
      <w:i/>
      <w:iCs/>
      <w:color w:val="2F5496" w:themeColor="accent1" w:themeShade="BF"/>
    </w:rPr>
  </w:style>
  <w:style w:type="paragraph" w:styleId="ab">
    <w:name w:val="Intense Quote"/>
    <w:basedOn w:val="a"/>
    <w:next w:val="a"/>
    <w:link w:val="ac"/>
    <w:uiPriority w:val="30"/>
    <w:qFormat/>
    <w:rsid w:val="002970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97055"/>
    <w:rPr>
      <w:i/>
      <w:iCs/>
      <w:color w:val="2F5496" w:themeColor="accent1" w:themeShade="BF"/>
    </w:rPr>
  </w:style>
  <w:style w:type="character" w:styleId="ad">
    <w:name w:val="Intense Reference"/>
    <w:basedOn w:val="a0"/>
    <w:uiPriority w:val="32"/>
    <w:qFormat/>
    <w:rsid w:val="00297055"/>
    <w:rPr>
      <w:b/>
      <w:bCs/>
      <w:smallCaps/>
      <w:color w:val="2F5496" w:themeColor="accent1" w:themeShade="BF"/>
      <w:spacing w:val="5"/>
    </w:rPr>
  </w:style>
  <w:style w:type="paragraph" w:styleId="ae">
    <w:name w:val="header"/>
    <w:basedOn w:val="a"/>
    <w:link w:val="af"/>
    <w:uiPriority w:val="99"/>
    <w:unhideWhenUsed/>
    <w:rsid w:val="0018257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8257D"/>
    <w:rPr>
      <w:sz w:val="18"/>
      <w:szCs w:val="18"/>
    </w:rPr>
  </w:style>
  <w:style w:type="paragraph" w:styleId="af0">
    <w:name w:val="footer"/>
    <w:basedOn w:val="a"/>
    <w:link w:val="af1"/>
    <w:uiPriority w:val="99"/>
    <w:unhideWhenUsed/>
    <w:rsid w:val="0018257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8257D"/>
    <w:rPr>
      <w:sz w:val="18"/>
      <w:szCs w:val="18"/>
    </w:rPr>
  </w:style>
  <w:style w:type="paragraph" w:customStyle="1" w:styleId="21">
    <w:name w:val="样式2"/>
    <w:basedOn w:val="1"/>
    <w:link w:val="22"/>
    <w:qFormat/>
    <w:rsid w:val="008C5225"/>
    <w:pPr>
      <w:spacing w:line="360" w:lineRule="auto"/>
    </w:pPr>
    <w:rPr>
      <w:rFonts w:ascii="Times New Roman" w:eastAsia="Times New Roman" w:hAnsi="Times New Roman" w:cs="Times New Roman"/>
      <w:b/>
      <w:bCs/>
      <w:sz w:val="28"/>
      <w:szCs w:val="28"/>
    </w:rPr>
  </w:style>
  <w:style w:type="character" w:customStyle="1" w:styleId="22">
    <w:name w:val="样式2 字符"/>
    <w:basedOn w:val="10"/>
    <w:link w:val="21"/>
    <w:rsid w:val="008C5225"/>
    <w:rPr>
      <w:rFonts w:ascii="Times New Roman" w:eastAsia="Times New Roman" w:hAnsi="Times New Roman" w:cs="Times New Roman"/>
      <w:b/>
      <w:bCs/>
      <w:color w:val="2F5496" w:themeColor="accent1" w:themeShade="BF"/>
      <w:sz w:val="28"/>
      <w:szCs w:val="28"/>
    </w:rPr>
  </w:style>
  <w:style w:type="paragraph" w:customStyle="1" w:styleId="31">
    <w:name w:val="样式3"/>
    <w:basedOn w:val="2"/>
    <w:link w:val="32"/>
    <w:qFormat/>
    <w:rsid w:val="003E7BC0"/>
    <w:pPr>
      <w:spacing w:line="360" w:lineRule="auto"/>
    </w:pPr>
    <w:rPr>
      <w:rFonts w:ascii="Times New Roman" w:eastAsia="Times New Roman" w:hAnsi="Times New Roman" w:cs="Times New Roman"/>
      <w:b/>
      <w:bCs/>
      <w:i/>
      <w:iCs/>
      <w:color w:val="000000" w:themeColor="text1"/>
      <w:sz w:val="24"/>
    </w:rPr>
  </w:style>
  <w:style w:type="character" w:customStyle="1" w:styleId="32">
    <w:name w:val="样式3 字符"/>
    <w:basedOn w:val="20"/>
    <w:link w:val="31"/>
    <w:rsid w:val="003E7BC0"/>
    <w:rPr>
      <w:rFonts w:ascii="Times New Roman" w:eastAsia="Times New Roman" w:hAnsi="Times New Roman" w:cs="Times New Roman"/>
      <w:b/>
      <w:bCs/>
      <w:i/>
      <w:iCs/>
      <w:color w:val="000000" w:themeColor="text1"/>
      <w:sz w:val="24"/>
      <w:szCs w:val="40"/>
    </w:rPr>
  </w:style>
  <w:style w:type="paragraph" w:styleId="TOC1">
    <w:name w:val="toc 1"/>
    <w:basedOn w:val="a"/>
    <w:next w:val="a"/>
    <w:autoRedefine/>
    <w:uiPriority w:val="39"/>
    <w:unhideWhenUsed/>
    <w:rsid w:val="009221EE"/>
  </w:style>
  <w:style w:type="paragraph" w:styleId="TOC2">
    <w:name w:val="toc 2"/>
    <w:basedOn w:val="a"/>
    <w:next w:val="a"/>
    <w:autoRedefine/>
    <w:uiPriority w:val="39"/>
    <w:unhideWhenUsed/>
    <w:rsid w:val="009221EE"/>
    <w:pPr>
      <w:ind w:leftChars="200" w:left="420"/>
    </w:pPr>
  </w:style>
  <w:style w:type="character" w:styleId="af2">
    <w:name w:val="Hyperlink"/>
    <w:basedOn w:val="a0"/>
    <w:uiPriority w:val="99"/>
    <w:unhideWhenUsed/>
    <w:rsid w:val="009221EE"/>
    <w:rPr>
      <w:color w:val="0563C1" w:themeColor="hyperlink"/>
      <w:u w:val="single"/>
    </w:rPr>
  </w:style>
  <w:style w:type="character" w:styleId="af3">
    <w:name w:val="Unresolved Mention"/>
    <w:basedOn w:val="a0"/>
    <w:uiPriority w:val="99"/>
    <w:semiHidden/>
    <w:unhideWhenUsed/>
    <w:rsid w:val="00417B38"/>
    <w:rPr>
      <w:color w:val="605E5C"/>
      <w:shd w:val="clear" w:color="auto" w:fill="E1DFDD"/>
    </w:rPr>
  </w:style>
  <w:style w:type="paragraph" w:styleId="af4">
    <w:name w:val="caption"/>
    <w:basedOn w:val="a"/>
    <w:next w:val="a"/>
    <w:uiPriority w:val="35"/>
    <w:unhideWhenUsed/>
    <w:qFormat/>
    <w:rsid w:val="002030A5"/>
    <w:rPr>
      <w:rFonts w:asciiTheme="majorHAnsi" w:eastAsia="黑体" w:hAnsiTheme="majorHAnsi" w:cstheme="majorBidi"/>
      <w:sz w:val="20"/>
      <w:szCs w:val="20"/>
    </w:rPr>
  </w:style>
  <w:style w:type="paragraph" w:styleId="af5">
    <w:name w:val="table of figures"/>
    <w:basedOn w:val="a"/>
    <w:next w:val="a"/>
    <w:uiPriority w:val="99"/>
    <w:unhideWhenUsed/>
    <w:rsid w:val="00B407E0"/>
    <w:pPr>
      <w:ind w:leftChars="200" w:left="200" w:hangingChars="200" w:hanging="200"/>
    </w:pPr>
  </w:style>
  <w:style w:type="character" w:styleId="af6">
    <w:name w:val="FollowedHyperlink"/>
    <w:basedOn w:val="a0"/>
    <w:uiPriority w:val="99"/>
    <w:semiHidden/>
    <w:unhideWhenUsed/>
    <w:rsid w:val="00F448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ccaglobal.com/gb/en/student/exam-support-resources/fundamentals-exams-study-resources/f9/technical-articles/wcm.html" TargetMode="External"/><Relationship Id="rId21" Type="http://schemas.openxmlformats.org/officeDocument/2006/relationships/image" Target="media/image12.png"/><Relationship Id="rId34" Type="http://schemas.openxmlformats.org/officeDocument/2006/relationships/hyperlink" Target="https://www.cnoocltd.com/english/investorrelations/reports/annualreport/202409/P020240925659674329475.pdf" TargetMode="External"/><Relationship Id="rId42" Type="http://schemas.openxmlformats.org/officeDocument/2006/relationships/hyperlink" Target="https://www.ifrs.org/content/dam/ifrs/publications/pdf-standards-issb/english/2023/issued/part-a/issb-2023-a-ifrs-s2-climate-related-disclosures.pdf" TargetMode="External"/><Relationship Id="rId47" Type="http://schemas.openxmlformats.org/officeDocument/2006/relationships/hyperlink" Target="https://www.oecd.org/content/dam/oecd/en/publications/reports/2024/06/oecd-guidelines-on-corporate-governance-of-state-owned-enterprises-2024_68fa05cd/18a24f43-en.pdf" TargetMode="External"/><Relationship Id="rId50" Type="http://schemas.openxmlformats.org/officeDocument/2006/relationships/hyperlink" Target="https://www.reuters.com/business/energy/sinopecs-2024-net-profit-plunges-168-due-falling-oil-prices-nevs-2025-03-23/" TargetMode="External"/><Relationship Id="rId55" Type="http://schemas.openxmlformats.org/officeDocument/2006/relationships/hyperlink" Target="http://www.sinopec.com/u/cms/gfyw/202411/27092756kosx.pdf"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cnoocltd.com/english/sustainability/environmentalsocialandgovernancereports/202409/P020240925661396771350.pdf" TargetMode="Externa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yperlink" Target="https://www.cnoocltd.com/english/investorrelations/reports/annualreport/202409/P020240925659649817016.pdf" TargetMode="External"/><Relationship Id="rId37" Type="http://schemas.openxmlformats.org/officeDocument/2006/relationships/hyperlink" Target="https://www.cnoocltd.com/english/sustainability/environmentalsocialandgovernancereports/202504/P020250408542745334285.pdf" TargetMode="External"/><Relationship Id="rId40" Type="http://schemas.openxmlformats.org/officeDocument/2006/relationships/hyperlink" Target="https://www.iea.org/reports/oil-2024/executive-summary" TargetMode="External"/><Relationship Id="rId45" Type="http://schemas.openxmlformats.org/officeDocument/2006/relationships/hyperlink" Target="https://www.mckinsey.com/~/media/mckinsey/industries/oil%20and%20gas/our%20insights/the%20state%20of%20energy%20organizations%202024/the-state-of-energy-organizations-2024.pdf" TargetMode="External"/><Relationship Id="rId53" Type="http://schemas.openxmlformats.org/officeDocument/2006/relationships/hyperlink" Target="http://www.sinopec.com/u/cms/gfyw/202411/26140623giq8.pdf" TargetMode="External"/><Relationship Id="rId58" Type="http://schemas.openxmlformats.org/officeDocument/2006/relationships/hyperlink" Target="http://www.sinopec.com/u/cms/gfyw/202411/27093613cz2n.pdf" TargetMode="External"/><Relationship Id="rId5" Type="http://schemas.openxmlformats.org/officeDocument/2006/relationships/webSettings" Target="webSettings.xml"/><Relationship Id="rId61" Type="http://schemas.openxmlformats.org/officeDocument/2006/relationships/hyperlink" Target="https://www.worldbank.org/en/programs/gasflaringreduction/publication/2024-global-gas-flaring-tracker-report?utm_source=chatgpt.com" TargetMode="Externa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s://www.cfainstitute.org/insights/professional-learning/refresher-readings/2026/financial-analysis-techniques" TargetMode="External"/><Relationship Id="rId30" Type="http://schemas.openxmlformats.org/officeDocument/2006/relationships/hyperlink" Target="https://www.cnoocltd.com/english/investorrelations/reports/annualreport/202409/P020240925659599448565.pdf" TargetMode="External"/><Relationship Id="rId35" Type="http://schemas.openxmlformats.org/officeDocument/2006/relationships/hyperlink" Target="https://www.cnoocltd.com/english/sustainability/environmentalsocialandgovernancereports/202409/P020241216473769449925.pdf" TargetMode="External"/><Relationship Id="rId43" Type="http://schemas.openxmlformats.org/officeDocument/2006/relationships/hyperlink" Target="https://www.ifc.org/content/dam/ifc/doc/2010/2012-ifc-performance-standard-1-en.pdf" TargetMode="External"/><Relationship Id="rId48" Type="http://schemas.openxmlformats.org/officeDocument/2006/relationships/hyperlink" Target="https://www.unpri.org/about-PRI/what-principles-for-responsible-investment" TargetMode="External"/><Relationship Id="rId56" Type="http://schemas.openxmlformats.org/officeDocument/2006/relationships/hyperlink" Target="http://www.sinopec.com/u/cms/gfyw/202411/27093615d6xm.pdf" TargetMode="Externa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www.sinopec.com/listco/en/annualreport/index.shtm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hyperlink" Target="https://www.cnoocltd.com/english/sustainability/environmentalsocialandgovernancereports/202409/P020241216471641747961.pdf" TargetMode="External"/><Relationship Id="rId38" Type="http://schemas.openxmlformats.org/officeDocument/2006/relationships/hyperlink" Target="https://www.globalreporting.org/standards/standards-development/universal-standards/" TargetMode="External"/><Relationship Id="rId46" Type="http://schemas.openxmlformats.org/officeDocument/2006/relationships/hyperlink" Target="https://www.oecd.org/content/dam/oecd/en/publications/reports/2022/09/enhancing-gender-diversity-on-boards-and-in-senior-management-of-listed-companies_50213bfe/4f7ca695-en.pdf" TargetMode="External"/><Relationship Id="rId59" Type="http://schemas.openxmlformats.org/officeDocument/2006/relationships/hyperlink" Target="http://www.sinopec.com/u/cms/gfyw/202503/23195200ff76.pdf" TargetMode="External"/><Relationship Id="rId20" Type="http://schemas.openxmlformats.org/officeDocument/2006/relationships/chart" Target="charts/chart2.xml"/><Relationship Id="rId41" Type="http://schemas.openxmlformats.org/officeDocument/2006/relationships/hyperlink" Target="https://www.iea.org/commentaries/oil-demand-for-fuels-in-china-has-reached-a-plateau" TargetMode="External"/><Relationship Id="rId54" Type="http://schemas.openxmlformats.org/officeDocument/2006/relationships/hyperlink" Target="http://www.sinopec.com/u/cms/gfyw/202411/27093615cusz.pdf"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chart" Target="charts/chart3.xml"/><Relationship Id="rId28" Type="http://schemas.openxmlformats.org/officeDocument/2006/relationships/hyperlink" Target="https://www.cnoocltd.com/english/investorrelations/reports/annualreport/202409/P020240925659556694484.pdf" TargetMode="External"/><Relationship Id="rId36" Type="http://schemas.openxmlformats.org/officeDocument/2006/relationships/hyperlink" Target="https://www.cnoocltd.com/english/investorrelations/reports/annualreport/202504/P020250408585333246566.pdf" TargetMode="External"/><Relationship Id="rId49" Type="http://schemas.openxmlformats.org/officeDocument/2006/relationships/hyperlink" Target="https://www.reuters.com/business/energy/chinas-fuel-demand-may-have-passed-its-peak-iea-says-2025-02-13/" TargetMode="External"/><Relationship Id="rId57" Type="http://schemas.openxmlformats.org/officeDocument/2006/relationships/hyperlink" Target="http://www.sinopec.com/u/cms/gfyw/202411/26140620pc04.pdf" TargetMode="External"/><Relationship Id="rId10" Type="http://schemas.openxmlformats.org/officeDocument/2006/relationships/image" Target="media/image3.png"/><Relationship Id="rId31" Type="http://schemas.openxmlformats.org/officeDocument/2006/relationships/hyperlink" Target="https://www.cnoocltd.com/english/sustainability/environmentalsocialandgovernancereports/202409/P020241216399987105594.pdf" TargetMode="External"/><Relationship Id="rId44" Type="http://schemas.openxmlformats.org/officeDocument/2006/relationships/hyperlink" Target="https://www.ilo.org/topics-and-sectors/safety-and-health-work/safe-and-healthy-working-environment-fundamental-principle-and-right-work" TargetMode="External"/><Relationship Id="rId52" Type="http://schemas.openxmlformats.org/officeDocument/2006/relationships/hyperlink" Target="http://www.sinopec.com/u/cms/gfyw/202411/27093617gm73.pdf" TargetMode="External"/><Relationship Id="rId60" Type="http://schemas.openxmlformats.org/officeDocument/2006/relationships/hyperlink" Target="http://www.sinopec.com/u/cms/gfyw/202503/23204822pyvg.pdf"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chart" Target="charts/chart1.xml"/><Relationship Id="rId39" Type="http://schemas.openxmlformats.org/officeDocument/2006/relationships/hyperlink" Target="https://www.iea.org/reports/emissions-from-oil-and-gas-operations-in-net-zero-transitions?utm_source=chatgpt.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65281;Y4%20Documents\ACC304\Case%20A\wps&#2925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65281;Y4%20Documents\ACC304\Case%20A\wps&#2925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65281;Y4%20Documents\ACC304\Case%20A\wps&#29256;.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cap="none" spc="20" baseline="0">
                <a:solidFill>
                  <a:schemeClr val="dk1">
                    <a:lumMod val="50000"/>
                    <a:lumOff val="50000"/>
                  </a:schemeClr>
                </a:solidFill>
                <a:latin typeface="Times New Roman" panose="02020603050405020304" pitchFamily="18" charset="0"/>
                <a:ea typeface="+mn-ea"/>
                <a:cs typeface="Times New Roman" panose="02020603050405020304" pitchFamily="18" charset="0"/>
              </a:defRPr>
            </a:pPr>
            <a:r>
              <a:rPr lang="en-GB" sz="1200" b="1"/>
              <a:t>Figure 6. </a:t>
            </a:r>
            <a:r>
              <a:rPr lang="en-GB" altLang="zh-CN" sz="1200" b="0" i="0" u="none" strike="noStrike" cap="none" baseline="0"/>
              <a:t>Indexed Combined Scope 1 and Scope 2 Emissions of Sinopec and CNOOC, 2020-2024 (2020=100</a:t>
            </a:r>
            <a:r>
              <a:rPr lang="en-US" altLang="zh-CN" sz="1200" b="0" i="0" u="none" strike="noStrike" cap="none" baseline="0"/>
              <a:t>)</a:t>
            </a:r>
            <a:endParaRPr lang="zh-CN" sz="1200"/>
          </a:p>
        </c:rich>
      </c:tx>
      <c:overlay val="0"/>
      <c:spPr>
        <a:noFill/>
        <a:ln>
          <a:noFill/>
        </a:ln>
        <a:effectLst/>
      </c:spPr>
      <c:txPr>
        <a:bodyPr rot="0" spcFirstLastPara="1" vertOverflow="ellipsis" vert="horz" wrap="square" anchor="ctr" anchorCtr="1"/>
        <a:lstStyle/>
        <a:p>
          <a:pPr>
            <a:defRPr sz="1200" b="0" i="0" u="none" strike="noStrike" kern="1200" cap="none" spc="20" baseline="0">
              <a:solidFill>
                <a:schemeClr val="dk1">
                  <a:lumMod val="50000"/>
                  <a:lumOff val="50000"/>
                </a:schemeClr>
              </a:solidFill>
              <a:latin typeface="Times New Roman" panose="02020603050405020304" pitchFamily="18" charset="0"/>
              <a:ea typeface="+mn-ea"/>
              <a:cs typeface="Times New Roman" panose="02020603050405020304" pitchFamily="18" charset="0"/>
            </a:defRPr>
          </a:pPr>
          <a:endParaRPr lang="zh-CN" altLang="en-US"/>
        </a:p>
      </c:txPr>
    </c:title>
    <c:autoTitleDeleted val="0"/>
    <c:plotArea>
      <c:layout>
        <c:manualLayout>
          <c:layoutTarget val="inner"/>
          <c:xMode val="edge"/>
          <c:yMode val="edge"/>
          <c:x val="0.15404186955473465"/>
          <c:y val="0.34311677578579036"/>
          <c:w val="0.81210676869730414"/>
          <c:h val="0.550038479181436"/>
        </c:manualLayout>
      </c:layout>
      <c:lineChart>
        <c:grouping val="standard"/>
        <c:varyColors val="0"/>
        <c:ser>
          <c:idx val="0"/>
          <c:order val="0"/>
          <c:tx>
            <c:strRef>
              <c:f>'3.1 E'!$U$12</c:f>
              <c:strCache>
                <c:ptCount val="1"/>
                <c:pt idx="0">
                  <c:v>Sinopec</c:v>
                </c:pt>
              </c:strCache>
            </c:strRef>
          </c:tx>
          <c:spPr>
            <a:ln w="31750" cap="rnd" cmpd="sng" algn="ctr">
              <a:solidFill>
                <a:schemeClr val="accent1"/>
              </a:solidFill>
              <a:round/>
            </a:ln>
            <a:effectLst>
              <a:outerShdw blurRad="50800" dist="38100" dir="2700000" algn="tl" rotWithShape="0">
                <a:prstClr val="black">
                  <a:alpha val="40000"/>
                </a:prstClr>
              </a:outerShdw>
            </a:effectLst>
          </c:spPr>
          <c:marker>
            <c:symbol val="circle"/>
            <c:size val="4"/>
            <c:spPr>
              <a:solidFill>
                <a:schemeClr val="accent1"/>
              </a:solidFill>
              <a:ln w="9525" cap="flat" cmpd="sng" algn="ctr">
                <a:solidFill>
                  <a:schemeClr val="accent1"/>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zh-CN"/>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'3.1 E'!$V$12:$Z$12</c:f>
              <c:numCache>
                <c:formatCode>General</c:formatCode>
                <c:ptCount val="5"/>
                <c:pt idx="0">
                  <c:v>2020</c:v>
                </c:pt>
                <c:pt idx="1">
                  <c:v>2021</c:v>
                </c:pt>
                <c:pt idx="2">
                  <c:v>2022</c:v>
                </c:pt>
                <c:pt idx="3">
                  <c:v>2023</c:v>
                </c:pt>
                <c:pt idx="4">
                  <c:v>2024</c:v>
                </c:pt>
              </c:numCache>
            </c:numRef>
          </c:cat>
          <c:val>
            <c:numRef>
              <c:f>'3.1 E'!$V$16:$Z$16</c:f>
              <c:numCache>
                <c:formatCode>0.00</c:formatCode>
                <c:ptCount val="5"/>
                <c:pt idx="0">
                  <c:v>100</c:v>
                </c:pt>
                <c:pt idx="1">
                  <c:v>100.94770094770095</c:v>
                </c:pt>
                <c:pt idx="2">
                  <c:v>94.647244647244648</c:v>
                </c:pt>
                <c:pt idx="3">
                  <c:v>98.654498654498653</c:v>
                </c:pt>
                <c:pt idx="4">
                  <c:v>98.25084825084825</c:v>
                </c:pt>
              </c:numCache>
            </c:numRef>
          </c:val>
          <c:smooth val="0"/>
          <c:extLst>
            <c:ext xmlns:c16="http://schemas.microsoft.com/office/drawing/2014/chart" uri="{C3380CC4-5D6E-409C-BE32-E72D297353CC}">
              <c16:uniqueId val="{00000000-8F7E-4D79-88B4-E9B53D07E1F8}"/>
            </c:ext>
          </c:extLst>
        </c:ser>
        <c:ser>
          <c:idx val="1"/>
          <c:order val="1"/>
          <c:tx>
            <c:strRef>
              <c:f>'3.1 E'!$U$18</c:f>
              <c:strCache>
                <c:ptCount val="1"/>
                <c:pt idx="0">
                  <c:v>CNOOC</c:v>
                </c:pt>
              </c:strCache>
            </c:strRef>
          </c:tx>
          <c:spPr>
            <a:ln w="31750" cap="rnd" cmpd="sng" algn="ctr">
              <a:solidFill>
                <a:schemeClr val="accent2"/>
              </a:solidFill>
              <a:round/>
            </a:ln>
            <a:effectLst>
              <a:outerShdw blurRad="50800" dist="38100" dir="2700000" algn="tl" rotWithShape="0">
                <a:prstClr val="black">
                  <a:alpha val="40000"/>
                </a:prstClr>
              </a:outerShdw>
            </a:effectLst>
          </c:spPr>
          <c:marker>
            <c:symbol val="circle"/>
            <c:size val="4"/>
            <c:spPr>
              <a:solidFill>
                <a:schemeClr val="accent2"/>
              </a:solidFill>
              <a:ln w="9525" cap="flat" cmpd="sng" algn="ctr">
                <a:solidFill>
                  <a:schemeClr val="accent2"/>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'3.1 E'!$V$12:$Z$12</c:f>
              <c:numCache>
                <c:formatCode>General</c:formatCode>
                <c:ptCount val="5"/>
                <c:pt idx="0">
                  <c:v>2020</c:v>
                </c:pt>
                <c:pt idx="1">
                  <c:v>2021</c:v>
                </c:pt>
                <c:pt idx="2">
                  <c:v>2022</c:v>
                </c:pt>
                <c:pt idx="3">
                  <c:v>2023</c:v>
                </c:pt>
                <c:pt idx="4">
                  <c:v>2024</c:v>
                </c:pt>
              </c:numCache>
            </c:numRef>
          </c:cat>
          <c:val>
            <c:numRef>
              <c:f>'3.1 E'!$V$22:$Z$22</c:f>
              <c:numCache>
                <c:formatCode>0.00</c:formatCode>
                <c:ptCount val="5"/>
                <c:pt idx="0">
                  <c:v>100</c:v>
                </c:pt>
                <c:pt idx="1">
                  <c:v>110.2728731942215</c:v>
                </c:pt>
                <c:pt idx="2">
                  <c:v>116.4258962011771</c:v>
                </c:pt>
                <c:pt idx="3">
                  <c:v>131.22525414660245</c:v>
                </c:pt>
                <c:pt idx="4">
                  <c:v>136.87533440342429</c:v>
                </c:pt>
              </c:numCache>
            </c:numRef>
          </c:val>
          <c:smooth val="0"/>
          <c:extLst>
            <c:ext xmlns:c16="http://schemas.microsoft.com/office/drawing/2014/chart" uri="{C3380CC4-5D6E-409C-BE32-E72D297353CC}">
              <c16:uniqueId val="{00000001-8F7E-4D79-88B4-E9B53D07E1F8}"/>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marker val="1"/>
        <c:smooth val="0"/>
        <c:axId val="549599616"/>
        <c:axId val="549599136"/>
      </c:lineChart>
      <c:catAx>
        <c:axId val="549599616"/>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549599136"/>
        <c:crosses val="autoZero"/>
        <c:auto val="1"/>
        <c:lblAlgn val="ctr"/>
        <c:lblOffset val="100"/>
        <c:noMultiLvlLbl val="0"/>
      </c:catAx>
      <c:valAx>
        <c:axId val="549599136"/>
        <c:scaling>
          <c:orientation val="minMax"/>
          <c:min val="80"/>
        </c:scaling>
        <c:delete val="0"/>
        <c:axPos val="l"/>
        <c:title>
          <c:tx>
            <c:rich>
              <a:bodyPr rot="-5400000" spcFirstLastPara="1" vertOverflow="ellipsis" vert="horz" wrap="square" anchor="ctr" anchorCtr="1"/>
              <a:lstStyle/>
              <a:p>
                <a:pPr>
                  <a:defRPr sz="900" b="0" i="0" u="none" strike="noStrike" kern="1200" cap="none"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r>
                  <a:rPr lang="en-GB" altLang="zh-CN" sz="900" b="0" i="0" u="none" strike="noStrike" cap="none" baseline="0"/>
                  <a:t>Index (2020 = 100)</a:t>
                </a:r>
                <a:endParaRPr lang="zh-CN" altLang="en-US" cap="none" baseline="0"/>
              </a:p>
            </c:rich>
          </c:tx>
          <c:layout>
            <c:manualLayout>
              <c:xMode val="edge"/>
              <c:yMode val="edge"/>
              <c:x val="2.0702835113868719E-2"/>
              <c:y val="0.43399543224780929"/>
            </c:manualLayout>
          </c:layout>
          <c:overlay val="0"/>
          <c:spPr>
            <a:noFill/>
            <a:ln>
              <a:noFill/>
            </a:ln>
            <a:effectLst/>
          </c:spPr>
          <c:txPr>
            <a:bodyPr rot="-5400000" spcFirstLastPara="1" vertOverflow="ellipsis" vert="horz" wrap="square" anchor="ctr" anchorCtr="1"/>
            <a:lstStyle/>
            <a:p>
              <a:pPr>
                <a:defRPr sz="900" b="0" i="0" u="none" strike="noStrike" kern="1200" cap="none"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zh-CN" altLang="en-US"/>
            </a:p>
          </c:txPr>
        </c:title>
        <c:numFmt formatCode="#,##0_);[Red]\(#,##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549599616"/>
        <c:crosses val="autoZero"/>
        <c:crossBetween val="between"/>
      </c:valAx>
      <c:spPr>
        <a:gradFill>
          <a:gsLst>
            <a:gs pos="100000">
              <a:schemeClr val="lt1">
                <a:lumMod val="95000"/>
              </a:schemeClr>
            </a:gs>
            <a:gs pos="0">
              <a:schemeClr val="lt1"/>
            </a:gs>
          </a:gsLst>
          <a:lin ang="5400000" scaled="0"/>
        </a:gradFill>
        <a:ln>
          <a:noFill/>
        </a:ln>
        <a:effectLst/>
      </c:spPr>
    </c:plotArea>
    <c:legend>
      <c:legendPos val="t"/>
      <c:layout>
        <c:manualLayout>
          <c:xMode val="edge"/>
          <c:yMode val="edge"/>
          <c:x val="0.29657451842984922"/>
          <c:y val="0.25228695233509868"/>
          <c:w val="0.40069617009521757"/>
          <c:h val="7.638591396585778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zh-CN"/>
        </a:p>
      </c:txPr>
    </c:legend>
    <c:plotVisOnly val="1"/>
    <c:dispBlanksAs val="gap"/>
    <c:showDLblsOverMax val="0"/>
    <c:extLst>
      <c:ext uri="{0b15fc19-7d7d-44ad-8c2d-2c3a37ce22c3}">
        <chartProps xmlns="https://web.wps.cn/et/2018/main" chartId="{5d9a9b7e-c019-43b9-84e9-e099154f87da}"/>
      </c:ext>
    </c:extLst>
  </c:chart>
  <c:spPr>
    <a:solidFill>
      <a:schemeClr val="lt1"/>
    </a:solidFill>
    <a:ln w="9525" cap="flat" cmpd="sng" algn="ctr">
      <a:solidFill>
        <a:schemeClr val="dk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cap="none" spc="20" baseline="0">
                <a:solidFill>
                  <a:schemeClr val="dk1">
                    <a:lumMod val="50000"/>
                    <a:lumOff val="50000"/>
                  </a:schemeClr>
                </a:solidFill>
                <a:latin typeface="Times New Roman" panose="02020603050405020304" pitchFamily="18" charset="0"/>
                <a:ea typeface="+mn-ea"/>
                <a:cs typeface="Times New Roman" panose="02020603050405020304" pitchFamily="18" charset="0"/>
              </a:defRPr>
            </a:pPr>
            <a:r>
              <a:rPr lang="en-GB" sz="1200" b="1"/>
              <a:t>Figure 8. </a:t>
            </a:r>
            <a:r>
              <a:rPr lang="en-GB" sz="1200"/>
              <a:t>Indexed Fresh Water Withdrawal </a:t>
            </a:r>
            <a:r>
              <a:rPr lang="en-GB" altLang="zh-CN" sz="1200" b="0" i="0" u="none" strike="noStrike" cap="none" baseline="0"/>
              <a:t>of Sinopec and CNOOC</a:t>
            </a:r>
            <a:r>
              <a:rPr lang="en-GB" sz="1200"/>
              <a:t>, 2020-2024 (2020=100)</a:t>
            </a:r>
            <a:endParaRPr lang="zh-CN" sz="1200"/>
          </a:p>
        </c:rich>
      </c:tx>
      <c:overlay val="0"/>
      <c:spPr>
        <a:noFill/>
        <a:ln>
          <a:noFill/>
        </a:ln>
        <a:effectLst/>
      </c:spPr>
      <c:txPr>
        <a:bodyPr rot="0" spcFirstLastPara="1" vertOverflow="ellipsis" vert="horz" wrap="square" anchor="ctr" anchorCtr="1"/>
        <a:lstStyle/>
        <a:p>
          <a:pPr>
            <a:defRPr sz="1200" b="0" i="0" u="none" strike="noStrike" kern="1200" cap="none" spc="20" baseline="0">
              <a:solidFill>
                <a:schemeClr val="dk1">
                  <a:lumMod val="50000"/>
                  <a:lumOff val="50000"/>
                </a:schemeClr>
              </a:solidFill>
              <a:latin typeface="Times New Roman" panose="02020603050405020304" pitchFamily="18" charset="0"/>
              <a:ea typeface="+mn-ea"/>
              <a:cs typeface="Times New Roman" panose="02020603050405020304" pitchFamily="18" charset="0"/>
            </a:defRPr>
          </a:pPr>
          <a:endParaRPr lang="zh-CN"/>
        </a:p>
      </c:txPr>
    </c:title>
    <c:autoTitleDeleted val="0"/>
    <c:plotArea>
      <c:layout/>
      <c:lineChart>
        <c:grouping val="standard"/>
        <c:varyColors val="0"/>
        <c:ser>
          <c:idx val="0"/>
          <c:order val="0"/>
          <c:tx>
            <c:strRef>
              <c:f>'3.1 E'!$U$50</c:f>
              <c:strCache>
                <c:ptCount val="1"/>
                <c:pt idx="0">
                  <c:v>Sinopec</c:v>
                </c:pt>
              </c:strCache>
            </c:strRef>
          </c:tx>
          <c:spPr>
            <a:ln w="31750" cap="rnd" cmpd="sng" algn="ctr">
              <a:solidFill>
                <a:schemeClr val="accent1"/>
              </a:solidFill>
              <a:round/>
            </a:ln>
            <a:effectLst>
              <a:outerShdw blurRad="50800" dist="38100" dir="2700000" algn="tl" rotWithShape="0">
                <a:prstClr val="black">
                  <a:alpha val="40000"/>
                </a:prstClr>
              </a:outerShdw>
            </a:effectLst>
          </c:spPr>
          <c:marker>
            <c:symbol val="circle"/>
            <c:size val="4"/>
            <c:spPr>
              <a:solidFill>
                <a:schemeClr val="accent1"/>
              </a:solidFill>
              <a:ln w="9525" cap="flat" cmpd="sng" algn="ctr">
                <a:solidFill>
                  <a:schemeClr val="accent1"/>
                </a:solidFill>
                <a:round/>
              </a:ln>
              <a:effectLst>
                <a:outerShdw blurRad="50800" dist="38100" dir="2700000" algn="tl" rotWithShape="0">
                  <a:prstClr val="black">
                    <a:alpha val="40000"/>
                  </a:prstClr>
                </a:outerShdw>
              </a:effectLst>
            </c:spPr>
          </c:marker>
          <c:dLbls>
            <c:dLbl>
              <c:idx val="2"/>
              <c:layout>
                <c:manualLayout>
                  <c:x val="-5.0336729162252132E-2"/>
                  <c:y val="-4.298838186169651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2EE-477D-8560-BE84B0BC68D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zh-CN"/>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'3.1 E'!$V$50:$Z$50</c:f>
              <c:numCache>
                <c:formatCode>General</c:formatCode>
                <c:ptCount val="5"/>
                <c:pt idx="0">
                  <c:v>2020</c:v>
                </c:pt>
                <c:pt idx="1">
                  <c:v>2021</c:v>
                </c:pt>
                <c:pt idx="2">
                  <c:v>2022</c:v>
                </c:pt>
                <c:pt idx="3">
                  <c:v>2023</c:v>
                </c:pt>
                <c:pt idx="4">
                  <c:v>2024</c:v>
                </c:pt>
              </c:numCache>
            </c:numRef>
          </c:cat>
          <c:val>
            <c:numRef>
              <c:f>'3.1 E'!$V$52:$Z$52</c:f>
              <c:numCache>
                <c:formatCode>0.00</c:formatCode>
                <c:ptCount val="5"/>
                <c:pt idx="0">
                  <c:v>100</c:v>
                </c:pt>
                <c:pt idx="1">
                  <c:v>98.91</c:v>
                </c:pt>
                <c:pt idx="2">
                  <c:v>97.81</c:v>
                </c:pt>
                <c:pt idx="3">
                  <c:v>96.83</c:v>
                </c:pt>
                <c:pt idx="4">
                  <c:v>95.86</c:v>
                </c:pt>
              </c:numCache>
            </c:numRef>
          </c:val>
          <c:smooth val="0"/>
          <c:extLst>
            <c:ext xmlns:c16="http://schemas.microsoft.com/office/drawing/2014/chart" uri="{C3380CC4-5D6E-409C-BE32-E72D297353CC}">
              <c16:uniqueId val="{00000001-F2EE-477D-8560-BE84B0BC68D6}"/>
            </c:ext>
          </c:extLst>
        </c:ser>
        <c:ser>
          <c:idx val="1"/>
          <c:order val="1"/>
          <c:tx>
            <c:strRef>
              <c:f>'3.1 E'!$U$54</c:f>
              <c:strCache>
                <c:ptCount val="1"/>
                <c:pt idx="0">
                  <c:v>CNOOC</c:v>
                </c:pt>
              </c:strCache>
            </c:strRef>
          </c:tx>
          <c:spPr>
            <a:ln w="31750" cap="rnd" cmpd="sng" algn="ctr">
              <a:solidFill>
                <a:schemeClr val="accent2"/>
              </a:solidFill>
              <a:round/>
            </a:ln>
            <a:effectLst>
              <a:outerShdw blurRad="50800" dist="38100" dir="2700000" algn="tl" rotWithShape="0">
                <a:prstClr val="black">
                  <a:alpha val="40000"/>
                </a:prstClr>
              </a:outerShdw>
            </a:effectLst>
          </c:spPr>
          <c:marker>
            <c:symbol val="circle"/>
            <c:size val="4"/>
            <c:spPr>
              <a:solidFill>
                <a:schemeClr val="accent2"/>
              </a:solidFill>
              <a:ln w="9525" cap="flat" cmpd="sng" algn="ctr">
                <a:solidFill>
                  <a:schemeClr val="accent2"/>
                </a:solidFill>
                <a:round/>
              </a:ln>
              <a:effectLst>
                <a:outerShdw blurRad="50800" dist="38100" dir="2700000" algn="tl" rotWithShape="0">
                  <a:prstClr val="black">
                    <a:alpha val="40000"/>
                  </a:prstClr>
                </a:outerShdw>
              </a:effectLst>
            </c:spPr>
          </c:marker>
          <c:dLbls>
            <c:dLbl>
              <c:idx val="2"/>
              <c:layout>
                <c:manualLayout>
                  <c:x val="-4.7559536344379011E-2"/>
                  <c:y val="3.83795935919696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2EE-477D-8560-BE84B0BC68D6}"/>
                </c:ext>
              </c:extLst>
            </c:dLbl>
            <c:dLbl>
              <c:idx val="3"/>
              <c:layout>
                <c:manualLayout>
                  <c:x val="-6.4166159783543536E-2"/>
                  <c:y val="-4.882521717047102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2EE-477D-8560-BE84B0BC68D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'3.1 E'!$V$50:$Z$50</c:f>
              <c:numCache>
                <c:formatCode>General</c:formatCode>
                <c:ptCount val="5"/>
                <c:pt idx="0">
                  <c:v>2020</c:v>
                </c:pt>
                <c:pt idx="1">
                  <c:v>2021</c:v>
                </c:pt>
                <c:pt idx="2">
                  <c:v>2022</c:v>
                </c:pt>
                <c:pt idx="3">
                  <c:v>2023</c:v>
                </c:pt>
                <c:pt idx="4">
                  <c:v>2024</c:v>
                </c:pt>
              </c:numCache>
            </c:numRef>
          </c:cat>
          <c:val>
            <c:numRef>
              <c:f>'3.1 E'!$V$56:$Z$56</c:f>
              <c:numCache>
                <c:formatCode>0.00</c:formatCode>
                <c:ptCount val="5"/>
                <c:pt idx="0">
                  <c:v>100</c:v>
                </c:pt>
                <c:pt idx="1">
                  <c:v>100.33</c:v>
                </c:pt>
                <c:pt idx="2">
                  <c:v>93.68</c:v>
                </c:pt>
                <c:pt idx="3">
                  <c:v>99.34</c:v>
                </c:pt>
                <c:pt idx="4">
                  <c:v>116.03</c:v>
                </c:pt>
              </c:numCache>
            </c:numRef>
          </c:val>
          <c:smooth val="0"/>
          <c:extLst>
            <c:ext xmlns:c16="http://schemas.microsoft.com/office/drawing/2014/chart" uri="{C3380CC4-5D6E-409C-BE32-E72D297353CC}">
              <c16:uniqueId val="{00000004-F2EE-477D-8560-BE84B0BC68D6}"/>
            </c:ext>
          </c:extLst>
        </c:ser>
        <c:dLbls>
          <c:dLblPos val="t"/>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marker val="1"/>
        <c:smooth val="0"/>
        <c:axId val="1559562528"/>
        <c:axId val="1559552448"/>
      </c:lineChart>
      <c:catAx>
        <c:axId val="1559562528"/>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559552448"/>
        <c:crosses val="autoZero"/>
        <c:auto val="1"/>
        <c:lblAlgn val="ctr"/>
        <c:lblOffset val="100"/>
        <c:noMultiLvlLbl val="0"/>
      </c:catAx>
      <c:valAx>
        <c:axId val="1559552448"/>
        <c:scaling>
          <c:orientation val="minMax"/>
          <c:min val="90"/>
        </c:scaling>
        <c:delete val="0"/>
        <c:axPos val="l"/>
        <c:title>
          <c:tx>
            <c:rich>
              <a:bodyPr rot="-5400000" spcFirstLastPara="1" vertOverflow="ellipsis" vert="horz" wrap="square" anchor="ctr" anchorCtr="1"/>
              <a:lstStyle/>
              <a:p>
                <a:pPr>
                  <a:defRPr sz="900" b="0" i="0" u="none" strike="noStrike" kern="1200" cap="none"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r>
                  <a:rPr lang="en-GB" altLang="zh-CN" sz="900" b="0" i="0" u="none" strike="noStrike" kern="1200" cap="none" baseline="0">
                    <a:solidFill>
                      <a:sysClr val="windowText" lastClr="000000">
                        <a:lumMod val="65000"/>
                        <a:lumOff val="35000"/>
                      </a:sysClr>
                    </a:solidFill>
                    <a:latin typeface="Times New Roman" panose="02020603050405020304" pitchFamily="18" charset="0"/>
                    <a:cs typeface="Times New Roman" panose="02020603050405020304" pitchFamily="18" charset="0"/>
                  </a:rPr>
                  <a:t>Index (2020 = 100)</a:t>
                </a:r>
                <a:endParaRPr lang="zh-CN" altLang="en-US" sz="900" b="0" i="0" u="none" strike="noStrike" kern="1200" cap="none" baseline="0">
                  <a:solidFill>
                    <a:sysClr val="windowText" lastClr="000000">
                      <a:lumMod val="65000"/>
                      <a:lumOff val="35000"/>
                    </a:sysClr>
                  </a:solidFill>
                  <a:latin typeface="Times New Roman" panose="02020603050405020304" pitchFamily="18" charset="0"/>
                  <a:cs typeface="Times New Roman" panose="02020603050405020304" pitchFamily="18" charset="0"/>
                </a:endParaRPr>
              </a:p>
            </c:rich>
          </c:tx>
          <c:layout>
            <c:manualLayout>
              <c:xMode val="edge"/>
              <c:yMode val="edge"/>
              <c:x val="1.9446326547562325E-2"/>
              <c:y val="0.43152440764129441"/>
            </c:manualLayout>
          </c:layout>
          <c:overlay val="0"/>
          <c:spPr>
            <a:noFill/>
            <a:ln>
              <a:noFill/>
            </a:ln>
            <a:effectLst/>
          </c:spPr>
          <c:txPr>
            <a:bodyPr rot="-5400000" spcFirstLastPara="1" vertOverflow="ellipsis" vert="horz" wrap="square" anchor="ctr" anchorCtr="1"/>
            <a:lstStyle/>
            <a:p>
              <a:pPr>
                <a:defRPr sz="900" b="0" i="0" u="none" strike="noStrike" kern="1200" cap="none"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zh-CN" altLang="en-US"/>
            </a:p>
          </c:txPr>
        </c:title>
        <c:numFmt formatCode="#,##0_);[Red]\(#,##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559562528"/>
        <c:crosses val="autoZero"/>
        <c:crossBetween val="between"/>
      </c:valAx>
      <c:spPr>
        <a:gradFill>
          <a:gsLst>
            <a:gs pos="100000">
              <a:schemeClr val="lt1">
                <a:lumMod val="95000"/>
              </a:schemeClr>
            </a:gs>
            <a:gs pos="0">
              <a:schemeClr val="lt1"/>
            </a:gs>
          </a:gsLst>
          <a:lin ang="5400000" scaled="0"/>
        </a:grad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200" b="0" i="0" u="none" strike="noStrike" kern="1200" cap="none" spc="20" baseline="0">
                <a:solidFill>
                  <a:schemeClr val="dk1">
                    <a:lumMod val="50000"/>
                    <a:lumOff val="50000"/>
                  </a:schemeClr>
                </a:solidFill>
                <a:latin typeface="Times New Roman" panose="02020603050405020304" pitchFamily="18" charset="0"/>
                <a:ea typeface="+mn-ea"/>
                <a:cs typeface="Times New Roman" panose="02020603050405020304" pitchFamily="18" charset="0"/>
              </a:defRPr>
            </a:pPr>
            <a:r>
              <a:rPr lang="en-GB" sz="1200" b="1"/>
              <a:t>Figure 11. </a:t>
            </a:r>
            <a:r>
              <a:rPr lang="en-GB" sz="1200"/>
              <a:t>Board Independence of Sinopec and CNOOC, 2020-2024</a:t>
            </a:r>
            <a:endParaRPr lang="zh-CN" sz="1200"/>
          </a:p>
        </c:rich>
      </c:tx>
      <c:overlay val="0"/>
      <c:spPr>
        <a:noFill/>
        <a:ln>
          <a:noFill/>
        </a:ln>
        <a:effectLst/>
      </c:spPr>
      <c:txPr>
        <a:bodyPr rot="0" spcFirstLastPara="1" vertOverflow="ellipsis" vert="horz" wrap="square" anchor="ctr" anchorCtr="1"/>
        <a:lstStyle/>
        <a:p>
          <a:pPr>
            <a:defRPr lang="zh-CN" sz="1200" b="0" i="0" u="none" strike="noStrike" kern="1200" cap="none" spc="20" baseline="0">
              <a:solidFill>
                <a:schemeClr val="dk1">
                  <a:lumMod val="50000"/>
                  <a:lumOff val="50000"/>
                </a:schemeClr>
              </a:solidFill>
              <a:latin typeface="Times New Roman" panose="02020603050405020304" pitchFamily="18" charset="0"/>
              <a:ea typeface="+mn-ea"/>
              <a:cs typeface="Times New Roman" panose="02020603050405020304" pitchFamily="18" charset="0"/>
            </a:defRPr>
          </a:pPr>
          <a:endParaRPr lang="zh-CN"/>
        </a:p>
      </c:txPr>
    </c:title>
    <c:autoTitleDeleted val="0"/>
    <c:plotArea>
      <c:layout/>
      <c:lineChart>
        <c:grouping val="standard"/>
        <c:varyColors val="0"/>
        <c:ser>
          <c:idx val="0"/>
          <c:order val="0"/>
          <c:tx>
            <c:strRef>
              <c:f>'3.3 G'!$B$16</c:f>
              <c:strCache>
                <c:ptCount val="1"/>
                <c:pt idx="0">
                  <c:v>Sinopec</c:v>
                </c:pt>
              </c:strCache>
            </c:strRef>
          </c:tx>
          <c:spPr>
            <a:ln w="31750" cap="rnd" cmpd="sng" algn="ctr">
              <a:solidFill>
                <a:schemeClr val="accent1"/>
              </a:solidFill>
              <a:round/>
            </a:ln>
            <a:effectLst>
              <a:outerShdw blurRad="50800" dist="38100" dir="2700000" algn="tl" rotWithShape="0">
                <a:prstClr val="black">
                  <a:alpha val="40000"/>
                </a:prstClr>
              </a:outerShdw>
            </a:effectLst>
          </c:spPr>
          <c:marker>
            <c:symbol val="circle"/>
            <c:size val="4"/>
            <c:spPr>
              <a:solidFill>
                <a:schemeClr val="accent1"/>
              </a:solidFill>
              <a:ln w="9525" cap="flat" cmpd="sng" algn="ctr">
                <a:solidFill>
                  <a:schemeClr val="accent1"/>
                </a:solidFill>
                <a:round/>
              </a:ln>
              <a:effectLst>
                <a:outerShdw blurRad="50800" dist="38100" dir="2700000" algn="tl" rotWithShape="0">
                  <a:prstClr val="black">
                    <a:alpha val="40000"/>
                  </a:prstClr>
                </a:outerShdw>
              </a:effectLst>
            </c:spPr>
          </c:marker>
          <c:dLbls>
            <c:dLbl>
              <c:idx val="1"/>
              <c:layout>
                <c:manualLayout>
                  <c:x val="-6.35347769028871E-2"/>
                  <c:y val="-4.781240886555859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CA8-4E5D-99E9-7BDCE9E40EA0}"/>
                </c:ext>
              </c:extLst>
            </c:dLbl>
            <c:dLbl>
              <c:idx val="4"/>
              <c:layout>
                <c:manualLayout>
                  <c:x val="-6.0756999125109401E-2"/>
                  <c:y val="-2.92938903470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CA8-4E5D-99E9-7BDCE9E40EA0}"/>
                </c:ext>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zh-CN"/>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'3.3 G'!$C$15:$G$15</c:f>
              <c:numCache>
                <c:formatCode>General</c:formatCode>
                <c:ptCount val="5"/>
                <c:pt idx="0">
                  <c:v>2020</c:v>
                </c:pt>
                <c:pt idx="1">
                  <c:v>2021</c:v>
                </c:pt>
                <c:pt idx="2">
                  <c:v>2022</c:v>
                </c:pt>
                <c:pt idx="3">
                  <c:v>2023</c:v>
                </c:pt>
                <c:pt idx="4">
                  <c:v>2024</c:v>
                </c:pt>
              </c:numCache>
            </c:numRef>
          </c:cat>
          <c:val>
            <c:numRef>
              <c:f>'3.3 G'!$C$16:$G$16</c:f>
              <c:numCache>
                <c:formatCode>0.00%</c:formatCode>
                <c:ptCount val="5"/>
                <c:pt idx="0">
                  <c:v>0.30769999999999997</c:v>
                </c:pt>
                <c:pt idx="1">
                  <c:v>0.3846</c:v>
                </c:pt>
                <c:pt idx="2">
                  <c:v>0.4</c:v>
                </c:pt>
                <c:pt idx="3">
                  <c:v>0.36359999999999998</c:v>
                </c:pt>
                <c:pt idx="4">
                  <c:v>0.5</c:v>
                </c:pt>
              </c:numCache>
            </c:numRef>
          </c:val>
          <c:smooth val="0"/>
          <c:extLst>
            <c:ext xmlns:c16="http://schemas.microsoft.com/office/drawing/2014/chart" uri="{C3380CC4-5D6E-409C-BE32-E72D297353CC}">
              <c16:uniqueId val="{00000002-5CA8-4E5D-99E9-7BDCE9E40EA0}"/>
            </c:ext>
          </c:extLst>
        </c:ser>
        <c:ser>
          <c:idx val="1"/>
          <c:order val="1"/>
          <c:tx>
            <c:strRef>
              <c:f>'3.3 G'!$B$17</c:f>
              <c:strCache>
                <c:ptCount val="1"/>
                <c:pt idx="0">
                  <c:v>CNOOC</c:v>
                </c:pt>
              </c:strCache>
            </c:strRef>
          </c:tx>
          <c:spPr>
            <a:ln w="31750" cap="rnd" cmpd="sng" algn="ctr">
              <a:solidFill>
                <a:schemeClr val="accent2"/>
              </a:solidFill>
              <a:round/>
            </a:ln>
            <a:effectLst>
              <a:outerShdw blurRad="50800" dist="38100" dir="2700000" algn="tl" rotWithShape="0">
                <a:prstClr val="black">
                  <a:alpha val="40000"/>
                </a:prstClr>
              </a:outerShdw>
            </a:effectLst>
          </c:spPr>
          <c:marker>
            <c:symbol val="circle"/>
            <c:size val="4"/>
            <c:spPr>
              <a:solidFill>
                <a:schemeClr val="accent2"/>
              </a:solidFill>
              <a:ln w="9525" cap="flat" cmpd="sng" algn="ctr">
                <a:solidFill>
                  <a:schemeClr val="accent2"/>
                </a:solidFill>
                <a:round/>
              </a:ln>
              <a:effectLst>
                <a:outerShdw blurRad="50800" dist="38100" dir="2700000" algn="tl" rotWithShape="0">
                  <a:prstClr val="black">
                    <a:alpha val="40000"/>
                  </a:prstClr>
                </a:outerShdw>
              </a:effectLst>
            </c:spPr>
          </c:marker>
          <c:dLbls>
            <c:dLbl>
              <c:idx val="1"/>
              <c:layout>
                <c:manualLayout>
                  <c:x val="-5.7979167422785201E-2"/>
                  <c:y val="4.319606861719069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CA8-4E5D-99E9-7BDCE9E40EA0}"/>
                </c:ext>
              </c:extLst>
            </c:dLbl>
            <c:dLbl>
              <c:idx val="4"/>
              <c:layout>
                <c:manualLayout>
                  <c:x val="-6.3534776902887197E-2"/>
                  <c:y val="4.318277923592880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5CA8-4E5D-99E9-7BDCE9E40EA0}"/>
                </c:ext>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'3.3 G'!$C$15:$G$15</c:f>
              <c:numCache>
                <c:formatCode>General</c:formatCode>
                <c:ptCount val="5"/>
                <c:pt idx="0">
                  <c:v>2020</c:v>
                </c:pt>
                <c:pt idx="1">
                  <c:v>2021</c:v>
                </c:pt>
                <c:pt idx="2">
                  <c:v>2022</c:v>
                </c:pt>
                <c:pt idx="3">
                  <c:v>2023</c:v>
                </c:pt>
                <c:pt idx="4">
                  <c:v>2024</c:v>
                </c:pt>
              </c:numCache>
            </c:numRef>
          </c:cat>
          <c:val>
            <c:numRef>
              <c:f>'3.3 G'!$C$17:$G$17</c:f>
              <c:numCache>
                <c:formatCode>0.00%</c:formatCode>
                <c:ptCount val="5"/>
                <c:pt idx="0">
                  <c:v>0.4</c:v>
                </c:pt>
                <c:pt idx="1">
                  <c:v>0.36359999999999998</c:v>
                </c:pt>
                <c:pt idx="2">
                  <c:v>0.45450000000000002</c:v>
                </c:pt>
                <c:pt idx="3">
                  <c:v>0.5</c:v>
                </c:pt>
                <c:pt idx="4">
                  <c:v>0.36359999999999998</c:v>
                </c:pt>
              </c:numCache>
            </c:numRef>
          </c:val>
          <c:smooth val="0"/>
          <c:extLst>
            <c:ext xmlns:c16="http://schemas.microsoft.com/office/drawing/2014/chart" uri="{C3380CC4-5D6E-409C-BE32-E72D297353CC}">
              <c16:uniqueId val="{00000005-5CA8-4E5D-99E9-7BDCE9E40EA0}"/>
            </c:ext>
          </c:extLst>
        </c:ser>
        <c:dLbls>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marker val="1"/>
        <c:smooth val="0"/>
        <c:axId val="606533072"/>
        <c:axId val="606533552"/>
      </c:lineChart>
      <c:catAx>
        <c:axId val="606533072"/>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lang="zh-CN" sz="900" b="0" i="0" u="none" strike="noStrike" kern="1200" spc="2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606533552"/>
        <c:crosses val="autoZero"/>
        <c:auto val="1"/>
        <c:lblAlgn val="ctr"/>
        <c:lblOffset val="100"/>
        <c:noMultiLvlLbl val="0"/>
      </c:catAx>
      <c:valAx>
        <c:axId val="606533552"/>
        <c:scaling>
          <c:orientation val="minMax"/>
        </c:scaling>
        <c:delete val="0"/>
        <c:axPos val="l"/>
        <c:title>
          <c:tx>
            <c:rich>
              <a:bodyPr rot="-5400000" spcFirstLastPara="1" vertOverflow="ellipsis" vert="horz" wrap="square" anchor="ctr" anchorCtr="1"/>
              <a:lstStyle/>
              <a:p>
                <a:pPr>
                  <a:defRPr lang="zh-CN" sz="900" b="0" i="0" u="none" strike="noStrike" kern="1200" cap="none"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r>
                  <a:rPr lang="en-GB" altLang="zh-CN" sz="900" b="0" i="0" u="none" strike="noStrike" cap="none" baseline="0"/>
                  <a:t>Independent board members (%)</a:t>
                </a:r>
                <a:endParaRPr lang="zh-CN" altLang="en-US" cap="none" baseline="0"/>
              </a:p>
            </c:rich>
          </c:tx>
          <c:layout>
            <c:manualLayout>
              <c:xMode val="edge"/>
              <c:yMode val="edge"/>
              <c:x val="1.9430156564660898E-2"/>
              <c:y val="0.33111104518692802"/>
            </c:manualLayout>
          </c:layout>
          <c:overlay val="0"/>
          <c:spPr>
            <a:noFill/>
            <a:ln>
              <a:noFill/>
            </a:ln>
            <a:effectLst/>
          </c:spPr>
          <c:txPr>
            <a:bodyPr rot="-5400000" spcFirstLastPara="1" vertOverflow="ellipsis" vert="horz" wrap="square" anchor="ctr" anchorCtr="1"/>
            <a:lstStyle/>
            <a:p>
              <a:pPr>
                <a:defRPr lang="zh-CN" sz="900" b="0" i="0" u="none" strike="noStrike" kern="1200" cap="none"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zh-CN" alt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spc="2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606533072"/>
        <c:crosses val="autoZero"/>
        <c:crossBetween val="between"/>
      </c:valAx>
      <c:spPr>
        <a:gradFill>
          <a:gsLst>
            <a:gs pos="100000">
              <a:schemeClr val="lt1">
                <a:lumMod val="95000"/>
              </a:schemeClr>
            </a:gs>
            <a:gs pos="0">
              <a:schemeClr val="lt1"/>
            </a:gs>
          </a:gsLst>
          <a:lin ang="5400000" scaled="0"/>
        </a:gradFill>
        <a:ln>
          <a:noFill/>
        </a:ln>
        <a:effectLst/>
      </c:spPr>
    </c:plotArea>
    <c:legend>
      <c:legendPos val="t"/>
      <c:overlay val="0"/>
      <c:spPr>
        <a:noFill/>
        <a:ln>
          <a:noFill/>
        </a:ln>
        <a:effectLst/>
      </c:spPr>
      <c:txPr>
        <a:bodyPr rot="0" spcFirstLastPara="1" vertOverflow="ellipsis" vert="horz" wrap="square" anchor="ctr" anchorCtr="1"/>
        <a:lstStyle/>
        <a:p>
          <a:pPr>
            <a:defRPr lang="zh-CN" sz="9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zh-CN"/>
        </a:p>
      </c:txPr>
    </c:legend>
    <c:plotVisOnly val="1"/>
    <c:dispBlanksAs val="gap"/>
    <c:showDLblsOverMax val="0"/>
    <c:extLst>
      <c:ext uri="{0b15fc19-7d7d-44ad-8c2d-2c3a37ce22c3}">
        <chartProps xmlns="https://web.wps.cn/et/2018/main" chartId="{ffd2c769-2d2c-4243-82c4-b2c3e3826024}"/>
      </c:ext>
    </c:extLst>
  </c:chart>
  <c:spPr>
    <a:solidFill>
      <a:schemeClr val="lt1"/>
    </a:solidFill>
    <a:ln w="9525" cap="flat" cmpd="sng" algn="ctr">
      <a:solidFill>
        <a:schemeClr val="dk1">
          <a:lumMod val="15000"/>
          <a:lumOff val="85000"/>
        </a:schemeClr>
      </a:solidFill>
      <a:round/>
    </a:ln>
    <a:effectLst/>
  </c:spPr>
  <c:txPr>
    <a:bodyPr/>
    <a:lstStyle/>
    <a:p>
      <a:pPr>
        <a:defRPr lang="zh-CN">
          <a:latin typeface="Times New Roman" panose="02020603050405020304" pitchFamily="18" charset="0"/>
          <a:cs typeface="Times New Roman" panose="02020603050405020304" pitchFamily="18" charset="0"/>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FDA8B-F20E-4AC7-A07B-B5E85E467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2565</TotalTime>
  <Pages>28</Pages>
  <Words>6323</Words>
  <Characters>43189</Characters>
  <Application>Microsoft Office Word</Application>
  <DocSecurity>0</DocSecurity>
  <Lines>732</Lines>
  <Paragraphs>241</Paragraphs>
  <ScaleCrop>false</ScaleCrop>
  <Company/>
  <LinksUpToDate>false</LinksUpToDate>
  <CharactersWithSpaces>49271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YuZzD_ _</dc:creator>
  <cp:keywords/>
  <dc:description/>
  <cp:lastModifiedBy>YuZzD_ _</cp:lastModifiedBy>
  <cp:revision>142</cp:revision>
  <cp:lastPrinted>2026-05-25T19:33:00Z</cp:lastPrinted>
  <dcterms:created xsi:type="dcterms:W3CDTF">2026-04-18T10:48:00Z</dcterms:created>
  <dcterms:modified xsi:type="dcterms:W3CDTF">2026-05-29T16:18:00Z</dcterms:modified>
</cp:coreProperties>
</file>