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58BA" w14:textId="77777777" w:rsidR="0059673A" w:rsidRDefault="00FB6359">
      <w:pPr>
        <w:spacing w:after="400"/>
        <w:jc w:val="right"/>
        <w:rPr>
          <w:rFonts w:ascii="David" w:hAnsi="David" w:cs="David"/>
          <w:b/>
          <w:sz w:val="32"/>
        </w:rPr>
      </w:pPr>
      <w:bookmarkStart w:id="0" w:name="נקודה_זמנית"/>
      <w:bookmarkEnd w:id="0"/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5708910A" w14:textId="77777777" w:rsidR="0059673A" w:rsidRDefault="0059673A"/>
    <w:p w14:paraId="7EB112AF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>?</w:t>
      </w:r>
    </w:p>
    <w:p w14:paraId="6A26AC8C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>?</w:t>
      </w:r>
    </w:p>
    <w:p w14:paraId="68B66321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</w:t>
      </w:r>
      <w:r>
        <w:rPr>
          <w:rFonts w:ascii="David" w:hAnsi="David" w:cs="David"/>
          <w:sz w:val="28"/>
        </w:rPr>
        <w:t>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>?</w:t>
      </w:r>
    </w:p>
    <w:p w14:paraId="3805D4E3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>?</w:t>
      </w:r>
    </w:p>
    <w:p w14:paraId="52C4D185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>?</w:t>
      </w:r>
    </w:p>
    <w:p w14:paraId="63A6B8FA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lastRenderedPageBreak/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>?</w:t>
      </w:r>
    </w:p>
    <w:p w14:paraId="0E132A9C" w14:textId="77777777" w:rsidR="0059673A" w:rsidRDefault="00FB6359">
      <w:pPr>
        <w:spacing w:after="240"/>
        <w:jc w:val="right"/>
      </w:pP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5967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3D4C3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05964575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1FFB9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414A5F44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59673A"/>
    <w:rsid w:val="00784FB6"/>
    <w:rsid w:val="0092080F"/>
    <w:rsid w:val="00AA1D8D"/>
    <w:rsid w:val="00B47730"/>
    <w:rsid w:val="00BD31C1"/>
    <w:rsid w:val="00CB0664"/>
    <w:rsid w:val="00DB2C5A"/>
    <w:rsid w:val="00FB63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530DB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2025-10-22T12:12:00Z</dcterms:modified>
  <cp:category/>
</cp:coreProperties>
</file>