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001A2E"/>
          <w:sz w:val="64"/>
          <w:szCs w:val="64"/>
        </w:rPr>
        <w:t xml:space="preserve">FLUIDBODY+</w:t>
      </w:r>
    </w:p>
    <w:p>
      <w:pPr>
        <w:spacing w:after="500"/>
        <w:jc w:val="center"/>
      </w:pPr>
      <w:r>
        <w:rPr>
          <w:color w:val="0B4F6C"/>
          <w:sz w:val="30"/>
          <w:szCs w:val="30"/>
        </w:rPr>
        <w:t xml:space="preserve">Plan de croissance : devenir le leader du Pilates streaming francophone</w:t>
      </w:r>
    </w:p>
    <w:p>
      <w:pPr>
        <w:spacing w:after="200"/>
        <w:jc w:val="center"/>
      </w:pPr>
      <w:r>
        <w:rPr>
          <w:b/>
          <w:bCs/>
          <w:color w:val="001A2E"/>
          <w:sz w:val="26"/>
          <w:szCs w:val="26"/>
        </w:rPr>
        <w:t xml:space="preserve">Objectif : 50 000 utilisateurs</w:t>
      </w:r>
    </w:p>
    <w:p>
      <w:pPr>
        <w:spacing w:after="2000"/>
        <w:jc w:val="center"/>
      </w:pPr>
      <w:r>
        <w:rPr>
          <w:i/>
          <w:iCs/>
          <w:color w:val="5A6B78"/>
          <w:sz w:val="22"/>
          <w:szCs w:val="22"/>
        </w:rPr>
        <w:t xml:space="preserve">Comme une méduse dans l’océan : pas de précipitation, pas d’à-coups, une propulsion régulière qui porte loin.</w:t>
      </w:r>
    </w:p>
    <w:p>
      <w:pPr>
        <w:jc w:val="center"/>
      </w:pPr>
      <w:r>
        <w:rPr>
          <w:color w:val="5A6B78"/>
          <w:sz w:val="20"/>
          <w:szCs w:val="20"/>
        </w:rPr>
        <w:t xml:space="preserve">Yvan Tissot · Espace Pilates · 26 juillet 2026</w:t>
      </w:r>
    </w:p>
    <w:p>
      <w:r>
        <w:br w:type="page"/>
      </w:r>
    </w:p>
    <w:p>
      <w:pPr>
        <w:pStyle w:val="Heading1"/>
        <w:spacing w:after="160" w:before="360"/>
      </w:pPr>
      <w:r>
        <w:rPr>
          <w:color w:val="0B4F6C"/>
        </w:rPr>
        <w:t xml:space="preserve">1. La vision</w:t>
      </w:r>
    </w:p>
    <w:p>
      <w:pPr>
        <w:spacing w:after="140" w:line="300"/>
      </w:pPr>
      <w:r>
        <w:t xml:space="preserve">FluidBody+ ne vend pas du fitness. L’app vend un moment d’apesanteur : le fond marin, les méduses qui respirent, la voix de Sabrina, jamais pressée, toujours précise. Dans un marché saturé de néons, de chronomètres et de coachs qui crient, cette identité sensorielle est un actif stratégique, pas une décoration. C’est elle qui fait qu’on revient le soir, et la croissance d’une app d’abonnement est d’abord une affaire de retour.</w:t>
      </w:r>
    </w:p>
    <w:p>
      <w:pPr>
        <w:spacing w:after="140" w:line="300"/>
      </w:pPr>
      <w:r>
        <w:t xml:space="preserve">La couronne visée est précise : leader du Pilates streaming francophone. Les géants anglophones (Alo Moves, Pilates Anytime, Peloton) ne viendront pas la chercher, le marché francophone est trop petit pour eux. Il est en revanche exactement à la taille d’une marque incarnée par une instructrice de 30 ans de pratique, adossée à un studio réel en Suisse romande.</w:t>
      </w:r>
    </w:p>
    <w:p>
      <w:pPr>
        <w:pStyle w:val="Heading1"/>
        <w:spacing w:after="160" w:before="360"/>
      </w:pPr>
      <w:r>
        <w:rPr>
          <w:color w:val="0B4F6C"/>
        </w:rPr>
        <w:t xml:space="preserve">2. Les fondations (état au 26 juillet 2026)</w:t>
      </w:r>
    </w:p>
    <w:p>
      <w:pPr>
        <w:pStyle w:val="ListParagraph"/>
        <w:numPr>
          <w:ilvl w:val="0"/>
          <w:numId w:val="2"/>
        </w:numPr>
        <w:spacing w:after="80" w:line="280"/>
      </w:pPr>
      <w:r>
        <w:rPr>
          <w:b/>
          <w:bCs/>
        </w:rPr>
        <w:t xml:space="preserve">Prêt. </w:t>
      </w:r>
      <w:r>
        <w:t xml:space="preserve">Produit : app iPhone, iPad et Apple TV au niveau technique des leaders (vidéos protégées, hors-ligne chiffré, HealthKit complet, 2 langues). Audit de sécurité complet passé, infrastructure verrouillée.</w:t>
      </w:r>
    </w:p>
    <w:p>
      <w:pPr>
        <w:pStyle w:val="ListParagraph"/>
        <w:numPr>
          <w:ilvl w:val="0"/>
          <w:numId w:val="2"/>
        </w:numPr>
        <w:spacing w:after="80" w:line="280"/>
      </w:pPr>
      <w:r>
        <w:rPr>
          <w:b/>
          <w:bCs/>
        </w:rPr>
        <w:t xml:space="preserve">Prêt. </w:t>
      </w:r>
      <w:r>
        <w:t xml:space="preserve">Marque : identité océan unique dans la catégorie, photos de Sabrina, tutoiement, citation du jour. Le paywall raconte le studio, pas un abonnement anonyme.</w:t>
      </w:r>
    </w:p>
    <w:p>
      <w:pPr>
        <w:pStyle w:val="ListParagraph"/>
        <w:numPr>
          <w:ilvl w:val="0"/>
          <w:numId w:val="2"/>
        </w:numPr>
        <w:spacing w:after="80" w:line="280"/>
      </w:pPr>
      <w:r>
        <w:rPr>
          <w:b/>
          <w:bCs/>
        </w:rPr>
        <w:t xml:space="preserve">Prêt. </w:t>
      </w:r>
      <w:r>
        <w:t xml:space="preserve">Modèle : 24.90 CHF/mois ou 199 CHF/an (offre fondateur), essai par le gratuit permanent (1re séance de chaque pilier, toute la théorie, 2 vidéos du mois tournantes).</w:t>
      </w:r>
    </w:p>
    <w:p>
      <w:pPr>
        <w:pStyle w:val="ListParagraph"/>
        <w:numPr>
          <w:ilvl w:val="0"/>
          <w:numId w:val="2"/>
        </w:numPr>
        <w:spacing w:after="80" w:line="280"/>
      </w:pPr>
      <w:r>
        <w:rPr>
          <w:b/>
          <w:bCs/>
        </w:rPr>
        <w:t xml:space="preserve">Le chantier. </w:t>
      </w:r>
      <w:r>
        <w:t xml:space="preserve">Contenu : 4 vidéos publiées sur 175 séances structurées. Le tournage est LE chantier critique. Le mécanisme est prêt pour masquer les séances non filmées le jour de la soumission App Store.</w:t>
      </w:r>
    </w:p>
    <w:p>
      <w:pPr>
        <w:spacing w:after="140" w:line="300"/>
      </w:pPr>
      <w:r>
        <w:t xml:space="preserve">Le marché mondial des apps Pilates pèse environ 150 millions de dollars (2025) et croît d’environ 9,5% par an. La vague Pilates sur les réseaux sociaux (des créatrices comme Move With Nicole ont bâti des audiences mondiales sur ce seul format) prouve que la demande de contenu guidé et apaisé est là.</w:t>
      </w:r>
    </w:p>
    <w:p>
      <w:pPr>
        <w:pStyle w:val="Heading1"/>
        <w:spacing w:after="160" w:before="360"/>
      </w:pPr>
      <w:r>
        <w:rPr>
          <w:color w:val="0B4F6C"/>
        </w:rPr>
        <w:t xml:space="preserve">3. Les quatre paliers</w:t>
      </w:r>
    </w:p>
    <w:p>
      <w:pPr>
        <w:spacing w:after="140" w:line="300"/>
      </w:pPr>
      <w:r>
        <w:t xml:space="preserve">Chaque palier a un moteur de croissance différent, un objectif de validation mesurable, et finance le suivant. Brûler les étapes coûte cher : la publicité payante avant d’avoir prouvé la rétention revient à remplir un seau percé à 60 CHF le litre.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50"/>
        <w:gridCol w:w="1850"/>
        <w:gridCol w:w="1850"/>
        <w:gridCol w:w="1810"/>
      </w:tblGrid>
      <w:tr>
        <w:tc>
          <w:tcPr>
            <w:tcW w:type="dxa" w:w="2000"/>
            <w:shd w:fill="001A2E" w:val="clear"/>
            <w:tcMar>
              <w:top w:type="dxa" w:w="80"/>
              <w:left w:type="dxa" w:w="100"/>
              <w:bottom w:type="dxa" w:w="80"/>
              <w:right w:type="dxa" w:w="100"/>
            </w:tcMar>
          </w:tcPr>
          <w:p>
            <w:pPr>
              <w:spacing w:after="0" w:line="260"/>
            </w:pPr>
            <w:r>
              <w:rPr>
                <w:b/>
                <w:bCs/>
                <w:color w:val="FFFFFF"/>
                <w:sz w:val="19"/>
                <w:szCs w:val="19"/>
              </w:rPr>
              <w:t xml:space="preserve"/>
            </w:r>
          </w:p>
        </w:tc>
        <w:tc>
          <w:tcPr>
            <w:tcW w:type="dxa" w:w="1850"/>
            <w:shd w:fill="001A2E" w:val="clear"/>
            <w:tcMar>
              <w:top w:type="dxa" w:w="80"/>
              <w:left w:type="dxa" w:w="100"/>
              <w:bottom w:type="dxa" w:w="80"/>
              <w:right w:type="dxa" w:w="100"/>
            </w:tcMar>
          </w:tcPr>
          <w:p>
            <w:pPr>
              <w:spacing w:after="0" w:line="260"/>
            </w:pPr>
            <w:r>
              <w:rPr>
                <w:b/>
                <w:bCs/>
                <w:color w:val="FFFFFF"/>
                <w:sz w:val="19"/>
                <w:szCs w:val="19"/>
              </w:rPr>
              <w:t xml:space="preserve">Palier 1 : 100</w:t>
            </w:r>
          </w:p>
        </w:tc>
        <w:tc>
          <w:tcPr>
            <w:tcW w:type="dxa" w:w="1850"/>
            <w:shd w:fill="001A2E" w:val="clear"/>
            <w:tcMar>
              <w:top w:type="dxa" w:w="80"/>
              <w:left w:type="dxa" w:w="100"/>
              <w:bottom w:type="dxa" w:w="80"/>
              <w:right w:type="dxa" w:w="100"/>
            </w:tcMar>
          </w:tcPr>
          <w:p>
            <w:pPr>
              <w:spacing w:after="0" w:line="260"/>
            </w:pPr>
            <w:r>
              <w:rPr>
                <w:b/>
                <w:bCs/>
                <w:color w:val="FFFFFF"/>
                <w:sz w:val="19"/>
                <w:szCs w:val="19"/>
              </w:rPr>
              <w:t xml:space="preserve">Palier 2 : 1 000</w:t>
            </w:r>
          </w:p>
        </w:tc>
        <w:tc>
          <w:tcPr>
            <w:tcW w:type="dxa" w:w="1850"/>
            <w:shd w:fill="001A2E" w:val="clear"/>
            <w:tcMar>
              <w:top w:type="dxa" w:w="80"/>
              <w:left w:type="dxa" w:w="100"/>
              <w:bottom w:type="dxa" w:w="80"/>
              <w:right w:type="dxa" w:w="100"/>
            </w:tcMar>
          </w:tcPr>
          <w:p>
            <w:pPr>
              <w:spacing w:after="0" w:line="260"/>
            </w:pPr>
            <w:r>
              <w:rPr>
                <w:b/>
                <w:bCs/>
                <w:color w:val="FFFFFF"/>
                <w:sz w:val="19"/>
                <w:szCs w:val="19"/>
              </w:rPr>
              <w:t xml:space="preserve">Palier 3 : 10 000</w:t>
            </w:r>
          </w:p>
        </w:tc>
        <w:tc>
          <w:tcPr>
            <w:tcW w:type="dxa" w:w="1810"/>
            <w:shd w:fill="001A2E" w:val="clear"/>
            <w:tcMar>
              <w:top w:type="dxa" w:w="80"/>
              <w:left w:type="dxa" w:w="100"/>
              <w:bottom w:type="dxa" w:w="80"/>
              <w:right w:type="dxa" w:w="100"/>
            </w:tcMar>
          </w:tcPr>
          <w:p>
            <w:pPr>
              <w:spacing w:after="0" w:line="260"/>
            </w:pPr>
            <w:r>
              <w:rPr>
                <w:b/>
                <w:bCs/>
                <w:color w:val="FFFFFF"/>
                <w:sz w:val="19"/>
                <w:szCs w:val="19"/>
              </w:rPr>
              <w:t xml:space="preserve">Palier 4 : 50 000</w:t>
            </w:r>
          </w:p>
        </w:tc>
      </w:tr>
      <w:tr>
        <w:tc>
          <w:tcPr>
            <w:tcW w:type="dxa" w:w="2000"/>
            <w:tcMar>
              <w:top w:type="dxa" w:w="80"/>
              <w:left w:type="dxa" w:w="100"/>
              <w:bottom w:type="dxa" w:w="80"/>
              <w:right w:type="dxa" w:w="100"/>
            </w:tcMar>
          </w:tcPr>
          <w:p>
            <w:pPr>
              <w:spacing w:after="0" w:line="260"/>
            </w:pPr>
            <w:r>
              <w:rPr>
                <w:b/>
                <w:bCs/>
                <w:sz w:val="19"/>
                <w:szCs w:val="19"/>
              </w:rPr>
              <w:t xml:space="preserve">Horizon</w:t>
            </w:r>
          </w:p>
        </w:tc>
        <w:tc>
          <w:tcPr>
            <w:tcW w:type="dxa" w:w="1850"/>
            <w:tcMar>
              <w:top w:type="dxa" w:w="80"/>
              <w:left w:type="dxa" w:w="100"/>
              <w:bottom w:type="dxa" w:w="80"/>
              <w:right w:type="dxa" w:w="100"/>
            </w:tcMar>
          </w:tcPr>
          <w:p>
            <w:pPr>
              <w:spacing w:after="0" w:line="260"/>
            </w:pPr>
            <w:r>
              <w:rPr>
                <w:sz w:val="19"/>
                <w:szCs w:val="19"/>
              </w:rPr>
              <w:t xml:space="preserve">0 à 3 mois</w:t>
            </w:r>
          </w:p>
        </w:tc>
        <w:tc>
          <w:tcPr>
            <w:tcW w:type="dxa" w:w="1850"/>
            <w:tcMar>
              <w:top w:type="dxa" w:w="80"/>
              <w:left w:type="dxa" w:w="100"/>
              <w:bottom w:type="dxa" w:w="80"/>
              <w:right w:type="dxa" w:w="100"/>
            </w:tcMar>
          </w:tcPr>
          <w:p>
            <w:pPr>
              <w:spacing w:after="0" w:line="260"/>
            </w:pPr>
            <w:r>
              <w:rPr>
                <w:sz w:val="19"/>
                <w:szCs w:val="19"/>
              </w:rPr>
              <w:t xml:space="preserve">3 à 12 mois</w:t>
            </w:r>
          </w:p>
        </w:tc>
        <w:tc>
          <w:tcPr>
            <w:tcW w:type="dxa" w:w="1850"/>
            <w:tcMar>
              <w:top w:type="dxa" w:w="80"/>
              <w:left w:type="dxa" w:w="100"/>
              <w:bottom w:type="dxa" w:w="80"/>
              <w:right w:type="dxa" w:w="100"/>
            </w:tcMar>
          </w:tcPr>
          <w:p>
            <w:pPr>
              <w:spacing w:after="0" w:line="260"/>
            </w:pPr>
            <w:r>
              <w:rPr>
                <w:sz w:val="19"/>
                <w:szCs w:val="19"/>
              </w:rPr>
              <w:t xml:space="preserve">Année 2</w:t>
            </w:r>
          </w:p>
        </w:tc>
        <w:tc>
          <w:tcPr>
            <w:tcW w:type="dxa" w:w="1810"/>
            <w:tcMar>
              <w:top w:type="dxa" w:w="80"/>
              <w:left w:type="dxa" w:w="100"/>
              <w:bottom w:type="dxa" w:w="80"/>
              <w:right w:type="dxa" w:w="100"/>
            </w:tcMar>
          </w:tcPr>
          <w:p>
            <w:pPr>
              <w:spacing w:after="0" w:line="260"/>
            </w:pPr>
            <w:r>
              <w:rPr>
                <w:sz w:val="19"/>
                <w:szCs w:val="19"/>
              </w:rPr>
              <w:t xml:space="preserve">Années 3 et 4</w:t>
            </w:r>
          </w:p>
        </w:tc>
      </w:tr>
      <w:tr>
        <w:tc>
          <w:tcPr>
            <w:tcW w:type="dxa" w:w="2000"/>
            <w:tcMar>
              <w:top w:type="dxa" w:w="80"/>
              <w:left w:type="dxa" w:w="100"/>
              <w:bottom w:type="dxa" w:w="80"/>
              <w:right w:type="dxa" w:w="100"/>
            </w:tcMar>
          </w:tcPr>
          <w:p>
            <w:pPr>
              <w:spacing w:after="0" w:line="260"/>
            </w:pPr>
            <w:r>
              <w:rPr>
                <w:b/>
                <w:bCs/>
                <w:sz w:val="19"/>
                <w:szCs w:val="19"/>
              </w:rPr>
              <w:t xml:space="preserve">Catalogue</w:t>
            </w:r>
          </w:p>
        </w:tc>
        <w:tc>
          <w:tcPr>
            <w:tcW w:type="dxa" w:w="1850"/>
            <w:tcMar>
              <w:top w:type="dxa" w:w="80"/>
              <w:left w:type="dxa" w:w="100"/>
              <w:bottom w:type="dxa" w:w="80"/>
              <w:right w:type="dxa" w:w="100"/>
            </w:tcMar>
          </w:tcPr>
          <w:p>
            <w:pPr>
              <w:spacing w:after="0" w:line="260"/>
            </w:pPr>
            <w:r>
              <w:rPr>
                <w:sz w:val="19"/>
                <w:szCs w:val="19"/>
              </w:rPr>
              <w:t xml:space="preserve">60 vidéos</w:t>
            </w:r>
          </w:p>
        </w:tc>
        <w:tc>
          <w:tcPr>
            <w:tcW w:type="dxa" w:w="1850"/>
            <w:tcMar>
              <w:top w:type="dxa" w:w="80"/>
              <w:left w:type="dxa" w:w="100"/>
              <w:bottom w:type="dxa" w:w="80"/>
              <w:right w:type="dxa" w:w="100"/>
            </w:tcMar>
          </w:tcPr>
          <w:p>
            <w:pPr>
              <w:spacing w:after="0" w:line="260"/>
            </w:pPr>
            <w:r>
              <w:rPr>
                <w:sz w:val="19"/>
                <w:szCs w:val="19"/>
              </w:rPr>
              <w:t xml:space="preserve">80 à 100 vidéos</w:t>
            </w:r>
          </w:p>
        </w:tc>
        <w:tc>
          <w:tcPr>
            <w:tcW w:type="dxa" w:w="1850"/>
            <w:tcMar>
              <w:top w:type="dxa" w:w="80"/>
              <w:left w:type="dxa" w:w="100"/>
              <w:bottom w:type="dxa" w:w="80"/>
              <w:right w:type="dxa" w:w="100"/>
            </w:tcMar>
          </w:tcPr>
          <w:p>
            <w:pPr>
              <w:spacing w:after="0" w:line="260"/>
            </w:pPr>
            <w:r>
              <w:rPr>
                <w:sz w:val="19"/>
                <w:szCs w:val="19"/>
              </w:rPr>
              <w:t xml:space="preserve">150 vidéos et +</w:t>
            </w:r>
          </w:p>
        </w:tc>
        <w:tc>
          <w:tcPr>
            <w:tcW w:type="dxa" w:w="1810"/>
            <w:tcMar>
              <w:top w:type="dxa" w:w="80"/>
              <w:left w:type="dxa" w:w="100"/>
              <w:bottom w:type="dxa" w:w="80"/>
              <w:right w:type="dxa" w:w="100"/>
            </w:tcMar>
          </w:tcPr>
          <w:p>
            <w:pPr>
              <w:spacing w:after="0" w:line="260"/>
            </w:pPr>
            <w:r>
              <w:rPr>
                <w:sz w:val="19"/>
                <w:szCs w:val="19"/>
              </w:rPr>
              <w:t xml:space="preserve">200 vidéos et +</w:t>
            </w:r>
          </w:p>
        </w:tc>
      </w:tr>
      <w:tr>
        <w:tc>
          <w:tcPr>
            <w:tcW w:type="dxa" w:w="2000"/>
            <w:tcMar>
              <w:top w:type="dxa" w:w="80"/>
              <w:left w:type="dxa" w:w="100"/>
              <w:bottom w:type="dxa" w:w="80"/>
              <w:right w:type="dxa" w:w="100"/>
            </w:tcMar>
          </w:tcPr>
          <w:p>
            <w:pPr>
              <w:spacing w:after="0" w:line="260"/>
            </w:pPr>
            <w:r>
              <w:rPr>
                <w:b/>
                <w:bCs/>
                <w:sz w:val="19"/>
                <w:szCs w:val="19"/>
              </w:rPr>
              <w:t xml:space="preserve">Moteur</w:t>
            </w:r>
          </w:p>
        </w:tc>
        <w:tc>
          <w:tcPr>
            <w:tcW w:type="dxa" w:w="1850"/>
            <w:tcMar>
              <w:top w:type="dxa" w:w="80"/>
              <w:left w:type="dxa" w:w="100"/>
              <w:bottom w:type="dxa" w:w="80"/>
              <w:right w:type="dxa" w:w="100"/>
            </w:tcMar>
          </w:tcPr>
          <w:p>
            <w:pPr>
              <w:spacing w:after="0" w:line="260"/>
            </w:pPr>
            <w:r>
              <w:rPr>
                <w:sz w:val="19"/>
                <w:szCs w:val="19"/>
              </w:rPr>
              <w:t xml:space="preserve">Studio et proches</w:t>
            </w:r>
          </w:p>
        </w:tc>
        <w:tc>
          <w:tcPr>
            <w:tcW w:type="dxa" w:w="1850"/>
            <w:tcMar>
              <w:top w:type="dxa" w:w="80"/>
              <w:left w:type="dxa" w:w="100"/>
              <w:bottom w:type="dxa" w:w="80"/>
              <w:right w:type="dxa" w:w="100"/>
            </w:tcMar>
          </w:tcPr>
          <w:p>
            <w:pPr>
              <w:spacing w:after="0" w:line="260"/>
            </w:pPr>
            <w:r>
              <w:rPr>
                <w:sz w:val="19"/>
                <w:szCs w:val="19"/>
              </w:rPr>
              <w:t xml:space="preserve">Réseaux Sabrina, presse, prescripteurs</w:t>
            </w:r>
          </w:p>
        </w:tc>
        <w:tc>
          <w:tcPr>
            <w:tcW w:type="dxa" w:w="1850"/>
            <w:tcMar>
              <w:top w:type="dxa" w:w="80"/>
              <w:left w:type="dxa" w:w="100"/>
              <w:bottom w:type="dxa" w:w="80"/>
              <w:right w:type="dxa" w:w="100"/>
            </w:tcMar>
          </w:tcPr>
          <w:p>
            <w:pPr>
              <w:spacing w:after="0" w:line="260"/>
            </w:pPr>
            <w:r>
              <w:rPr>
                <w:sz w:val="19"/>
                <w:szCs w:val="19"/>
              </w:rPr>
              <w:t xml:space="preserve">Canal créateur reproductible, ASO</w:t>
            </w:r>
          </w:p>
        </w:tc>
        <w:tc>
          <w:tcPr>
            <w:tcW w:type="dxa" w:w="1810"/>
            <w:tcMar>
              <w:top w:type="dxa" w:w="80"/>
              <w:left w:type="dxa" w:w="100"/>
              <w:bottom w:type="dxa" w:w="80"/>
              <w:right w:type="dxa" w:w="100"/>
            </w:tcMar>
          </w:tcPr>
          <w:p>
            <w:pPr>
              <w:spacing w:after="0" w:line="260"/>
            </w:pPr>
            <w:r>
              <w:rPr>
                <w:sz w:val="19"/>
                <w:szCs w:val="19"/>
              </w:rPr>
              <w:t xml:space="preserve">Paid ads rentables, B2B, partenariats</w:t>
            </w:r>
          </w:p>
        </w:tc>
      </w:tr>
      <w:tr>
        <w:tc>
          <w:tcPr>
            <w:tcW w:type="dxa" w:w="2000"/>
            <w:tcMar>
              <w:top w:type="dxa" w:w="80"/>
              <w:left w:type="dxa" w:w="100"/>
              <w:bottom w:type="dxa" w:w="80"/>
              <w:right w:type="dxa" w:w="100"/>
            </w:tcMar>
          </w:tcPr>
          <w:p>
            <w:pPr>
              <w:spacing w:after="0" w:line="260"/>
            </w:pPr>
            <w:r>
              <w:rPr>
                <w:b/>
                <w:bCs/>
                <w:sz w:val="19"/>
                <w:szCs w:val="19"/>
              </w:rPr>
              <w:t xml:space="preserve">Abonnés payants (3 à 5%)</w:t>
            </w:r>
          </w:p>
        </w:tc>
        <w:tc>
          <w:tcPr>
            <w:tcW w:type="dxa" w:w="1850"/>
            <w:tcMar>
              <w:top w:type="dxa" w:w="80"/>
              <w:left w:type="dxa" w:w="100"/>
              <w:bottom w:type="dxa" w:w="80"/>
              <w:right w:type="dxa" w:w="100"/>
            </w:tcMar>
          </w:tcPr>
          <w:p>
            <w:pPr>
              <w:spacing w:after="0" w:line="260"/>
            </w:pPr>
            <w:r>
              <w:rPr>
                <w:sz w:val="19"/>
                <w:szCs w:val="19"/>
              </w:rPr>
              <w:t xml:space="preserve">10 à 20</w:t>
            </w:r>
          </w:p>
        </w:tc>
        <w:tc>
          <w:tcPr>
            <w:tcW w:type="dxa" w:w="1850"/>
            <w:tcMar>
              <w:top w:type="dxa" w:w="80"/>
              <w:left w:type="dxa" w:w="100"/>
              <w:bottom w:type="dxa" w:w="80"/>
              <w:right w:type="dxa" w:w="100"/>
            </w:tcMar>
          </w:tcPr>
          <w:p>
            <w:pPr>
              <w:spacing w:after="0" w:line="260"/>
            </w:pPr>
            <w:r>
              <w:rPr>
                <w:sz w:val="19"/>
                <w:szCs w:val="19"/>
              </w:rPr>
              <w:t xml:space="preserve">40 à 60</w:t>
            </w:r>
          </w:p>
        </w:tc>
        <w:tc>
          <w:tcPr>
            <w:tcW w:type="dxa" w:w="1850"/>
            <w:tcMar>
              <w:top w:type="dxa" w:w="80"/>
              <w:left w:type="dxa" w:w="100"/>
              <w:bottom w:type="dxa" w:w="80"/>
              <w:right w:type="dxa" w:w="100"/>
            </w:tcMar>
          </w:tcPr>
          <w:p>
            <w:pPr>
              <w:spacing w:after="0" w:line="260"/>
            </w:pPr>
            <w:r>
              <w:rPr>
                <w:sz w:val="19"/>
                <w:szCs w:val="19"/>
              </w:rPr>
              <w:t xml:space="preserve">350 à 500</w:t>
            </w:r>
          </w:p>
        </w:tc>
        <w:tc>
          <w:tcPr>
            <w:tcW w:type="dxa" w:w="1810"/>
            <w:tcMar>
              <w:top w:type="dxa" w:w="80"/>
              <w:left w:type="dxa" w:w="100"/>
              <w:bottom w:type="dxa" w:w="80"/>
              <w:right w:type="dxa" w:w="100"/>
            </w:tcMar>
          </w:tcPr>
          <w:p>
            <w:pPr>
              <w:spacing w:after="0" w:line="260"/>
            </w:pPr>
            <w:r>
              <w:rPr>
                <w:sz w:val="19"/>
                <w:szCs w:val="19"/>
              </w:rPr>
              <w:t xml:space="preserve">1 800 à 2 500</w:t>
            </w:r>
          </w:p>
        </w:tc>
      </w:tr>
      <w:tr>
        <w:tc>
          <w:tcPr>
            <w:tcW w:type="dxa" w:w="2000"/>
            <w:tcMar>
              <w:top w:type="dxa" w:w="80"/>
              <w:left w:type="dxa" w:w="100"/>
              <w:bottom w:type="dxa" w:w="80"/>
              <w:right w:type="dxa" w:w="100"/>
            </w:tcMar>
          </w:tcPr>
          <w:p>
            <w:pPr>
              <w:spacing w:after="0" w:line="260"/>
            </w:pPr>
            <w:r>
              <w:rPr>
                <w:b/>
                <w:bCs/>
                <w:sz w:val="19"/>
                <w:szCs w:val="19"/>
              </w:rPr>
              <w:t xml:space="preserve">Revenu mensuel estimé</w:t>
            </w:r>
          </w:p>
        </w:tc>
        <w:tc>
          <w:tcPr>
            <w:tcW w:type="dxa" w:w="1850"/>
            <w:tcMar>
              <w:top w:type="dxa" w:w="80"/>
              <w:left w:type="dxa" w:w="100"/>
              <w:bottom w:type="dxa" w:w="80"/>
              <w:right w:type="dxa" w:w="100"/>
            </w:tcMar>
          </w:tcPr>
          <w:p>
            <w:pPr>
              <w:spacing w:after="0" w:line="260"/>
            </w:pPr>
            <w:r>
              <w:rPr>
                <w:sz w:val="19"/>
                <w:szCs w:val="19"/>
              </w:rPr>
              <w:t xml:space="preserve">250 à 500 CHF</w:t>
            </w:r>
          </w:p>
        </w:tc>
        <w:tc>
          <w:tcPr>
            <w:tcW w:type="dxa" w:w="1850"/>
            <w:tcMar>
              <w:top w:type="dxa" w:w="80"/>
              <w:left w:type="dxa" w:w="100"/>
              <w:bottom w:type="dxa" w:w="80"/>
              <w:right w:type="dxa" w:w="100"/>
            </w:tcMar>
          </w:tcPr>
          <w:p>
            <w:pPr>
              <w:spacing w:after="0" w:line="260"/>
            </w:pPr>
            <w:r>
              <w:rPr>
                <w:sz w:val="19"/>
                <w:szCs w:val="19"/>
              </w:rPr>
              <w:t xml:space="preserve">1 000 à 1 500 CHF</w:t>
            </w:r>
          </w:p>
        </w:tc>
        <w:tc>
          <w:tcPr>
            <w:tcW w:type="dxa" w:w="1850"/>
            <w:tcMar>
              <w:top w:type="dxa" w:w="80"/>
              <w:left w:type="dxa" w:w="100"/>
              <w:bottom w:type="dxa" w:w="80"/>
              <w:right w:type="dxa" w:w="100"/>
            </w:tcMar>
          </w:tcPr>
          <w:p>
            <w:pPr>
              <w:spacing w:after="0" w:line="260"/>
            </w:pPr>
            <w:r>
              <w:rPr>
                <w:sz w:val="19"/>
                <w:szCs w:val="19"/>
              </w:rPr>
              <w:t xml:space="preserve">9 000 à 12 000 CHF</w:t>
            </w:r>
          </w:p>
        </w:tc>
        <w:tc>
          <w:tcPr>
            <w:tcW w:type="dxa" w:w="1810"/>
            <w:tcMar>
              <w:top w:type="dxa" w:w="80"/>
              <w:left w:type="dxa" w:w="100"/>
              <w:bottom w:type="dxa" w:w="80"/>
              <w:right w:type="dxa" w:w="100"/>
            </w:tcMar>
          </w:tcPr>
          <w:p>
            <w:pPr>
              <w:spacing w:after="0" w:line="260"/>
            </w:pPr>
            <w:r>
              <w:rPr>
                <w:sz w:val="19"/>
                <w:szCs w:val="19"/>
              </w:rPr>
              <w:t xml:space="preserve">45 000 à 60 000 CHF</w:t>
            </w:r>
          </w:p>
        </w:tc>
      </w:tr>
      <w:tr>
        <w:tc>
          <w:tcPr>
            <w:tcW w:type="dxa" w:w="2000"/>
            <w:tcMar>
              <w:top w:type="dxa" w:w="80"/>
              <w:left w:type="dxa" w:w="100"/>
              <w:bottom w:type="dxa" w:w="80"/>
              <w:right w:type="dxa" w:w="100"/>
            </w:tcMar>
          </w:tcPr>
          <w:p>
            <w:pPr>
              <w:spacing w:after="0" w:line="260"/>
            </w:pPr>
            <w:r>
              <w:rPr>
                <w:b/>
                <w:bCs/>
                <w:sz w:val="19"/>
                <w:szCs w:val="19"/>
              </w:rPr>
              <w:t xml:space="preserve">Infrastructure</w:t>
            </w:r>
          </w:p>
        </w:tc>
        <w:tc>
          <w:tcPr>
            <w:tcW w:type="dxa" w:w="1850"/>
            <w:tcMar>
              <w:top w:type="dxa" w:w="80"/>
              <w:left w:type="dxa" w:w="100"/>
              <w:bottom w:type="dxa" w:w="80"/>
              <w:right w:type="dxa" w:w="100"/>
            </w:tcMar>
          </w:tcPr>
          <w:p>
            <w:pPr>
              <w:spacing w:after="0" w:line="260"/>
            </w:pPr>
            <w:r>
              <w:rPr>
                <w:sz w:val="19"/>
                <w:szCs w:val="19"/>
              </w:rPr>
              <w:t xml:space="preserve">Actuelle (gratuite)</w:t>
            </w:r>
          </w:p>
        </w:tc>
        <w:tc>
          <w:tcPr>
            <w:tcW w:type="dxa" w:w="1850"/>
            <w:tcMar>
              <w:top w:type="dxa" w:w="80"/>
              <w:left w:type="dxa" w:w="100"/>
              <w:bottom w:type="dxa" w:w="80"/>
              <w:right w:type="dxa" w:w="100"/>
            </w:tcMar>
          </w:tcPr>
          <w:p>
            <w:pPr>
              <w:spacing w:after="0" w:line="260"/>
            </w:pPr>
            <w:r>
              <w:rPr>
                <w:sz w:val="19"/>
                <w:szCs w:val="19"/>
              </w:rPr>
              <w:t xml:space="preserve">Actuelle</w:t>
            </w:r>
          </w:p>
        </w:tc>
        <w:tc>
          <w:tcPr>
            <w:tcW w:type="dxa" w:w="1850"/>
            <w:tcMar>
              <w:top w:type="dxa" w:w="80"/>
              <w:left w:type="dxa" w:w="100"/>
              <w:bottom w:type="dxa" w:w="80"/>
              <w:right w:type="dxa" w:w="100"/>
            </w:tcMar>
          </w:tcPr>
          <w:p>
            <w:pPr>
              <w:spacing w:after="0" w:line="260"/>
            </w:pPr>
            <w:r>
              <w:rPr>
                <w:sz w:val="19"/>
                <w:szCs w:val="19"/>
              </w:rPr>
              <w:t xml:space="preserve">Supabase Pro (~25 à 100 $/mois)</w:t>
            </w:r>
          </w:p>
        </w:tc>
        <w:tc>
          <w:tcPr>
            <w:tcW w:type="dxa" w:w="1810"/>
            <w:tcMar>
              <w:top w:type="dxa" w:w="80"/>
              <w:left w:type="dxa" w:w="100"/>
              <w:bottom w:type="dxa" w:w="80"/>
              <w:right w:type="dxa" w:w="100"/>
            </w:tcMar>
          </w:tcPr>
          <w:p>
            <w:pPr>
              <w:spacing w:after="0" w:line="260"/>
            </w:pPr>
            <w:r>
              <w:rPr>
                <w:sz w:val="19"/>
                <w:szCs w:val="19"/>
              </w:rPr>
              <w:t xml:space="preserve">Compute Medium + rate limiting</w:t>
            </w:r>
          </w:p>
        </w:tc>
      </w:tr>
      <w:tr>
        <w:tc>
          <w:tcPr>
            <w:tcW w:type="dxa" w:w="2000"/>
            <w:tcMar>
              <w:top w:type="dxa" w:w="80"/>
              <w:left w:type="dxa" w:w="100"/>
              <w:bottom w:type="dxa" w:w="80"/>
              <w:right w:type="dxa" w:w="100"/>
            </w:tcMar>
          </w:tcPr>
          <w:p>
            <w:pPr>
              <w:spacing w:after="0" w:line="260"/>
            </w:pPr>
            <w:r>
              <w:rPr>
                <w:b/>
                <w:bCs/>
                <w:sz w:val="19"/>
                <w:szCs w:val="19"/>
              </w:rPr>
              <w:t xml:space="preserve">Objectif de validation</w:t>
            </w:r>
          </w:p>
        </w:tc>
        <w:tc>
          <w:tcPr>
            <w:tcW w:type="dxa" w:w="1850"/>
            <w:tcMar>
              <w:top w:type="dxa" w:w="80"/>
              <w:left w:type="dxa" w:w="100"/>
              <w:bottom w:type="dxa" w:w="80"/>
              <w:right w:type="dxa" w:w="100"/>
            </w:tcMar>
          </w:tcPr>
          <w:p>
            <w:pPr>
              <w:spacing w:after="0" w:line="260"/>
            </w:pPr>
            <w:r>
              <w:rPr>
                <w:sz w:val="19"/>
                <w:szCs w:val="19"/>
              </w:rPr>
              <w:t xml:space="preserve">Rétention : 2 séances/sem.</w:t>
            </w:r>
          </w:p>
        </w:tc>
        <w:tc>
          <w:tcPr>
            <w:tcW w:type="dxa" w:w="1850"/>
            <w:tcMar>
              <w:top w:type="dxa" w:w="80"/>
              <w:left w:type="dxa" w:w="100"/>
              <w:bottom w:type="dxa" w:w="80"/>
              <w:right w:type="dxa" w:w="100"/>
            </w:tcMar>
          </w:tcPr>
          <w:p>
            <w:pPr>
              <w:spacing w:after="0" w:line="260"/>
            </w:pPr>
            <w:r>
              <w:rPr>
                <w:sz w:val="19"/>
                <w:szCs w:val="19"/>
              </w:rPr>
              <w:t xml:space="preserve">Churn mensuel &lt; 10%</w:t>
            </w:r>
          </w:p>
        </w:tc>
        <w:tc>
          <w:tcPr>
            <w:tcW w:type="dxa" w:w="1850"/>
            <w:tcMar>
              <w:top w:type="dxa" w:w="80"/>
              <w:left w:type="dxa" w:w="100"/>
              <w:bottom w:type="dxa" w:w="80"/>
              <w:right w:type="dxa" w:w="100"/>
            </w:tcMar>
          </w:tcPr>
          <w:p>
            <w:pPr>
              <w:spacing w:after="0" w:line="260"/>
            </w:pPr>
            <w:r>
              <w:rPr>
                <w:sz w:val="19"/>
                <w:szCs w:val="19"/>
              </w:rPr>
              <w:t xml:space="preserve">CAC &lt; LTV/3 sur un canal</w:t>
            </w:r>
          </w:p>
        </w:tc>
        <w:tc>
          <w:tcPr>
            <w:tcW w:type="dxa" w:w="1810"/>
            <w:tcMar>
              <w:top w:type="dxa" w:w="80"/>
              <w:left w:type="dxa" w:w="100"/>
              <w:bottom w:type="dxa" w:w="80"/>
              <w:right w:type="dxa" w:w="100"/>
            </w:tcMar>
          </w:tcPr>
          <w:p>
            <w:pPr>
              <w:spacing w:after="0" w:line="260"/>
            </w:pPr>
            <w:r>
              <w:rPr>
                <w:sz w:val="19"/>
                <w:szCs w:val="19"/>
              </w:rPr>
              <w:t xml:space="preserve">2 canaux rentables en parallèle</w:t>
            </w:r>
          </w:p>
        </w:tc>
      </w:tr>
    </w:tbl>
    <w:p>
      <w:pPr>
        <w:spacing w:after="200"/>
      </w:pPr>
    </w:p>
    <w:p>
      <w:pPr>
        <w:pStyle w:val="Heading2"/>
        <w:spacing w:after="120" w:before="280"/>
      </w:pPr>
      <w:r>
        <w:rPr>
          <w:color w:val="0B4F6C"/>
        </w:rPr>
        <w:t xml:space="preserve">Palier 1 : 100 utilisateurs qui adorent (0 à 3 mois)</w:t>
      </w:r>
    </w:p>
    <w:p>
      <w:pPr>
        <w:spacing w:after="140" w:line="300"/>
      </w:pPr>
      <w:r>
        <w:t xml:space="preserve">Le moteur : la clientèle du studio et le cercle proche. Coût d’acquisition : zéro. L’objectif n’est pas le volume mais la preuve : est-ce que des personnes réelles pratiquent 2 fois par semaine au bout d’un mois ? Tant que cette réponse n’est pas oui, aucun euro de marketing n’a de sens. En parallèle : tournage intensif vers les 60 vidéos (dos, Mat et office en priorité), collecte de vrais témoignages pour remplacer les fictifs du paywall, soumission App Store.</w:t>
      </w:r>
    </w:p>
    <w:p>
      <w:pPr>
        <w:pStyle w:val="Heading2"/>
        <w:spacing w:after="120" w:before="280"/>
      </w:pPr>
      <w:r>
        <w:rPr>
          <w:color w:val="0B4F6C"/>
        </w:rPr>
        <w:t xml:space="preserve">Palier 2 : 1 000 utilisateurs (3 à 12 mois)</w:t>
      </w:r>
    </w:p>
    <w:p>
      <w:pPr>
        <w:spacing w:after="140" w:line="300"/>
      </w:pPr>
      <w:r>
        <w:t xml:space="preserve">Le moteur : la visibilité de Sabrina. Instagram et YouTube avec des extraits gratuits courts (le format Reels/Shorts d’une séance apaisée sur fond marin est exactement ce que l’algorithme récompense dans cette niche), la presse locale romande (une app suisse de Pilates avec un studio à visiter, c’est un sujet), et les prescripteurs : physiothérapeutes, ostéopathes et médecins du sport à qui le pilier Dos donne une raison concrète de recommander l’app. Le contenu créateur engage 3 à 5 fois plus que la publicité classique, et coûte surtout du temps.</w:t>
      </w:r>
    </w:p>
    <w:p>
      <w:pPr>
        <w:pStyle w:val="Heading2"/>
        <w:spacing w:after="120" w:before="280"/>
      </w:pPr>
      <w:r>
        <w:rPr>
          <w:color w:val="0B4F6C"/>
        </w:rPr>
        <w:t xml:space="preserve">Palier 3 : 10 000 utilisateurs (année 2)</w:t>
      </w:r>
    </w:p>
    <w:p>
      <w:pPr>
        <w:spacing w:after="140" w:line="300"/>
      </w:pPr>
      <w:r>
        <w:t xml:space="preserve">Le moteur : un canal reproductible. À ce stade, un des canaux du palier 2 a montré qu’il ramène des utilisateurs de façon prévisible ; on l’industrialise (calendrier de publication, aide au montage, ASO sérieux sur les mots-clés francophones). S’ajoutent les partenariats B2B : studios partenaires qui offrent l’app à leurs clients, entreprises pour le pilier Office. Infrastructure : passage à Supabase Pro et ajout du rate limiting (déjà identifié à l’audit). Premier vrai budget : aide au montage vidéo et éventuellement premiers tests publicitaires.</w:t>
      </w:r>
    </w:p>
    <w:p>
      <w:pPr>
        <w:pStyle w:val="Heading2"/>
        <w:spacing w:after="120" w:before="280"/>
      </w:pPr>
      <w:r>
        <w:rPr>
          <w:color w:val="0B4F6C"/>
        </w:rPr>
        <w:t xml:space="preserve">Palier 4 : 50 000 utilisateurs (années 3 et 4)</w:t>
      </w:r>
    </w:p>
    <w:p>
      <w:pPr>
        <w:spacing w:after="140" w:line="300"/>
      </w:pPr>
      <w:r>
        <w:t xml:space="preserve">Le moteur : l’argent qui travaille. Avec une LTV prouvée (voir section 5), la publicité payante devient rentable si le CAC reste sous un tiers de la LTV, soit un budget d’acquisition de 30 à 60 CHF par abonné. S’ouvrent aussi : l’extension es/it réelle si les chiffres le justifient, les collaborations avec des créatrices Pilates francophones, et le B2B entreprises à l’échelle. À ce palier, FluidBody+ est structurellement rentable et la question devient l’équipe, plus la technique.</w:t>
      </w:r>
    </w:p>
    <w:p>
      <w:pPr>
        <w:pStyle w:val="Heading1"/>
        <w:spacing w:after="160" w:before="360"/>
      </w:pPr>
      <w:r>
        <w:rPr>
          <w:color w:val="0B4F6C"/>
        </w:rPr>
        <w:t xml:space="preserve">4. Les canaux, par ordre de priorité</w:t>
      </w:r>
    </w:p>
    <w:p>
      <w:pPr>
        <w:pStyle w:val="ListParagraph"/>
        <w:numPr>
          <w:ilvl w:val="0"/>
          <w:numId w:val="2"/>
        </w:numPr>
        <w:spacing w:after="80" w:line="280"/>
      </w:pPr>
      <w:r>
        <w:rPr>
          <w:b/>
          <w:bCs/>
        </w:rPr>
        <w:t xml:space="preserve">Le studio : </w:t>
      </w:r>
      <w:r>
        <w:t xml:space="preserve">chaque cliente du studio est une ambassadrice qui a déjà payé pour la méthode. Offre fondateur dédiée, QR code en studio, mention en fin de cours.</w:t>
      </w:r>
    </w:p>
    <w:p>
      <w:pPr>
        <w:pStyle w:val="ListParagraph"/>
        <w:numPr>
          <w:ilvl w:val="0"/>
          <w:numId w:val="2"/>
        </w:numPr>
        <w:spacing w:after="80" w:line="280"/>
      </w:pPr>
      <w:r>
        <w:rPr>
          <w:b/>
          <w:bCs/>
        </w:rPr>
        <w:t xml:space="preserve">Les réseaux de Sabrina : </w:t>
      </w:r>
      <w:r>
        <w:t xml:space="preserve">extraits de séances en Reels/Shorts, coulisses de tournage, la citation du jour en format image. La régularité bat la perfection : 3 publications par semaine tenues un an valent mieux qu’un mois brillant.</w:t>
      </w:r>
    </w:p>
    <w:p>
      <w:pPr>
        <w:pStyle w:val="ListParagraph"/>
        <w:numPr>
          <w:ilvl w:val="0"/>
          <w:numId w:val="2"/>
        </w:numPr>
        <w:spacing w:after="80" w:line="280"/>
      </w:pPr>
      <w:r>
        <w:rPr>
          <w:b/>
          <w:bCs/>
        </w:rPr>
        <w:t xml:space="preserve">Les prescripteurs : </w:t>
      </w:r>
      <w:r>
        <w:t xml:space="preserve">physios, ostéos, médecins du sport. Un flyer dédié au pilier Dos, un code d’essai prolongé pour leurs patients. C’est le canal le plus crédible et le moins cher de la catégorie.</w:t>
      </w:r>
    </w:p>
    <w:p>
      <w:pPr>
        <w:pStyle w:val="ListParagraph"/>
        <w:numPr>
          <w:ilvl w:val="0"/>
          <w:numId w:val="2"/>
        </w:numPr>
        <w:spacing w:after="80" w:line="280"/>
      </w:pPr>
      <w:r>
        <w:rPr>
          <w:b/>
          <w:bCs/>
        </w:rPr>
        <w:t xml:space="preserve">La presse et les podcasts : </w:t>
      </w:r>
      <w:r>
        <w:t xml:space="preserve">une app suisse, une fondatrice avec 30 ans de métier, un studio qu’on peut visiter : la presse romande et les podcasts bien-être francophones prennent ces sujets.</w:t>
      </w:r>
    </w:p>
    <w:p>
      <w:pPr>
        <w:pStyle w:val="ListParagraph"/>
        <w:numPr>
          <w:ilvl w:val="0"/>
          <w:numId w:val="2"/>
        </w:numPr>
        <w:spacing w:after="80" w:line="280"/>
      </w:pPr>
      <w:r>
        <w:rPr>
          <w:b/>
          <w:bCs/>
        </w:rPr>
        <w:t xml:space="preserve">L’ASO : </w:t>
      </w:r>
      <w:r>
        <w:t xml:space="preserve">titre, captures et mots-clés App Store optimisés pour « pilates français », « pilates dos », « pilates débutant ». Peu de volume mais gratuit et permanent.</w:t>
      </w:r>
    </w:p>
    <w:p>
      <w:pPr>
        <w:pStyle w:val="ListParagraph"/>
        <w:numPr>
          <w:ilvl w:val="0"/>
          <w:numId w:val="2"/>
        </w:numPr>
        <w:spacing w:after="80" w:line="280"/>
      </w:pPr>
      <w:r>
        <w:rPr>
          <w:b/>
          <w:bCs/>
        </w:rPr>
        <w:t xml:space="preserve">La publicité payante : </w:t>
      </w:r>
      <w:r>
        <w:t xml:space="preserve">en dernier, une fois la rétention prouvée, jamais avant. Benchmarks fitness : 40 à 80 € le client en zones concurrentielles.</w:t>
      </w:r>
    </w:p>
    <w:p>
      <w:pPr>
        <w:pStyle w:val="Heading1"/>
        <w:spacing w:after="160" w:before="360"/>
      </w:pPr>
      <w:r>
        <w:rPr>
          <w:color w:val="0B4F6C"/>
        </w:rPr>
        <w:t xml:space="preserve">5. Le modèle économique et les benchmarks</w:t>
      </w:r>
    </w:p>
    <w:p>
      <w:pPr>
        <w:spacing w:after="140" w:line="300"/>
      </w:pPr>
      <w:r>
        <w:t xml:space="preserve">Les chiffres de référence du marché des apps santé et fitness par abonnement (RevenueCat, Adapty, 2025-2026)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001A2E" w:val="clear"/>
            <w:tcMar>
              <w:top w:type="dxa" w:w="80"/>
              <w:left w:type="dxa" w:w="100"/>
              <w:bottom w:type="dxa" w:w="80"/>
              <w:right w:type="dxa" w:w="100"/>
            </w:tcMar>
          </w:tcPr>
          <w:p>
            <w:pPr>
              <w:spacing w:after="0" w:line="260"/>
            </w:pPr>
            <w:r>
              <w:rPr>
                <w:b/>
                <w:bCs/>
                <w:color w:val="FFFFFF"/>
                <w:sz w:val="19"/>
                <w:szCs w:val="19"/>
              </w:rPr>
              <w:t xml:space="preserve">Indicateur</w:t>
            </w:r>
          </w:p>
        </w:tc>
        <w:tc>
          <w:tcPr>
            <w:tcW w:type="dxa" w:w="3120"/>
            <w:shd w:fill="001A2E" w:val="clear"/>
            <w:tcMar>
              <w:top w:type="dxa" w:w="80"/>
              <w:left w:type="dxa" w:w="100"/>
              <w:bottom w:type="dxa" w:w="80"/>
              <w:right w:type="dxa" w:w="100"/>
            </w:tcMar>
          </w:tcPr>
          <w:p>
            <w:pPr>
              <w:spacing w:after="0" w:line="260"/>
            </w:pPr>
            <w:r>
              <w:rPr>
                <w:b/>
                <w:bCs/>
                <w:color w:val="FFFFFF"/>
                <w:sz w:val="19"/>
                <w:szCs w:val="19"/>
              </w:rPr>
              <w:t xml:space="preserve">Médiane du marché</w:t>
            </w:r>
          </w:p>
        </w:tc>
        <w:tc>
          <w:tcPr>
            <w:tcW w:type="dxa" w:w="3120"/>
            <w:shd w:fill="001A2E" w:val="clear"/>
            <w:tcMar>
              <w:top w:type="dxa" w:w="80"/>
              <w:left w:type="dxa" w:w="100"/>
              <w:bottom w:type="dxa" w:w="80"/>
              <w:right w:type="dxa" w:w="100"/>
            </w:tcMar>
          </w:tcPr>
          <w:p>
            <w:pPr>
              <w:spacing w:after="0" w:line="260"/>
            </w:pPr>
            <w:r>
              <w:rPr>
                <w:b/>
                <w:bCs/>
                <w:color w:val="FFFFFF"/>
                <w:sz w:val="19"/>
                <w:szCs w:val="19"/>
              </w:rPr>
              <w:t xml:space="preserve">Top 10%</w:t>
            </w:r>
          </w:p>
        </w:tc>
      </w:tr>
      <w:tr>
        <w:tc>
          <w:tcPr>
            <w:tcW w:type="dxa" w:w="3120"/>
            <w:tcMar>
              <w:top w:type="dxa" w:w="80"/>
              <w:left w:type="dxa" w:w="100"/>
              <w:bottom w:type="dxa" w:w="80"/>
              <w:right w:type="dxa" w:w="100"/>
            </w:tcMar>
          </w:tcPr>
          <w:p>
            <w:pPr>
              <w:spacing w:after="0" w:line="260"/>
            </w:pPr>
            <w:r>
              <w:rPr>
                <w:sz w:val="19"/>
                <w:szCs w:val="19"/>
              </w:rPr>
              <w:t xml:space="preserve">Installation vers essai gratuit</w:t>
            </w:r>
          </w:p>
        </w:tc>
        <w:tc>
          <w:tcPr>
            <w:tcW w:type="dxa" w:w="3120"/>
            <w:tcMar>
              <w:top w:type="dxa" w:w="80"/>
              <w:left w:type="dxa" w:w="100"/>
              <w:bottom w:type="dxa" w:w="80"/>
              <w:right w:type="dxa" w:w="100"/>
            </w:tcMar>
          </w:tcPr>
          <w:p>
            <w:pPr>
              <w:spacing w:after="0" w:line="260"/>
            </w:pPr>
            <w:r>
              <w:rPr>
                <w:sz w:val="19"/>
                <w:szCs w:val="19"/>
              </w:rPr>
              <w:t xml:space="preserve">5 à 7%</w:t>
            </w:r>
          </w:p>
        </w:tc>
        <w:tc>
          <w:tcPr>
            <w:tcW w:type="dxa" w:w="3120"/>
            <w:tcMar>
              <w:top w:type="dxa" w:w="80"/>
              <w:left w:type="dxa" w:w="100"/>
              <w:bottom w:type="dxa" w:w="80"/>
              <w:right w:type="dxa" w:w="100"/>
            </w:tcMar>
          </w:tcPr>
          <w:p>
            <w:pPr>
              <w:spacing w:after="0" w:line="260"/>
            </w:pPr>
            <w:r>
              <w:rPr>
                <w:sz w:val="19"/>
                <w:szCs w:val="19"/>
              </w:rPr>
              <w:t xml:space="preserve">12 à 15%</w:t>
            </w:r>
          </w:p>
        </w:tc>
      </w:tr>
      <w:tr>
        <w:tc>
          <w:tcPr>
            <w:tcW w:type="dxa" w:w="3120"/>
            <w:tcMar>
              <w:top w:type="dxa" w:w="80"/>
              <w:left w:type="dxa" w:w="100"/>
              <w:bottom w:type="dxa" w:w="80"/>
              <w:right w:type="dxa" w:w="100"/>
            </w:tcMar>
          </w:tcPr>
          <w:p>
            <w:pPr>
              <w:spacing w:after="0" w:line="260"/>
            </w:pPr>
            <w:r>
              <w:rPr>
                <w:sz w:val="19"/>
                <w:szCs w:val="19"/>
              </w:rPr>
              <w:t xml:space="preserve">Essai vers abonnement payant</w:t>
            </w:r>
          </w:p>
        </w:tc>
        <w:tc>
          <w:tcPr>
            <w:tcW w:type="dxa" w:w="3120"/>
            <w:tcMar>
              <w:top w:type="dxa" w:w="80"/>
              <w:left w:type="dxa" w:w="100"/>
              <w:bottom w:type="dxa" w:w="80"/>
              <w:right w:type="dxa" w:w="100"/>
            </w:tcMar>
          </w:tcPr>
          <w:p>
            <w:pPr>
              <w:spacing w:after="0" w:line="260"/>
            </w:pPr>
            <w:r>
              <w:rPr>
                <w:sz w:val="19"/>
                <w:szCs w:val="19"/>
              </w:rPr>
              <w:t xml:space="preserve">39,9%</w:t>
            </w:r>
          </w:p>
        </w:tc>
        <w:tc>
          <w:tcPr>
            <w:tcW w:type="dxa" w:w="3120"/>
            <w:tcMar>
              <w:top w:type="dxa" w:w="80"/>
              <w:left w:type="dxa" w:w="100"/>
              <w:bottom w:type="dxa" w:w="80"/>
              <w:right w:type="dxa" w:w="100"/>
            </w:tcMar>
          </w:tcPr>
          <w:p>
            <w:pPr>
              <w:spacing w:after="0" w:line="260"/>
            </w:pPr>
            <w:r>
              <w:rPr>
                <w:sz w:val="19"/>
                <w:szCs w:val="19"/>
              </w:rPr>
              <w:t xml:space="preserve">68,3%</w:t>
            </w:r>
          </w:p>
        </w:tc>
      </w:tr>
      <w:tr>
        <w:tc>
          <w:tcPr>
            <w:tcW w:type="dxa" w:w="3120"/>
            <w:tcMar>
              <w:top w:type="dxa" w:w="80"/>
              <w:left w:type="dxa" w:w="100"/>
              <w:bottom w:type="dxa" w:w="80"/>
              <w:right w:type="dxa" w:w="100"/>
            </w:tcMar>
          </w:tcPr>
          <w:p>
            <w:pPr>
              <w:spacing w:after="0" w:line="260"/>
            </w:pPr>
            <w:r>
              <w:rPr>
                <w:sz w:val="19"/>
                <w:szCs w:val="19"/>
              </w:rPr>
              <w:t xml:space="preserve">Installation vers payant (J+35)</w:t>
            </w:r>
          </w:p>
        </w:tc>
        <w:tc>
          <w:tcPr>
            <w:tcW w:type="dxa" w:w="3120"/>
            <w:tcMar>
              <w:top w:type="dxa" w:w="80"/>
              <w:left w:type="dxa" w:w="100"/>
              <w:bottom w:type="dxa" w:w="80"/>
              <w:right w:type="dxa" w:w="100"/>
            </w:tcMar>
          </w:tcPr>
          <w:p>
            <w:pPr>
              <w:spacing w:after="0" w:line="260"/>
            </w:pPr>
            <w:r>
              <w:rPr>
                <w:sz w:val="19"/>
                <w:szCs w:val="19"/>
              </w:rPr>
              <w:t xml:space="preserve">~2,6% (Amérique du Nord)</w:t>
            </w:r>
          </w:p>
        </w:tc>
        <w:tc>
          <w:tcPr>
            <w:tcW w:type="dxa" w:w="3120"/>
            <w:tcMar>
              <w:top w:type="dxa" w:w="80"/>
              <w:left w:type="dxa" w:w="100"/>
              <w:bottom w:type="dxa" w:w="80"/>
              <w:right w:type="dxa" w:w="100"/>
            </w:tcMar>
          </w:tcPr>
          <w:p>
            <w:pPr>
              <w:spacing w:after="0" w:line="260"/>
            </w:pPr>
            <w:r>
              <w:rPr>
                <w:sz w:val="19"/>
                <w:szCs w:val="19"/>
              </w:rPr>
              <w:t xml:space="preserve">5% et +</w:t>
            </w:r>
          </w:p>
        </w:tc>
      </w:tr>
      <w:tr>
        <w:tc>
          <w:tcPr>
            <w:tcW w:type="dxa" w:w="3120"/>
            <w:tcMar>
              <w:top w:type="dxa" w:w="80"/>
              <w:left w:type="dxa" w:w="100"/>
              <w:bottom w:type="dxa" w:w="80"/>
              <w:right w:type="dxa" w:w="100"/>
            </w:tcMar>
          </w:tcPr>
          <w:p>
            <w:pPr>
              <w:spacing w:after="0" w:line="260"/>
            </w:pPr>
            <w:r>
              <w:rPr>
                <w:sz w:val="19"/>
                <w:szCs w:val="19"/>
              </w:rPr>
              <w:t xml:space="preserve">Churn au 1er renouvellement (mensuel)</w:t>
            </w:r>
          </w:p>
        </w:tc>
        <w:tc>
          <w:tcPr>
            <w:tcW w:type="dxa" w:w="3120"/>
            <w:tcMar>
              <w:top w:type="dxa" w:w="80"/>
              <w:left w:type="dxa" w:w="100"/>
              <w:bottom w:type="dxa" w:w="80"/>
              <w:right w:type="dxa" w:w="100"/>
            </w:tcMar>
          </w:tcPr>
          <w:p>
            <w:pPr>
              <w:spacing w:after="0" w:line="260"/>
            </w:pPr>
            <w:r>
              <w:rPr>
                <w:sz w:val="19"/>
                <w:szCs w:val="19"/>
              </w:rPr>
              <w:t xml:space="preserve">15 à 40%</w:t>
            </w:r>
          </w:p>
        </w:tc>
        <w:tc>
          <w:tcPr>
            <w:tcW w:type="dxa" w:w="3120"/>
            <w:tcMar>
              <w:top w:type="dxa" w:w="80"/>
              <w:left w:type="dxa" w:w="100"/>
              <w:bottom w:type="dxa" w:w="80"/>
              <w:right w:type="dxa" w:w="100"/>
            </w:tcMar>
          </w:tcPr>
          <w:p>
            <w:pPr>
              <w:spacing w:after="0" w:line="260"/>
            </w:pPr>
            <w:r>
              <w:rPr>
                <w:sz w:val="19"/>
                <w:szCs w:val="19"/>
              </w:rPr>
              <w:t xml:space="preserve">&lt; 15%</w:t>
            </w:r>
          </w:p>
        </w:tc>
      </w:tr>
      <w:tr>
        <w:tc>
          <w:tcPr>
            <w:tcW w:type="dxa" w:w="3120"/>
            <w:tcMar>
              <w:top w:type="dxa" w:w="80"/>
              <w:left w:type="dxa" w:w="100"/>
              <w:bottom w:type="dxa" w:w="80"/>
              <w:right w:type="dxa" w:w="100"/>
            </w:tcMar>
          </w:tcPr>
          <w:p>
            <w:pPr>
              <w:spacing w:after="0" w:line="260"/>
            </w:pPr>
            <w:r>
              <w:rPr>
                <w:sz w:val="19"/>
                <w:szCs w:val="19"/>
              </w:rPr>
              <w:t xml:space="preserve">Rétention à 1 an (plan annuel)</w:t>
            </w:r>
          </w:p>
        </w:tc>
        <w:tc>
          <w:tcPr>
            <w:tcW w:type="dxa" w:w="3120"/>
            <w:tcMar>
              <w:top w:type="dxa" w:w="80"/>
              <w:left w:type="dxa" w:w="100"/>
              <w:bottom w:type="dxa" w:w="80"/>
              <w:right w:type="dxa" w:w="100"/>
            </w:tcMar>
          </w:tcPr>
          <w:p>
            <w:pPr>
              <w:spacing w:after="0" w:line="260"/>
            </w:pPr>
            <w:r>
              <w:rPr>
                <w:sz w:val="19"/>
                <w:szCs w:val="19"/>
              </w:rPr>
              <w:t xml:space="preserve">30 à 40%</w:t>
            </w:r>
          </w:p>
        </w:tc>
        <w:tc>
          <w:tcPr>
            <w:tcW w:type="dxa" w:w="3120"/>
            <w:tcMar>
              <w:top w:type="dxa" w:w="80"/>
              <w:left w:type="dxa" w:w="100"/>
              <w:bottom w:type="dxa" w:w="80"/>
              <w:right w:type="dxa" w:w="100"/>
            </w:tcMar>
          </w:tcPr>
          <w:p>
            <w:pPr>
              <w:spacing w:after="0" w:line="260"/>
            </w:pPr>
            <w:r>
              <w:rPr>
                <w:sz w:val="19"/>
                <w:szCs w:val="19"/>
              </w:rPr>
              <w:t xml:space="preserve">60 à 75%</w:t>
            </w:r>
          </w:p>
        </w:tc>
      </w:tr>
      <w:tr>
        <w:tc>
          <w:tcPr>
            <w:tcW w:type="dxa" w:w="3120"/>
            <w:tcMar>
              <w:top w:type="dxa" w:w="80"/>
              <w:left w:type="dxa" w:w="100"/>
              <w:bottom w:type="dxa" w:w="80"/>
              <w:right w:type="dxa" w:w="100"/>
            </w:tcMar>
          </w:tcPr>
          <w:p>
            <w:pPr>
              <w:spacing w:after="0" w:line="260"/>
            </w:pPr>
            <w:r>
              <w:rPr>
                <w:sz w:val="19"/>
                <w:szCs w:val="19"/>
              </w:rPr>
              <w:t xml:space="preserve">CAC publicité payante fitness</w:t>
            </w:r>
          </w:p>
        </w:tc>
        <w:tc>
          <w:tcPr>
            <w:tcW w:type="dxa" w:w="3120"/>
            <w:tcMar>
              <w:top w:type="dxa" w:w="80"/>
              <w:left w:type="dxa" w:w="100"/>
              <w:bottom w:type="dxa" w:w="80"/>
              <w:right w:type="dxa" w:w="100"/>
            </w:tcMar>
          </w:tcPr>
          <w:p>
            <w:pPr>
              <w:spacing w:after="0" w:line="260"/>
            </w:pPr>
            <w:r>
              <w:rPr>
                <w:sz w:val="19"/>
                <w:szCs w:val="19"/>
              </w:rPr>
              <w:t xml:space="preserve">40 à 80 €</w:t>
            </w:r>
          </w:p>
        </w:tc>
        <w:tc>
          <w:tcPr>
            <w:tcW w:type="dxa" w:w="3120"/>
            <w:tcMar>
              <w:top w:type="dxa" w:w="80"/>
              <w:left w:type="dxa" w:w="100"/>
              <w:bottom w:type="dxa" w:w="80"/>
              <w:right w:type="dxa" w:w="100"/>
            </w:tcMar>
          </w:tcPr>
          <w:p>
            <w:pPr>
              <w:spacing w:after="0" w:line="260"/>
            </w:pPr>
            <w:r>
              <w:rPr>
                <w:sz w:val="19"/>
                <w:szCs w:val="19"/>
              </w:rPr>
              <w:t xml:space="preserve">moins via créateurs</w:t>
            </w:r>
          </w:p>
        </w:tc>
      </w:tr>
    </w:tbl>
    <w:p>
      <w:pPr>
        <w:spacing w:after="200"/>
      </w:pPr>
    </w:p>
    <w:p>
      <w:pPr>
        <w:spacing w:after="140" w:line="300"/>
      </w:pPr>
      <w:r>
        <w:t xml:space="preserve">Traduction pour FluidBody+ : 50 000 utilisateurs à une conversion réaliste de 3 à 5% donnent 1 800 à 2 500 abonnés payants. Au prix actuel, cela représente 45 000 à 60 000 CHF de revenu mensuel. La LTV estimée : environ 150 à 200 CHF pour un abonné mensuel (6 à 8 mois de durée de vie à 10% de churn), environ 350 CHF pour un abonné annuel renouvelé une fois. C’est cette LTV qui fixe le budget d’acquisition admissible du palier 4.</w:t>
      </w:r>
    </w:p>
    <w:p>
      <w:pPr>
        <w:spacing w:after="140" w:line="300"/>
      </w:pPr>
      <w:r>
        <w:rPr>
          <w:i/>
          <w:iCs/>
        </w:rPr>
        <w:t xml:space="preserve">À noter : l’objectif de rentabilité personnelle est atteint bien avant, autour de 500 à 800 abonnés (palier 3). Tout ce qui suit est de la conquête, pas de la survie.</w:t>
      </w:r>
    </w:p>
    <w:p>
      <w:pPr>
        <w:pStyle w:val="Heading1"/>
        <w:spacing w:after="160" w:before="360"/>
      </w:pPr>
      <w:r>
        <w:rPr>
          <w:color w:val="0B4F6C"/>
        </w:rPr>
        <w:t xml:space="preserve">6. Les cinq métriques qui comptent</w:t>
      </w:r>
    </w:p>
    <w:p>
      <w:pPr>
        <w:pStyle w:val="ListParagraph"/>
        <w:numPr>
          <w:ilvl w:val="0"/>
          <w:numId w:val="2"/>
        </w:numPr>
        <w:spacing w:after="80" w:line="280"/>
      </w:pPr>
      <w:r>
        <w:rPr>
          <w:b/>
          <w:bCs/>
        </w:rPr>
        <w:t xml:space="preserve">L’étoile polaire : </w:t>
      </w:r>
      <w:r>
        <w:t xml:space="preserve">séances par abonné et par semaine. C’est elle qui prédit tout le reste. Cible : 2 et plus.</w:t>
      </w:r>
    </w:p>
    <w:p>
      <w:pPr>
        <w:pStyle w:val="ListParagraph"/>
        <w:numPr>
          <w:ilvl w:val="0"/>
          <w:numId w:val="2"/>
        </w:numPr>
        <w:spacing w:after="80" w:line="280"/>
      </w:pPr>
      <w:r>
        <w:rPr>
          <w:b/>
          <w:bCs/>
        </w:rPr>
        <w:t xml:space="preserve">Rétention : </w:t>
      </w:r>
      <w:r>
        <w:t xml:space="preserve">des utilisateurs actifs à 30 jours. Cible : 40% et plus au palier 1.</w:t>
      </w:r>
    </w:p>
    <w:p>
      <w:pPr>
        <w:pStyle w:val="ListParagraph"/>
        <w:numPr>
          <w:ilvl w:val="0"/>
          <w:numId w:val="2"/>
        </w:numPr>
        <w:spacing w:after="80" w:line="280"/>
      </w:pPr>
      <w:r>
        <w:rPr>
          <w:b/>
          <w:bCs/>
        </w:rPr>
        <w:t xml:space="preserve">Conversion : </w:t>
      </w:r>
      <w:r>
        <w:t xml:space="preserve">gratuit vers payant. Cible : 3% puis 5% avec l’optimisation du paywall.</w:t>
      </w:r>
    </w:p>
    <w:p>
      <w:pPr>
        <w:pStyle w:val="ListParagraph"/>
        <w:numPr>
          <w:ilvl w:val="0"/>
          <w:numId w:val="2"/>
        </w:numPr>
        <w:spacing w:after="80" w:line="280"/>
      </w:pPr>
      <w:r>
        <w:rPr>
          <w:b/>
          <w:bCs/>
        </w:rPr>
        <w:t xml:space="preserve">Fidélité : </w:t>
      </w:r>
      <w:r>
        <w:t xml:space="preserve">churn mensuel des abonnés. Cible : sous 10%, l’offre annuelle est l’outil principal.</w:t>
      </w:r>
    </w:p>
    <w:p>
      <w:pPr>
        <w:pStyle w:val="ListParagraph"/>
        <w:numPr>
          <w:ilvl w:val="0"/>
          <w:numId w:val="2"/>
        </w:numPr>
        <w:spacing w:after="80" w:line="280"/>
      </w:pPr>
      <w:r>
        <w:rPr>
          <w:b/>
          <w:bCs/>
        </w:rPr>
        <w:t xml:space="preserve">CAC : </w:t>
      </w:r>
      <w:r>
        <w:t xml:space="preserve">coût d’acquisition par canal, à ne mesurer qu’à partir du palier 3.</w:t>
      </w:r>
    </w:p>
    <w:p>
      <w:pPr>
        <w:pStyle w:val="Heading1"/>
        <w:spacing w:after="160" w:before="360"/>
      </w:pPr>
      <w:r>
        <w:rPr>
          <w:color w:val="0B4F6C"/>
        </w:rPr>
        <w:t xml:space="preserve">7. Les risques et leurs parades</w:t>
      </w:r>
    </w:p>
    <w:p>
      <w:pPr>
        <w:pStyle w:val="ListParagraph"/>
        <w:numPr>
          <w:ilvl w:val="0"/>
          <w:numId w:val="2"/>
        </w:numPr>
        <w:spacing w:after="80" w:line="280"/>
      </w:pPr>
      <w:r>
        <w:rPr>
          <w:b/>
          <w:bCs/>
        </w:rPr>
        <w:t xml:space="preserve">Risque n°1 : </w:t>
      </w:r>
      <w:r>
        <w:t xml:space="preserve">le rythme de tournage ne suit pas. Parade : formats courts (5 à 15 min), tournage par lots d’une journée, le mécanisme de catalogue masqué évite de promettre ce qui n’existe pas.</w:t>
      </w:r>
    </w:p>
    <w:p>
      <w:pPr>
        <w:pStyle w:val="ListParagraph"/>
        <w:numPr>
          <w:ilvl w:val="0"/>
          <w:numId w:val="2"/>
        </w:numPr>
        <w:spacing w:after="80" w:line="280"/>
      </w:pPr>
      <w:r>
        <w:rPr>
          <w:b/>
          <w:bCs/>
        </w:rPr>
        <w:t xml:space="preserve">Risque n°2 : </w:t>
      </w:r>
      <w:r>
        <w:t xml:space="preserve">tout repose sur deux personnes. Parade : déléguer le montage dès le palier 2, documenter (c’est déjà largement fait côté technique).</w:t>
      </w:r>
    </w:p>
    <w:p>
      <w:pPr>
        <w:pStyle w:val="ListParagraph"/>
        <w:numPr>
          <w:ilvl w:val="0"/>
          <w:numId w:val="2"/>
        </w:numPr>
        <w:spacing w:after="80" w:line="280"/>
      </w:pPr>
      <w:r>
        <w:rPr>
          <w:b/>
          <w:bCs/>
        </w:rPr>
        <w:t xml:space="preserve">Risque n°3 : </w:t>
      </w:r>
      <w:r>
        <w:t xml:space="preserve">un grand acteur lance une offre francophone. Parade : la relation directe (studio, communauté, prescripteurs) est ce qu’un géant ne peut pas copier. Accélérer l’ancrage local plutôt que la course au catalogue.</w:t>
      </w:r>
    </w:p>
    <w:p>
      <w:pPr>
        <w:pStyle w:val="ListParagraph"/>
        <w:numPr>
          <w:ilvl w:val="0"/>
          <w:numId w:val="2"/>
        </w:numPr>
        <w:spacing w:after="80" w:line="280"/>
      </w:pPr>
      <w:r>
        <w:rPr>
          <w:b/>
          <w:bCs/>
        </w:rPr>
        <w:t xml:space="preserve">Risque n°4 : </w:t>
      </w:r>
      <w:r>
        <w:t xml:space="preserve">la fatigue du fondateur. Parade : les paliers existent pour ça. Chaque étape a un objectif unique et mesurable ; tout le reste peut attendre.</w:t>
      </w:r>
    </w:p>
    <w:p>
      <w:pPr>
        <w:pStyle w:val="Heading1"/>
        <w:spacing w:after="160" w:before="360"/>
      </w:pPr>
      <w:r>
        <w:rPr>
          <w:color w:val="0B4F6C"/>
        </w:rPr>
        <w:t xml:space="preserve">8. Les 90 prochains jours</w:t>
      </w:r>
    </w:p>
    <w:p>
      <w:pPr>
        <w:pStyle w:val="ListParagraph"/>
        <w:numPr>
          <w:ilvl w:val="0"/>
          <w:numId w:val="2"/>
        </w:numPr>
        <w:spacing w:after="80" w:line="280"/>
      </w:pPr>
      <w:r>
        <w:rPr>
          <w:b/>
          <w:bCs/>
        </w:rPr>
        <w:t xml:space="preserve">Semaines 1 à 8 : </w:t>
      </w:r>
      <w:r>
        <w:t xml:space="preserve">tourner les 60 vidéos (2 à 3 jours de tournage par lots, priorité dos, Mat, office).</w:t>
      </w:r>
    </w:p>
    <w:p>
      <w:pPr>
        <w:pStyle w:val="ListParagraph"/>
        <w:numPr>
          <w:ilvl w:val="0"/>
          <w:numId w:val="2"/>
        </w:numPr>
        <w:spacing w:after="80" w:line="280"/>
      </w:pPr>
      <w:r>
        <w:rPr>
          <w:b/>
          <w:bCs/>
        </w:rPr>
        <w:t xml:space="preserve">Semaines 2 à 6 : </w:t>
      </w:r>
      <w:r>
        <w:t xml:space="preserve">recueillir 10 vrais témoignages de clientes du studio et remplacer les fictifs du paywall.</w:t>
      </w:r>
    </w:p>
    <w:p>
      <w:pPr>
        <w:pStyle w:val="ListParagraph"/>
        <w:numPr>
          <w:ilvl w:val="0"/>
          <w:numId w:val="2"/>
        </w:numPr>
        <w:spacing w:after="80" w:line="280"/>
      </w:pPr>
      <w:r>
        <w:rPr>
          <w:b/>
          <w:bCs/>
        </w:rPr>
        <w:t xml:space="preserve">Semaines 4 à 8 : </w:t>
      </w:r>
      <w:r>
        <w:t xml:space="preserve">finaliser App Store Connect : prix intro, captures (mettre le fond marin et les méduses en avant, personne d’autre n’a ça), labels de confidentialité, compte démo.</w:t>
      </w:r>
    </w:p>
    <w:p>
      <w:pPr>
        <w:pStyle w:val="ListParagraph"/>
        <w:numPr>
          <w:ilvl w:val="0"/>
          <w:numId w:val="2"/>
        </w:numPr>
        <w:spacing w:after="80" w:line="280"/>
      </w:pPr>
      <w:r>
        <w:rPr>
          <w:b/>
          <w:bCs/>
        </w:rPr>
        <w:t xml:space="preserve">Semaines 8 à 10 : </w:t>
      </w:r>
      <w:r>
        <w:t xml:space="preserve">activer le masquage du catalogue, soumettre à Apple, lancer l’offre fondateur au studio.</w:t>
      </w:r>
    </w:p>
    <w:p>
      <w:pPr>
        <w:pStyle w:val="ListParagraph"/>
        <w:numPr>
          <w:ilvl w:val="0"/>
          <w:numId w:val="2"/>
        </w:numPr>
        <w:spacing w:after="80" w:line="280"/>
      </w:pPr>
      <w:r>
        <w:rPr>
          <w:b/>
          <w:bCs/>
        </w:rPr>
        <w:t xml:space="preserve">Semaines 8 à 12 : </w:t>
      </w:r>
      <w:r>
        <w:t xml:space="preserve">démarrer le rythme de publication de Sabrina (3 contenus par semaine) et les premiers contacts prescripteurs.</w:t>
      </w:r>
    </w:p>
    <w:p>
      <w:pPr>
        <w:spacing w:after="140" w:line="300"/>
      </w:pPr>
      <w:r>
        <w:t xml:space="preserve"/>
      </w:r>
    </w:p>
    <w:p>
      <w:pPr>
        <w:pBdr>
          <w:top w:val="single" w:color="AEEF4D" w:sz="8"/>
        </w:pBdr>
        <w:spacing w:before="300"/>
      </w:pPr>
      <w:r>
        <w:rPr>
          <w:i/>
          <w:iCs/>
          <w:color w:val="0B4F6C"/>
          <w:sz w:val="22"/>
          <w:szCs w:val="22"/>
        </w:rPr>
        <w:t xml:space="preserve">La méduse ne lutte jamais contre le courant. Elle pulse, régulièrement, et l’océan fait le reste. Un palier à la fois.</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B4F6C"/>
      <w:sz w:val="30"/>
      <w:szCs w:val="30"/>
    </w:rPr>
  </w:style>
  <w:style w:type="paragraph" w:styleId="Heading2">
    <w:name w:val="Heading 2"/>
    <w:basedOn w:val="Normal"/>
    <w:next w:val="Normal"/>
    <w:qFormat/>
    <w:rPr>
      <w:rFonts w:ascii="Calibri" w:cs="Calibri" w:eastAsia="Calibri" w:hAnsi="Calibri"/>
      <w:b/>
      <w:bCs/>
      <w:color w:val="0B4F6C"/>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2026-07-26T18:59:58.483Z</dcterms:created>
  <dcterms:modified xsi:type="dcterms:W3CDTF">2026-07-26T18:59:58.483Z</dcterms:modified>
</cp:coreProperties>
</file>

<file path=docProps/custom.xml><?xml version="1.0" encoding="utf-8"?>
<Properties xmlns="http://schemas.openxmlformats.org/officeDocument/2006/custom-properties" xmlns:vt="http://schemas.openxmlformats.org/officeDocument/2006/docPropsVTypes"/>
</file>