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>Projet FLOTTE — Rapport journalier</w:t>
      </w:r>
    </w:p>
    <w:p>
      <w:pPr>
        <w:spacing w:after="80"/>
        <w:jc w:val="center"/>
      </w:pPr>
      <w:r>
        <w:rPr>
          <w:rFonts w:ascii="Calibri" w:hAnsi="Calibri"/>
          <w:b w:val="0"/>
          <w:color w:val="534636"/>
          <w:sz w:val="22"/>
        </w:rPr>
        <w:t>Wednesday 05 February 2025</w:t>
      </w:r>
    </w:p>
    <w:p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Conception et implémentation de la gestion détaillée des coûts d'importation.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Nouveau modèle lié au véhicule avec : fret (transport international), frais de dédouanement, frais de service du transitaire, coût total (calcul automatique ou saisie manuelle).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Formulaire et vues liste/détail créés.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et YOBOUKOI DIVINE ont développé le modèle, la migration, les vues et le formulaire ; KONAN OCEANE a rédigé les libellés et validé les calculs ; KOUAKOU EBOUHO a supervisé l'intégration et les permissions.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permissions, URLs, intégration au menu Import.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rédaction des labels et validation.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modèles et formulaires.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vues, templates et affichage sur la fiche véhicule.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Correction : arrondi des montants en FCFA (entiers) pour éviter les décimales sur le coût total.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 coût total peut être recalculé à la volée ou figé selon besoin métier.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Enchaîner sur les pièces ou parties de véhicules importées : modèle, quantités, coûts et association aux véhicules.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