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Calibri" w:hAnsi="Calibri"/>
          <w:b/>
          <w:color w:val="2D5A4A"/>
          <w:sz w:val="36"/>
        </w:rPr>
        <w:t>Projet FLOTTE — Rapport journalier</w:t>
      </w:r>
    </w:p>
    <w:p>
      <w:pPr>
        <w:spacing w:after="80"/>
        <w:jc w:val="center"/>
      </w:pPr>
      <w:r>
        <w:rPr>
          <w:rFonts w:ascii="Calibri" w:hAnsi="Calibri"/>
          <w:b w:val="0"/>
          <w:color w:val="534636"/>
          <w:sz w:val="22"/>
        </w:rPr>
        <w:t>Thursday 06 February 2025</w:t>
      </w:r>
    </w:p>
    <w:p>
      <w:pPr>
        <w:spacing w:after="360"/>
        <w:jc w:val="center"/>
      </w:pPr>
      <w:r>
        <w:rPr>
          <w:rFonts w:ascii="Calibri" w:hAnsi="Calibri"/>
          <w:b w:val="0"/>
          <w:color w:val="534636"/>
          <w:sz w:val="20"/>
        </w:rPr>
        <w:t>Équipe : KOUAKOU EBOUHO (Scrum Master) · KONAN OCEANE (Product Owner) · YOBOUKOI DIVINE · DJEDJE ESTHER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Réalisations du jour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Mise en place de la gestion des pièces ou parties de véhicules importées.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Nouveau modèle avec : désignation, quantité, coût unitaire, coût total, lien optionnel vers un véhicule (ForeignKey).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Écrans de liste et de création/édition, avec filtre par véhicule ; association des pièces aux véhicules concernés.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et KONAN OCEANE ont défini le schéma et les règles métier ; YOBOUKOI DIVINE a implémenté le modèle et la migration ; DJEDJE ESTHER a créé les vues, formulaires, templates et le lien depuis la fiche véhicule.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Répartition des tâches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KOUAKOU EBOUHO : modèles et relations, admin Django.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KONAN OCEANE : spécifications et recette.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YOBOUKOI DIVINE : backend (modèle, formulaire).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DJEDJE ESTHER : vues, templates, liste et détail véhicule.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Améliorations et remarques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Une pièce peut être associée à un véhicule ou rester « orpheline » (véhicule null) pour les stocks généraux.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Affichage du coût total (quantité × coût unitaire) automatique.</w:t>
      </w:r>
    </w:p>
    <w:p>
      <w:pPr>
        <w:spacing w:before="280" w:after="160"/>
        <w:ind w:left="0"/>
      </w:pPr>
      <w:r>
        <w:rPr>
          <w:rFonts w:ascii="Calibri" w:hAnsi="Calibri"/>
          <w:b/>
          <w:color w:val="6F5D45"/>
          <w:sz w:val="26"/>
        </w:rPr>
        <w:t>Prévision du lendemain</w:t>
      </w:r>
    </w:p>
    <w:p>
      <w:pPr>
        <w:pStyle w:val="ListBullet"/>
        <w:spacing w:after="80"/>
        <w:ind w:left="360"/>
      </w:pPr>
      <w:r>
        <w:rPr>
          <w:rFonts w:ascii="Calibri" w:hAnsi="Calibri"/>
          <w:b w:val="0"/>
          <w:color w:val="2D2D2D"/>
          <w:sz w:val="22"/>
        </w:rPr>
        <w:t>Démarrer l'axe location : coût de location, frais annexes (assurance, entretien, carburant, etc.) et préparation de la gestion des contraventions.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