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1E3A1"/>
    <w:p w14:paraId="3029D09E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>-</w:t>
      </w:r>
      <w:r>
        <w:rPr>
          <w:rFonts w:ascii="Calibri" w:hAnsi="Calibri"/>
          <w:b/>
          <w:color w:val="2D5A4A"/>
          <w:sz w:val="36"/>
        </w:rPr>
        <w:t xml:space="preserve"> Rapport journalier</w:t>
      </w:r>
    </w:p>
    <w:p w14:paraId="4F6B2BB1">
      <w:pPr>
        <w:spacing w:after="80"/>
        <w:jc w:val="center"/>
        <w:rPr>
          <w:rFonts w:hint="default"/>
          <w:lang w:val="fr-FR"/>
        </w:rPr>
      </w:pP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Mercredi </w:t>
      </w:r>
      <w:r>
        <w:rPr>
          <w:rFonts w:ascii="Calibri" w:hAnsi="Calibri"/>
          <w:b w:val="0"/>
          <w:color w:val="534636"/>
          <w:sz w:val="22"/>
        </w:rPr>
        <w:t>0</w:t>
      </w:r>
      <w:r>
        <w:rPr>
          <w:rFonts w:hint="default" w:ascii="Calibri" w:hAnsi="Calibri"/>
          <w:b w:val="0"/>
          <w:color w:val="534636"/>
          <w:sz w:val="22"/>
          <w:lang w:val="fr-FR"/>
        </w:rPr>
        <w:t>4</w:t>
      </w:r>
      <w:bookmarkStart w:id="0" w:name="_GoBack"/>
      <w:bookmarkEnd w:id="0"/>
      <w:r>
        <w:rPr>
          <w:rFonts w:ascii="Calibri" w:hAnsi="Calibri"/>
          <w:b w:val="0"/>
          <w:color w:val="534636"/>
          <w:sz w:val="22"/>
        </w:rPr>
        <w:t xml:space="preserve"> Fe</w:t>
      </w:r>
      <w:r>
        <w:rPr>
          <w:rFonts w:hint="default" w:ascii="Calibri" w:hAnsi="Calibri"/>
          <w:b w:val="0"/>
          <w:color w:val="534636"/>
          <w:sz w:val="22"/>
          <w:lang w:val="fr-FR"/>
        </w:rPr>
        <w:t>vrier</w:t>
      </w:r>
      <w:r>
        <w:rPr>
          <w:rFonts w:ascii="Calibri" w:hAnsi="Calibri"/>
          <w:b w:val="0"/>
          <w:color w:val="534636"/>
          <w:sz w:val="22"/>
        </w:rPr>
        <w:t xml:space="preserve"> 202</w:t>
      </w:r>
      <w:r>
        <w:rPr>
          <w:rFonts w:hint="default" w:ascii="Calibri" w:hAnsi="Calibri"/>
          <w:b w:val="0"/>
          <w:color w:val="534636"/>
          <w:sz w:val="22"/>
          <w:lang w:val="fr-FR"/>
        </w:rPr>
        <w:t>6</w:t>
      </w:r>
    </w:p>
    <w:p w14:paraId="67621F8E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 w14:paraId="17C2AC0B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Réalisations du jour</w:t>
      </w:r>
    </w:p>
    <w:p w14:paraId="7AC5602C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Mise en place du champ couleur en liste déroulante pour les véhicules.</w:t>
      </w:r>
    </w:p>
    <w:p w14:paraId="59D4BE6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Choix retenu : paramétrage (table CouleurVehicule ou liste fixe) ; les champs couleur extérieure et intérieure utilisent désormais un Select avec options prédéfinies.</w:t>
      </w:r>
    </w:p>
    <w:p w14:paraId="775A4CD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a ajouté le paramétrage des couleurs et modifié VehiculeForm.</w:t>
      </w:r>
    </w:p>
    <w:p w14:paraId="3FAF4F8C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a mis à jour le template vehicule_form.html et les vues ; KONAN OCEANE a validé la liste des couleurs et l'ergonomie.</w:t>
      </w:r>
    </w:p>
    <w:p w14:paraId="5BD8FE65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Répartition des tâches</w:t>
      </w:r>
    </w:p>
    <w:p w14:paraId="6C2796FD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modèle/paramétrage couleurs, formulaire Django.</w:t>
      </w:r>
    </w:p>
    <w:p w14:paraId="39B2A307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recette et validation.</w:t>
      </w:r>
    </w:p>
    <w:p w14:paraId="4E91CC4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templates et tests manuels.</w:t>
      </w:r>
    </w:p>
    <w:p w14:paraId="4C33CAFD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mise à jour des écrans détail véhicule pour un affichage cohérent.</w:t>
      </w:r>
    </w:p>
    <w:p w14:paraId="6FD89423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Améliorations et remarques</w:t>
      </w:r>
    </w:p>
    <w:p w14:paraId="60DF4B90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Aucune régression sur les véhicules existants : les anciennes valeurs en texte libre restent affichées ; les nouveaux enregistrements utilisent le select.</w:t>
      </w:r>
    </w:p>
    <w:p w14:paraId="79636F2D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Possibilité d'ajouter une entrée « Autre » avec champ texte optionnel ultérieurement.</w:t>
      </w:r>
    </w:p>
    <w:p w14:paraId="50EC9B03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Prévision du lendemain</w:t>
      </w:r>
    </w:p>
    <w:p w14:paraId="5A72F41C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Attaquer le premier axe métier : charges d'importation (fret, dédouanement, frais transitaire, coût total). Conception du modèle et des écrans.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A37EB9"/>
    <w:rsid w:val="4F54607B"/>
    <w:rsid w:val="6F72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2026-02-04T22:40:56Z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8ABE9459437D48EF8E2B1B9D67B58DB1_12</vt:lpwstr>
  </property>
</Properties>
</file>