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Sunday 02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Réunion de démarrage de la semaine d'amélioration.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Analyse des quatre axes prioritaires : interface utilisateur, charges d'importation, pièces importées, location avec contraventions.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(Scrum Master) a animé la réunion et réparti les rôles.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(Product Owner) a formalisé le backlog et les critères d'acceptation.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et DJEDJE ESTHER ont analysé le code existant (modèles Vehicule, Location, ImportDemarche, templates, styles) et rédigé les spécifications détaillées.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animation quotidienne, suivi du tableau de bord, déblocage.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priorisation et validation des livrables.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évolutions UI (sidebar, couleurs) et participation charges d'import.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spécifications pièces importées et location (frais, contraventions), puis implémentation.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État actuel : l'application gère déjà le parc véhicules, les démarches d'import (sans coûts détaillés), les locations (loyer, km, CT, assurance) mais sans coût global ni contraventions.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Les couleurs véhicule sont en champs texte libres ; la sidebar n'est pas sticky.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Aucune erreur bloquante signalée.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Démarrer l'implémentation UI : sidebar sticky (CSS), revue des couleurs, préparation du paramétrage des couleurs véhicule en liste déroulante.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