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 (synthèse finale)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8–9 février 2026 — Dernier rapport journalier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Rapport combiné des journées des 8 et 9 février : recette des quatre axes (interface, charges d'import, pièces importées, location avec contraventions), synthèse et livraison.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Évolutions complémentaires intégrées : API REST (rate limiting, CORS), audit étendu (signals sur Vente, Dépense, Facture, etc. ; consultation et export par les admins).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Champs fichier sur Facture, DocumentVehicule et ImportDemarche pour attacher les vrais documents (PDF, images).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Fiche véhicule : totaux (charges d'import, dépenses, réparations), référence de coût pour la facture, mise en forme et UI plus professionnelle.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Pays d'origine : liste complète des pays (datalist) avec saisie au fil de la frappe ; validation pour éviter la saisie d'un montant par erreur.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Formulaires : menus déroulants avec saisie libre (datalist) sur de nombreux champs — locataire, étapes/statuts import, garantie, état livraison, phase dépense, type document, type réparation, prestataire, type facture, fournisseur, lieu carburant — pour faciliter la saisie tout en permettant une valeur libre.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pilotage, synthèse et cohérence des livrables.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validation produit et clôture du sprint.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évolutions interface, formulaires et correctifs.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développements métier, audit, API et documentation.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Location : coût total (loyer + frais annexes + contraventions) affiché et calculé correctement ; pas de régression sur les valeurs nulles.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UX : champs avec suggestions (datalist) conservent la possibilité de saisie manuelle pour ne pas bloquer les cas particuliers.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Documentation (ANALYSE_AVANT_AMELIORATIONS, NORMES, API) et rapports journaliers à jour.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suite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Livraison de l'application et des rapports. Planification de la prochaine itération si besoin.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